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13232" cy="7132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eva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05070A"/>
          <w:sz w:val="46"/>
        </w:rPr>
        <w:t>CUEVA</w:t>
        <w:br/>
        <w:t>Business Plan avanzado 2026/2027</w:t>
      </w:r>
    </w:p>
    <w:p>
      <w:pPr>
        <w:jc w:val="center"/>
      </w:pPr>
      <w:r>
        <w:rPr>
          <w:rFonts w:ascii="Arial" w:hAnsi="Arial"/>
          <w:color w:val="657080"/>
          <w:sz w:val="20"/>
        </w:rPr>
        <w:t>Documento para posibles inversores | Confidencial | 10 de julio de 2026</w:t>
      </w:r>
    </w:p>
    <w:p>
      <w:r>
        <w:drawing>
          <wp:inline xmlns:a="http://schemas.openxmlformats.org/drawingml/2006/main" xmlns:pic="http://schemas.openxmlformats.org/drawingml/2006/picture">
            <wp:extent cx="6492240" cy="35412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cover_kp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54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  <w:color w:val="05070A"/>
        </w:rPr>
        <w:t>1. Tesis ejecutiva</w:t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CUEVA parte de una valoración de referencia de 4.216.174,70 EUR, construida sobre inversión histórica, producto, IP, know-how, prototipos, casos y evolucion de CUEVA OS. El BP 2026/2027 no intenta justificar el valor por flujos historicos, sino por coste de construcción de activo, producto alcanzado y capacidad de transformar ese activo en ingresos, evidencia y red operativa.</w:t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La inversión de 300.000 EUR entre julio y diciembre de 2026 es el tramo mínimo de ejecución: continuidad de equipo, producto comercial, telecomunicaciones, hardware de campo, salida comercial, hub Menorca/OADAC y regularización operativa. El plan base busca 1.661.496 EUR de facturacion 2027 y EBITDA positivo; el plan ampliado/unicornio incorpora proyectos adicionales del Excel y eleva el pipeline 2027 a 2.155.000 EUR.</w:t>
      </w:r>
    </w:p>
    <w:p>
      <w:pPr>
        <w:pStyle w:val="ListBullet"/>
        <w:spacing w:after="80" w:line="269" w:lineRule="auto"/>
      </w:pPr>
      <w:r>
        <w:rPr>
          <w:rFonts w:ascii="Arial" w:hAnsi="Arial"/>
          <w:sz w:val="19"/>
        </w:rPr>
        <w:t>El plan base es el que debe ejecutarse si o si: capital 300K, producto vendible, casos, hub y primeras líneas comerciales.</w:t>
      </w:r>
    </w:p>
    <w:p>
      <w:pPr>
        <w:pStyle w:val="ListBullet"/>
        <w:spacing w:after="80" w:line="269" w:lineRule="auto"/>
      </w:pPr>
      <w:r>
        <w:rPr>
          <w:rFonts w:ascii="Arial" w:hAnsi="Arial"/>
          <w:sz w:val="19"/>
        </w:rPr>
        <w:t>El plan ampliado no sustituye al plan base: lo absorbe y activa proyectos adicionales por contrato, cobro o LOI.</w:t>
      </w:r>
    </w:p>
    <w:p>
      <w:pPr>
        <w:pStyle w:val="ListBullet"/>
        <w:spacing w:after="80" w:line="269" w:lineRule="auto"/>
      </w:pPr>
      <w:r>
        <w:rPr>
          <w:rFonts w:ascii="Arial" w:hAnsi="Arial"/>
          <w:sz w:val="19"/>
        </w:rPr>
        <w:t>El documento separa valor actual, ejecución 300K, negocio CUEVA Total, productos, pipeline, caja, valor 2027 y gates.</w:t>
      </w:r>
    </w:p>
    <w:p>
      <w:pPr>
        <w:pStyle w:val="Heading1"/>
      </w:pPr>
      <w:r>
        <w:rPr>
          <w:rFonts w:ascii="Arial" w:hAnsi="Arial"/>
          <w:color w:val="05070A"/>
        </w:rPr>
        <w:t>2. Punto de partida: valor actual y activo construido</w:t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La valoración actual se apoya en el informe de inversión y producto CUEVA v4. La lectura central es que la compañía ya ha construido una base de activo tecnológico y operativo que incluye sistema físico, CEREBRO/software, IoT, operativa industrial, Designer, DPP, POI, GIS, Project Room, neuronas, Market OS, tokenizacion y verticales como iPath.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Bloque de valor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Lectura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Implicacion para BP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Valor actual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4.216.174,70 EUR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Base de negociación inicial: inversión acumulada y activo construido.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Producto CUEVA OS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DPP, POI, Designer, GIS, Project Room, Market OS, neuronas y activos digitales.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Convierte tecnología en oferta activable y vendible.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Casos y evidencias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Piedrahita, Menorca/OADAC, Llar de Mar 2 objetivo, pilotos y trazabilidad.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Permite vender por evidencia, no solo por promesa.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Mercado y red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Partner industrial medio, OADAC, Tash/promotoras, KIWA/RMOOB, materiales y marcas.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Acelera go-to-market sin construir una estructura pesada.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3. Modelo de negocio CUEVA Total</w:t>
      </w:r>
    </w:p>
    <w:p>
      <w:r>
        <w:drawing>
          <wp:inline xmlns:a="http://schemas.openxmlformats.org/drawingml/2006/main" xmlns:pic="http://schemas.openxmlformats.org/drawingml/2006/picture">
            <wp:extent cx="6492240" cy="37379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modelo_negocio_st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3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CUEVA Total monetiza la pertenencia a una red certificada, la implantación operativa, la activación de activos, la prueba de instalación, el pasaporte digital y la recurrencia sobre stock vivo. El modelo evita cargar al partner industrial con un royalty opaco: el partner paga por acceso, soporte, capacidad y metodologia; el proyecto o propietario soporta los costes asociados a activo, evidencia, DPP, POI, operación y datos.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Capa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Que vende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Trigger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Calidad de ingreso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Licencia partner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Certificación, soporte y derecho de operar.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Acceso anual o capacidad.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Recurrente / mínimo anual.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Implementation P0-P5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Diagnostico, configuración, formacion y despliegue.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Contrato de implantación.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Servicios con margen.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Physical Enablement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Chip/tag, rotulado, Asset ID y readiness POI.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m2 emitido.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One-shot por m2.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Asset Activation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Entrada del activo en CUEVA OS.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Proyecto en ejecución.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One-shot por m2.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POI Evidence Pack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Prueba de instalación y recepción.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Instalacion verificada.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One-shot / evento.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DPP / Carpeta Madre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Pasaporte vivo y dossier documental.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Entrega documental viva.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Setup + modulos.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Network + Data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Mantenimiento, APIs, ESG, permisos y reporting.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Stock vivo activo.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Recurrente / enterprise.</w:t>
            </w:r>
          </w:p>
        </w:tc>
      </w:tr>
    </w:tbl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La logica de pricing se apoya en fees unitarios por m2 y eventos de evidencia. Esta estructura permite comenzar con servicios de implantación y evolucionar hacia recurrencia sobre stock vivo, sin depender exclusivamente de margen de obra.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Fee base 2027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Precio base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Adopción / completion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Ingreso efectivo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Physical Enablement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1,50 EUR/m2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100%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1,50 EUR/m2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Asset Activation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5,00 EUR/m2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88%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4,40 EUR/m2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POI Evidence Pack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4,08 EUR/m2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78%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3,18 EUR/m2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DPP / Carpeta Madre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4,93 EUR/m2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62%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3,06 EUR/m2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Network + Data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1,23 + 1,80 EUR/m2/año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40% / 16% ponderado año 1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0,39 EUR/m2</w:t>
            </w:r>
          </w:p>
        </w:tc>
      </w:tr>
    </w:tbl>
    <w:p>
      <w:pPr>
        <w:pStyle w:val="Heading2"/>
      </w:pPr>
      <w:r>
        <w:rPr>
          <w:rFonts w:ascii="Arial" w:hAnsi="Arial"/>
          <w:color w:val="171B22"/>
        </w:rPr>
        <w:t>Segmentos compradores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Segmento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Dolor principal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Oferta CUEVA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Modelo de ingreso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Partner industrial / fabricante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Necesita diferenciarse, trazabilidad, metodo y digitalizacion sin rehacer toda su estructura.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Licencia, implementation, Factory Flow, DPP/POI y soporte.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Licencia + implantación + fees por m2.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Promotor / constructor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Control de plazo, calidad, recepción, documentación y riesgo de entrega.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Project Room, POI, DPP, Site Proof y dossier vivo.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Proyecto + paquetes por activo.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Hub / licenciatario territorial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Necesita oferta industrializable, casos, showroom y metodologia.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Modelo OADAC, operativa, CUEVA OS, soporte y marca.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Licencia + fees + servicios.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Administracion / ciudad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Trazabilidad, mantenimiento, circularidad, incidencias y reporting.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iPath, GIS, Maintenance OS, Circular Ledger y Citizen Connect.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Proyecto + licencia + reporting.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Certificador / asegurador / financiador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Necesita evidencia objetiva y datos verificables.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DPP, POI, audit trail, datos y API.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SaaS, integracion, reporting y datos.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Marca / material / producto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Necesita prototipos, circularidad y prueba de valor.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DPP producto, trazabilidad, pilots y Market OS.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Prototipo + licencia + marketplace futuro.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4. Portfolio de productos y líneas</w:t>
      </w:r>
    </w:p>
    <w:p>
      <w:r>
        <w:drawing>
          <wp:inline xmlns:a="http://schemas.openxmlformats.org/drawingml/2006/main" xmlns:pic="http://schemas.openxmlformats.org/drawingml/2006/picture">
            <wp:extent cx="6492240" cy="33051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portfolio_produc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051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Producto / línea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Funcion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Monetizacion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Gate 2026/2027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DPP / Carpeta Madre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Pasaporte digital, materiales, origen, vida util y circularidad.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Setup por activo + modulos + reporting.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Pilotos con activos reales y evidencia de entrega.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POI Evidence Pack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Prueba de instalación, recepción, timestamp, responsable y dossier.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Evento / pack por instalación.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Checklists y lecturas de campo estables.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Designer generativo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Generacion de alternativas con reglas, API y vivienda incremental.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Licencia, proyecto, configuración y servicios.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Cerrar motor comercial y salidas de proyecto.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Project Room / Manager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Coordinacion multiagente, permisos, dashboards y decisiones.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SaaS/enterprise + implantación.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Primer cliente industrial y proyectos activos.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Neuronas + apps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Captura de datos de campo, tags, QR/NFC, gateways y eventos.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Hardware + servicio + datos.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Kit demo y despliegue en obra/hub.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Market OS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Paquetes, conectores, white label y beneficios por agente.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Licencia / canal / marketplace.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Oferta empaquetada y CRM activo.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GIS / iPath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Capa urbana, rutas, mantenimiento, incidencias y circularidad.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Proyecto + licencia + reporting.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Pilotos urbanos y OADAC/Menorca.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Tokenizacion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NFT/gemelo digital, colateral, smart contracts y marketplace.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Fase futura: servicios y transaccion.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Cierre jurídico/regulatorio antes de explotar.</w:t>
            </w:r>
          </w:p>
        </w:tc>
      </w:tr>
    </w:tbl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Cada producto debe circular con una ficha comercial y una ficha técnica: problema que resuelve, modulo CUEVA afectado, precio/trigger, evidencias mínimas, dependencia técnica y responsable. El objetivo del BP es que un interesado vea negocio, no solo tecnología.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Producto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Entregable comercial 2026/2027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Evidencia mínima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DPP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Demo de pasaporte por activo y dossier documental.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Ficha de activo, materiales, historial y export documental.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POI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Pack de recepción e instalación verificable.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Checklist, timestamp, responsable, foto/documento y cierre.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Designer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Generacion asistida de alternativas con API.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Caso de vivienda generativa y reglas parametrizadas.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Project Room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Sala de proyecto con roles y documentos.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Panel por agente, permisos, estados y decisiones.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Neuronas/apps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Kit de lectura campo + evidencia.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Lectores, tags, QR/NFC, eventos y sincronizacion.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Market OS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Oferta modular y paquetes por actor.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Carta de Servicios, Benefits OS y CRM de oportunidades.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GIS/iPath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Vertical urbana y mantenimiento.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Mapa activo-evento, incidencias, Circular Ledger y reporting.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Tokenizacion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Marco de gemelo digital/activo.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White paper, arquitectura conceptual y mapa jurídico pendiente.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5. Plan 300K: uso de fondos y gates</w:t>
      </w:r>
    </w:p>
    <w:p>
      <w:r>
        <w:drawing>
          <wp:inline xmlns:a="http://schemas.openxmlformats.org/drawingml/2006/main" xmlns:pic="http://schemas.openxmlformats.org/drawingml/2006/picture">
            <wp:extent cx="6492240" cy="34625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uso_fondos_300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46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El capital 300K se debe liberar por gates de ejecución. La prioridad no es crecer en estructura, sino llegar a septiembre-diciembre 2026 con producto demostrable, narrativa comercial, capacidad de campo, contratos encaminados y control de caja.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Bloque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Importe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Lectura de ejecución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Equipo base julio-diciembre 2026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114.600 EUR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Liberar por evidencia, contrato, factura o necesidad crítica.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Seguridad Social / gestoría laboral / cumplimiento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18.000 EUR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Liberar por evidencia, contrato, factura o necesidad crítica.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Software / IT / telecomunicaciones / IA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78.000 EUR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Liberar por evidencia, contrato, factura o necesidad crítica.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Marketing y comunicación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18.000 EUR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Liberar por evidencia, contrato, factura o necesidad crítica.</w:t>
            </w:r>
          </w:p>
        </w:tc>
      </w:tr>
      <w:tr>
        <w:tc>
          <w:tcPr>
            <w:tcW w:type="dxa" w:w="3389"/>
            <w:vAlign w:val="center"/>
          </w:tcPr>
          <w:p>
            <w:r>
              <w:t>Hub Valeriano</w:t>
            </w:r>
          </w:p>
        </w:tc>
        <w:tc>
          <w:tcPr>
            <w:tcW w:type="dxa" w:w="3389"/>
            <w:vAlign w:val="center"/>
          </w:tcPr>
          <w:p>
            <w:r>
              <w:t>66.400 €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Liberar por evidencia, contrato, factura o necesidad crítica.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Legal, auditoría, documentación y contingencia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5.000 EUR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Liberar por evidencia, contrato, factura o necesidad crítica.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6. Plan base vs plan ampliado/unicornio</w:t>
      </w:r>
    </w:p>
    <w:p>
      <w:r>
        <w:drawing>
          <wp:inline xmlns:a="http://schemas.openxmlformats.org/drawingml/2006/main" xmlns:pic="http://schemas.openxmlformats.org/drawingml/2006/picture">
            <wp:extent cx="6492240" cy="34625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valor_ingresos_brid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46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El BP se presenta en dos capas para evitar confundir ejecución mínima con upside. El plan base es el plan estratégico 26/27 que CUEVA debe ejecutar; el plan ampliado/unicornio incorpora proyectos adicionales, mayor pipeline y más velocidad de posicionamiento si se formaliza la entrada de capital necesaria.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Metrica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Plan base 300K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Plan ampliado / unicornio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Lectura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Inversión 2026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300.000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300.000 EUR como primer tramo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El plan ampliado no elimina el 300K; lo convierte en base de ejecución.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Facturacion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1.661.496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2.155.000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Base con OADAC, Llar de Mar 2, partner industrial y KIWA/RMOOB; ampliado suma proyectos adicionales.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EBITDA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408.897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439.299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Ambos buscan autosostenibilidad por caja en 2027.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Caja final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506.361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455.299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La caja depende de cobros por hitos y control de contratacion.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Valor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10,50 M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rango 8,50 M EUR - 13,00 M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El rango alto requiere contratos, evidencia y producto estable.</w:t>
            </w:r>
          </w:p>
        </w:tc>
      </w:tr>
    </w:tbl>
    <w:p>
      <w:pPr>
        <w:pStyle w:val="Heading2"/>
      </w:pPr>
      <w:r>
        <w:rPr>
          <w:rFonts w:ascii="Arial" w:hAnsi="Arial"/>
          <w:color w:val="171B22"/>
        </w:rPr>
        <w:t>Definición del plan ampliado / unicornio</w:t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El plan ampliado no debe venderse como fantasia de crecimiento, sino como aceleracion ordenada del plan base cuando entren capital, contratos o alianzas. Su logica es: primero ejecutar los 300K, despues convertir producto y red en ingresos, y solo entonces ampliar equipo, hubs y capas de producto.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Palanca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Que activa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Condicion de entrada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Resultado buscado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Producto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CUEVA OS multi-cliente, QA, seguridad, APIs, apps y neuronas.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Release comercial y primer despliegue.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Menor riesgo técnico y mayor velocidad de implantación.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Certificación / SaaS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KIWA/RMOOB, SaaS materia + producto, reporting y legitimidad.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LOI/contrato y alcance cerrado.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Ingreso relevante y validación externa.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Hubs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OADAC/Menorca y replicabilidad territorial.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Acuerdo hub + proyecto activo.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Capacidad demostrable sin capex pesado.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Industrial partners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Implementation, m2, POI/DPP y recurrencia.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Contrato y calendario de cobro.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Escala operativa y pipeline por m2.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Datos y activos digitales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DPP, POI, tokenizacion, smart contracts y marketplace futuro.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Base legal y casos de uso.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Nueva capa de monetizacion y financiación.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Mercado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CRM, casos, marcas, ayuntamientos, promotoras y constructoras.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Oferta y material comercial listos.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Conversacion comercial repetible.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7. Pipeline 2027 y go-to-market</w:t>
      </w:r>
    </w:p>
    <w:p>
      <w:r>
        <w:drawing>
          <wp:inline xmlns:a="http://schemas.openxmlformats.org/drawingml/2006/main" xmlns:pic="http://schemas.openxmlformats.org/drawingml/2006/picture">
            <wp:extent cx="6492240" cy="35412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pipeline_2027_line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5412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Linea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Naturaleza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Confianza / riesgo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2027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Llar de Mar 2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Proyecto construcción industrializada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Medio - contrato objetivo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535.000 EUR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Partner industrial medio / CUEVA OS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Cliente industrial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Medio - negociación activa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180.000 EUR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KIWA/RMOOB A 450k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SaaS materia + producto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Medio - LOI necesario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450.000 EUR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KIWA/RMOOB B1 400k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Fase 1 proyecto 800k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Medio - faseable H2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400.000 EUR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KIWA/RMOOB B2 400k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Fase 2 proyecto 800k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Medio - faseable H2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400.000 EUR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Moolde / Plastic People / Calaf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Piloto producto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Medio-bajo - cofinanciación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90.000 EUR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Marsam / marcas producto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Prototipos comerciales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Medio-bajo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40.000 EUR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SaaS/POI/DPP recurrente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MRR/servicios recurrentes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Medio-bajo - depende adopción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60.000 EUR</w:t>
            </w:r>
          </w:p>
        </w:tc>
      </w:tr>
    </w:tbl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La salida comercial debe organizarse por líneas: hub OADAC/Menorca, proyectos industrializados, partner industrial medio, certificación/SaaS, pilotos de producto, marcas/prototipos y recurrencia POI/DPP/SaaS. Cada línea debe tener responsable, CRM, oferta, gate y evidencia.</w:t>
      </w:r>
    </w:p>
    <w:p>
      <w:pPr>
        <w:pStyle w:val="Heading1"/>
      </w:pPr>
      <w:r>
        <w:rPr>
          <w:rFonts w:ascii="Arial" w:hAnsi="Arial"/>
          <w:color w:val="05070A"/>
        </w:rPr>
        <w:t>8. Economía, P&amp;L y caja</w:t>
      </w:r>
    </w:p>
    <w:p>
      <w:r>
        <w:drawing>
          <wp:inline xmlns:a="http://schemas.openxmlformats.org/drawingml/2006/main" xmlns:pic="http://schemas.openxmlformats.org/drawingml/2006/picture">
            <wp:extent cx="6492240" cy="29903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caja_mens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9036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Concepto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2026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2027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Lectura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Ingresos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16.000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2.155.000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2026 es preparacion; 2027 concentra monetizacion.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Margen bruto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7.200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969.750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Modelo recalculado con coste directo del 55%.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EBITDA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-206.400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439.299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Punto de autosostenibilidad condicionado a contratos/cobros.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Caja final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-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455.299 EUR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El mínimo mensual recalculado queda en 16.000 EUR.</w:t>
            </w:r>
          </w:p>
        </w:tc>
      </w:tr>
    </w:tbl>
    <w:p>
      <w:pPr>
        <w:pStyle w:val="ListBullet"/>
        <w:spacing w:after="80" w:line="269" w:lineRule="auto"/>
      </w:pPr>
      <w:r>
        <w:rPr>
          <w:rFonts w:ascii="Arial" w:hAnsi="Arial"/>
          <w:sz w:val="19"/>
        </w:rPr>
        <w:t>Contrataciones 2027 solo por gates: contrato, cobro, m2 activados o necesidad real de despliegue.</w:t>
      </w:r>
    </w:p>
    <w:p>
      <w:pPr>
        <w:pStyle w:val="ListBullet"/>
        <w:spacing w:after="80" w:line="269" w:lineRule="auto"/>
      </w:pPr>
      <w:r>
        <w:rPr>
          <w:rFonts w:ascii="Arial" w:hAnsi="Arial"/>
          <w:sz w:val="19"/>
        </w:rPr>
        <w:t>No reconocer ingresos objetivo como committed: separar firmado, LOI, oferta y oportunidad.</w:t>
      </w:r>
    </w:p>
    <w:p>
      <w:pPr>
        <w:pStyle w:val="ListBullet"/>
        <w:spacing w:after="80" w:line="269" w:lineRule="auto"/>
      </w:pPr>
      <w:r>
        <w:rPr>
          <w:rFonts w:ascii="Arial" w:hAnsi="Arial"/>
          <w:sz w:val="19"/>
        </w:rPr>
        <w:t>Priorizar cobros por hitos y evitar proyectos sin anticipo o precio cerrado.</w:t>
      </w:r>
    </w:p>
    <w:p>
      <w:pPr>
        <w:pStyle w:val="Heading1"/>
      </w:pPr>
      <w:r>
        <w:rPr>
          <w:rFonts w:ascii="Arial" w:hAnsi="Arial"/>
          <w:color w:val="05070A"/>
        </w:rPr>
        <w:t>9. Roadmap operativo</w:t>
      </w:r>
    </w:p>
    <w:p>
      <w:r>
        <w:drawing>
          <wp:inline xmlns:a="http://schemas.openxmlformats.org/drawingml/2006/main" xmlns:pic="http://schemas.openxmlformats.org/drawingml/2006/picture">
            <wp:extent cx="6492240" cy="29903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roadmap_2026_202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9036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Periodo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Foco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Gate de avance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Evidencia</w:t>
            </w:r>
          </w:p>
        </w:tc>
      </w:tr>
      <w:tr>
        <w:tc>
          <w:tcPr>
            <w:tcW w:type="dxa" w:w="2541"/>
            <w:vAlign w:val="center"/>
          </w:tcPr>
          <w:p>
            <w:r>
              <w:t>Hub Valeriano</w:t>
            </w:r>
          </w:p>
        </w:tc>
        <w:tc>
          <w:tcPr>
            <w:tcW w:type="dxa" w:w="2541"/>
            <w:vAlign w:val="center"/>
          </w:tcPr>
          <w:p>
            <w:r>
              <w:t>66.400 €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Plan de desembolso y release comercial.</w:t>
            </w:r>
          </w:p>
        </w:tc>
        <w:tc>
          <w:tcPr>
            <w:tcW w:type="dxa" w:w="2541"/>
            <w:vAlign w:val="center"/>
          </w:tcPr>
          <w:p>
            <w:r>
              <w:t>Hub Valeriano, showroom y nodo operativo Menorca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Oct-Dic 2026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Ofertas, LOIs, hub fase 0-1, partner industrial y preparacion 2027.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Contratos/LOIs y pipeline cualificado.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CRM, actas, presupuestos, acuerdos hub.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Q1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Llar de Mar 2, OADAC licencia, primer despliegue industrial.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Contrato y anticipo.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Facturas, calendario, piezas/evidencias.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Q2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POI/DPP campo, certificación/SaaS, pilotos de producto.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Hitos cobrados y demostradores.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Dossiers, lecturas, informes.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Q3-Q4 2027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Escalado, SaaS recurrente, pipeline ampliado, valoración.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Caja positiva y contratos activos.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P&amp;L, caja, casos, data pack.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10. Valoración y bridge 2027</w:t>
      </w:r>
    </w:p>
    <w:p>
      <w:r>
        <w:drawing>
          <wp:inline xmlns:a="http://schemas.openxmlformats.org/drawingml/2006/main" xmlns:pic="http://schemas.openxmlformats.org/drawingml/2006/picture">
            <wp:extent cx="6492240" cy="33444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_bridge_val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44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El Excel utiliza una referencia de 4,0M y objetivo de gestión 9,5M. Este documento actualiza el punto de partida a 4.216.174,70 EUR por coherencia con el informe inversor v4, y mantiene como tesis comercial un objetivo base de 10,50 M EUR con rango razonado 8,50 M EUR-13,00 M EUR si los hitos se cumplen.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Driver de valor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Incremento / lectura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Evidencia necesaria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Producto CUEVA OS comercializable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Release, demos, arquitectura, licencias, seguridad.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Demo, documentación técnica, QA, repositorio y casos.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Casos y validación industrial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Piedrahita, Menorca/OADAC, Llar de Mar 2.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Fotos, métricas, contrato, m2, POI/DPP.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Hub Valeriano operativo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Nodo replicable con capacidad industrial ligera.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Acuerdo hub, showroom, visitas, primer proyecto.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Pipeline e ingresos 2027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Facturacion, EBITDA positivo y recurrencia inicial.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Contratos, facturas, cobros, P&amp;L y caja.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Certificación / SaaS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KIWA/RMOOB y legitimidad técnica/mercado.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LOI, contrato, alcance, entregables.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Mercado y relaciones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Canales, promotoras, ayuntamientos, marcas y partners.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CRM, ofertas, acuerdos y conversion.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11. Riesgos, gates y control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Riesgo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Severidad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Gate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4"/>
              </w:rPr>
              <w:t>Decision si falla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Capital 300K incompleto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Alta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Aprobacion de plan de desembolso.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Pausar capex no crítico y contrataciones.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Producto no estable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Alta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Release comercial septiembre 2026.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Reducir alcance a MVP vendible.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Pipeline no convierte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Alta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Contratos/LOIs Q1-Q2 2027.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No activar contrataciones 2027.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Hub sobredimensionado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Acuerdo y contratos asociados.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No liberar fase 2.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Proyecto de certificación se retrasa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Media-alta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LOI y alcance técnico.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No reconocer ingresos hasta firma.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Valoración no soportada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Media-alta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Informe bridge y evidencia de KPIs.</w:t>
            </w:r>
          </w:p>
        </w:tc>
        <w:tc>
          <w:tcPr>
            <w:tcW w:type="dxa" w:w="2541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4"/>
              </w:rPr>
              <w:t>Usar rango bajo y separar upside.</w:t>
            </w:r>
          </w:p>
        </w:tc>
      </w:tr>
    </w:tbl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La fortaleza del BP no esta en prometer una curva agresiva, sino en convertir cada riesgo en un gate observable. El documento debe circular con una carpeta de evidencias: modelo financiero, informe inversor, casos, contratos/LOIs, roadmap producto, CRM, presupuestos y control de caja.</w:t>
      </w:r>
    </w:p>
    <w:p>
      <w:pPr>
        <w:pStyle w:val="Heading1"/>
      </w:pPr>
      <w:r>
        <w:rPr>
          <w:rFonts w:ascii="Arial" w:hAnsi="Arial"/>
          <w:color w:val="05070A"/>
        </w:rPr>
        <w:t>12. Documentación para interesados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Documento / bloque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Uso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5070A"/>
                <w:sz w:val="15"/>
              </w:rPr>
              <w:t>Estado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Informe inversor CUEVA general v4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Valor actual 4,216M, producto, paquetes, TRL y activos.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Base incorporada.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Modelo Excel BP 300K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Uso de fondos, P&amp;L, caja, proyectos, riesgos y dashboard.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Analizado y recalculado.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Plan estratégico inversión 2026/2027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Narrativa base 300K, KPIs 2027 y valor objetivo.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Integrado como plan base.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BP avanzado 2026/2027 v1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Documento central para posibles inversores.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Generado en esta version.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Carpeta de evidencias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Soporte de contratos, LOIs, demos, CRM, casos y presupuestos.</w:t>
            </w:r>
          </w:p>
        </w:tc>
        <w:tc>
          <w:tcPr>
            <w:tcW w:type="dxa" w:w="3389"/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/>
                <w:color w:val="171B22"/>
                <w:sz w:val="15"/>
              </w:rPr>
              <w:t>Pendiente de completar por gates.</w:t>
            </w:r>
          </w:p>
        </w:tc>
      </w:tr>
    </w:tbl>
    <w:p>
      <w:pPr>
        <w:pStyle w:val="Heading1"/>
      </w:pPr>
      <w:r>
        <w:rPr>
          <w:rFonts w:ascii="Arial" w:hAnsi="Arial"/>
          <w:color w:val="05070A"/>
        </w:rPr>
        <w:t>13. Cierre</w:t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CUEVA debe presentarse como sistema operativo del activo construido verificable: no constructora, no app aislada, no consultoria generica. La tesis es que la compañía ya ha construido un activo técnico valorado por inversión y profundidad de producto, y que el tramo 300K permite convertir ese activo en mercado, contratos, caja y valor 2027.</w:t>
      </w:r>
    </w:p>
    <w:p>
      <w:pPr>
        <w:spacing w:after="140" w:line="276" w:lineRule="auto"/>
      </w:pPr>
      <w:r>
        <w:rPr>
          <w:rFonts w:ascii="Arial" w:hAnsi="Arial"/>
          <w:color w:val="171B22"/>
          <w:sz w:val="20"/>
        </w:rPr>
        <w:t>La version avanzada del BP ordena la conversacion: 4,216M de valor actual, 300K de ejecución inmediata, plan base consistente, plan ampliado por gates, modelo CUEVA Total, portfolio de productos, pipeline, caja, valoración y riesgos. Esa claridad es lo que debe permitir negociar sin diluir la historia ni sobreprometer.</w:t>
      </w:r>
    </w:p>
    <w:sectPr>
      <w:headerReference w:type="default" r:id="rId19"/>
      <w:footerReference w:type="default" r:id="rId2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5070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5070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5070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