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13232" cy="7132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eva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3232" cy="713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05070A"/>
          <w:sz w:val="46"/>
        </w:rPr>
        <w:t>CUEVA</w:t>
        <w:br/>
        <w:t>Business Plan avanzado 2026/2027</w:t>
      </w:r>
    </w:p>
    <w:p>
      <w:pPr>
        <w:jc w:val="center"/>
      </w:pPr>
      <w:r>
        <w:rPr>
          <w:rFonts w:ascii="Arial" w:hAnsi="Arial"/>
          <w:color w:val="657080"/>
          <w:sz w:val="20"/>
        </w:rPr>
        <w:t>Documento para posibles inversores | Confidencial | 10 de julio de 2026</w:t>
      </w:r>
    </w:p>
    <w:p>
      <w:r>
        <w:drawing>
          <wp:inline xmlns:a="http://schemas.openxmlformats.org/drawingml/2006/main" xmlns:pic="http://schemas.openxmlformats.org/drawingml/2006/picture">
            <wp:extent cx="6492240" cy="35412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_cover_kp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41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Arial" w:hAnsi="Arial"/>
          <w:color w:val="05070A"/>
        </w:rPr>
        <w:t>1. Tesis ejecutiva</w:t>
      </w:r>
    </w:p>
    <w:p>
      <w:pPr>
        <w:spacing w:after="140" w:line="276" w:lineRule="auto"/>
      </w:pPr>
      <w:r>
        <w:rPr>
          <w:rFonts w:ascii="Arial" w:hAnsi="Arial"/>
          <w:color w:val="171B22"/>
          <w:sz w:val="20"/>
        </w:rPr>
        <w:t>CUEVA parte de una valoración defendida de 4.216.174,70 EUR, construida sobre inversión histórica, producto, IP, know-how, prototipos, casos y evolucion de CUEVA OS. El BP 2026/2027 no intenta justificar el valor por flujos historicos, sino por coste de construcción de activo, producto alcanzado y capacidad de transformar ese activo en ingresos, evidencia y red operativa.</w:t>
      </w:r>
    </w:p>
    <w:p>
      <w:pPr>
        <w:spacing w:after="140" w:line="276" w:lineRule="auto"/>
      </w:pPr>
      <w:r>
        <w:rPr>
          <w:rFonts w:ascii="Arial" w:hAnsi="Arial"/>
          <w:color w:val="171B22"/>
          <w:sz w:val="20"/>
        </w:rPr>
        <w:t>La inversión de 300.000 EUR entre julio y diciembre de 2026 es el tramo mínimo de ejecución: continuidad de equipo, producto comercial, telecomunicaciones, hardware de campo, salida comercial, hub Menorca/OADAC y saneamiento operativo. El plan base busca 1.661.496 EUR de facturacion 2027 y EBITDA positivo; el plan ampliado/unicornio incorpora proyectos adicionales del Excel y eleva el pipeline 2027 a 2.155.000 EUR.</w:t>
      </w:r>
    </w:p>
    <w:p>
      <w:pPr>
        <w:pStyle w:val="ListBullet"/>
        <w:spacing w:after="80" w:line="269" w:lineRule="auto"/>
      </w:pPr>
      <w:r>
        <w:rPr>
          <w:rFonts w:ascii="Arial" w:hAnsi="Arial"/>
          <w:sz w:val="19"/>
        </w:rPr>
        <w:t>El plan base es el que debe ejecutarse si o si: capital 300K, producto vendible, casos, hub y primeras líneas comerciales.</w:t>
      </w:r>
    </w:p>
    <w:p>
      <w:pPr>
        <w:pStyle w:val="ListBullet"/>
        <w:spacing w:after="80" w:line="269" w:lineRule="auto"/>
      </w:pPr>
      <w:r>
        <w:rPr>
          <w:rFonts w:ascii="Arial" w:hAnsi="Arial"/>
          <w:sz w:val="19"/>
        </w:rPr>
        <w:t>El plan ampliado no sustituye al plan base: lo absorbe y activa proyectos adicionales por contrato, cobro o LOI.</w:t>
      </w:r>
    </w:p>
    <w:p>
      <w:pPr>
        <w:pStyle w:val="ListBullet"/>
        <w:spacing w:after="80" w:line="269" w:lineRule="auto"/>
      </w:pPr>
      <w:r>
        <w:rPr>
          <w:rFonts w:ascii="Arial" w:hAnsi="Arial"/>
          <w:sz w:val="19"/>
        </w:rPr>
        <w:t>El documento separa valor actual, ejecución 300K, negocio CUEVA Total, productos, pipeline, caja, valor 2027 y gates.</w:t>
      </w:r>
    </w:p>
    <w:p>
      <w:pPr>
        <w:pStyle w:val="Heading1"/>
      </w:pPr>
      <w:r>
        <w:rPr>
          <w:rFonts w:ascii="Arial" w:hAnsi="Arial"/>
          <w:color w:val="05070A"/>
        </w:rPr>
        <w:t>2. Punto de partida: valor actual y activo construido</w:t>
      </w:r>
    </w:p>
    <w:p>
      <w:pPr>
        <w:spacing w:after="140" w:line="276" w:lineRule="auto"/>
      </w:pPr>
      <w:r>
        <w:rPr>
          <w:rFonts w:ascii="Arial" w:hAnsi="Arial"/>
          <w:color w:val="171B22"/>
          <w:sz w:val="20"/>
        </w:rPr>
        <w:t>La valoración actual se apoya en el informe de inversión y producto CUEVA v4. La lectura central es que la compañía ya ha construido una base de activo tecnológico y operativo que incluye sistema físico, CEREBRO/software, IoT, operativa industrial, Designer, DPP, POI, GIS, Project Room, neuronas, Market OS, tokenizacion y verticales como iPath.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5"/>
              </w:rPr>
              <w:t>Bloque de valor</w:t>
            </w:r>
          </w:p>
        </w:tc>
        <w:tc>
          <w:tcPr>
            <w:tcW w:type="dxa" w:w="3389"/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5"/>
              </w:rPr>
              <w:t>Lectura</w:t>
            </w:r>
          </w:p>
        </w:tc>
        <w:tc>
          <w:tcPr>
            <w:tcW w:type="dxa" w:w="3389"/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5"/>
              </w:rPr>
              <w:t>Implicacion para BP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Valor actual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4.216.174,70 EUR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Base de negociación inicial: inversión acumulada y activo construido.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Producto CUEVA OS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DPP, POI, Designer, GIS, Project Room, Market OS, neuronas y activos digitales.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Convierte tecnología en oferta activable y vendible.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Casos y evidencias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Piedrahita, Menorca/OADAC, Llar de Mar 2 objetivo, pilotos y trazabilidad.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Permite vender por evidencia, no solo por promesa.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Mercado y red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Partner industrial medio, OADAC, Tash/promotoras, KIWA/RMOOB, materiales y marcas.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Acelera go-to-market sin construir una estructura pesada.</w:t>
            </w:r>
          </w:p>
        </w:tc>
      </w:tr>
    </w:tbl>
    <w:p>
      <w:pPr>
        <w:pStyle w:val="Heading1"/>
      </w:pPr>
      <w:r>
        <w:rPr>
          <w:rFonts w:ascii="Arial" w:hAnsi="Arial"/>
          <w:color w:val="05070A"/>
        </w:rPr>
        <w:t>3. Modelo de negocio CUEVA Total</w:t>
      </w:r>
    </w:p>
    <w:p>
      <w:r>
        <w:drawing>
          <wp:inline xmlns:a="http://schemas.openxmlformats.org/drawingml/2006/main" xmlns:pic="http://schemas.openxmlformats.org/drawingml/2006/picture">
            <wp:extent cx="6492240" cy="37379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_modelo_negocio_sta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737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rFonts w:ascii="Arial" w:hAnsi="Arial"/>
          <w:color w:val="171B22"/>
          <w:sz w:val="20"/>
        </w:rPr>
        <w:t>CUEVA Total monetiza la pertenencia a una red certificada, la implantación operativa, la activación de activos, la prueba de instalación, el pasaporte digital y la recurrencia sobre stock vivo. El modelo evita cargar al partner industrial con un royalty opaco: el partner paga por acceso, soporte, capacidad y metodologia; el proyecto o propietario soporta los costes asociados a activo, evidencia, DPP, POI, operación y datos.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4"/>
              </w:rPr>
              <w:t>Capa</w:t>
            </w:r>
          </w:p>
        </w:tc>
        <w:tc>
          <w:tcPr>
            <w:tcW w:type="dxa" w:w="2541"/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4"/>
              </w:rPr>
              <w:t>Que vende</w:t>
            </w:r>
          </w:p>
        </w:tc>
        <w:tc>
          <w:tcPr>
            <w:tcW w:type="dxa" w:w="2541"/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4"/>
              </w:rPr>
              <w:t>Trigger</w:t>
            </w:r>
          </w:p>
        </w:tc>
        <w:tc>
          <w:tcPr>
            <w:tcW w:type="dxa" w:w="2541"/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4"/>
              </w:rPr>
              <w:t>Calidad de ingreso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Licencia partner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Certificación, soporte y derecho de operar.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Acceso anual o capacidad.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Recurrente / mínimo anual.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Implementation P0-P5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Diagnostico, configuración, formacion y despliegue.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Contrato de implantación.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Servicios con margen.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Physical Enablement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Chip/tag, rotulado, Asset ID y readiness POI.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m2 emitido.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One-shot por m2.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Asset Activation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Entrada del activo en CUEVA OS.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Proyecto en ejecución.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One-shot por m2.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POI Evidence Pack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Prueba de instalación y recepción.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Instalacion verificada.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One-shot / evento.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DPP / Carpeta Madre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Pasaporte vivo y dossier documental.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Entrega documental viva.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Setup + modulos.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Network + Data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Mantenimiento, APIs, ESG, permisos y reporting.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Stock vivo activo.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Recurrente / enterprise.</w:t>
            </w:r>
          </w:p>
        </w:tc>
      </w:tr>
    </w:tbl>
    <w:p>
      <w:pPr>
        <w:spacing w:after="140" w:line="276" w:lineRule="auto"/>
      </w:pPr>
      <w:r>
        <w:rPr>
          <w:rFonts w:ascii="Arial" w:hAnsi="Arial"/>
          <w:color w:val="171B22"/>
          <w:sz w:val="20"/>
        </w:rPr>
        <w:t>La logica de pricing se apoya en fees unitarios por m2 y eventos de evidencia. Esta estructura permite comenzar con servicios de implantación y evolucionar hacia recurrencia sobre stock vivo, sin depender exclusivamente de margen de obra.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5"/>
              </w:rPr>
              <w:t>Fee base 2027</w:t>
            </w:r>
          </w:p>
        </w:tc>
        <w:tc>
          <w:tcPr>
            <w:tcW w:type="dxa" w:w="2541"/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5"/>
              </w:rPr>
              <w:t>Precio base</w:t>
            </w:r>
          </w:p>
        </w:tc>
        <w:tc>
          <w:tcPr>
            <w:tcW w:type="dxa" w:w="2541"/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5"/>
              </w:rPr>
              <w:t>Adopción / completion</w:t>
            </w:r>
          </w:p>
        </w:tc>
        <w:tc>
          <w:tcPr>
            <w:tcW w:type="dxa" w:w="2541"/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5"/>
              </w:rPr>
              <w:t>Ingreso efectivo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Physical Enablement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1,50 EUR/m2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100%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1,50 EUR/m2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Asset Activation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5,00 EUR/m2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88%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4,40 EUR/m2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POI Evidence Pack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4,08 EUR/m2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78%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3,18 EUR/m2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DPP / Carpeta Madre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4,93 EUR/m2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62%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3,06 EUR/m2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Network + Data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1,23 + 1,80 EUR/m2/año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40% / 16% ponderado año 1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0,39 EUR/m2</w:t>
            </w:r>
          </w:p>
        </w:tc>
      </w:tr>
    </w:tbl>
    <w:p>
      <w:pPr>
        <w:pStyle w:val="Heading2"/>
      </w:pPr>
      <w:r>
        <w:rPr>
          <w:rFonts w:ascii="Arial" w:hAnsi="Arial"/>
          <w:color w:val="171B22"/>
        </w:rPr>
        <w:t>Segmentos compradores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4"/>
              </w:rPr>
              <w:t>Segmento</w:t>
            </w:r>
          </w:p>
        </w:tc>
        <w:tc>
          <w:tcPr>
            <w:tcW w:type="dxa" w:w="2541"/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4"/>
              </w:rPr>
              <w:t>Dolor principal</w:t>
            </w:r>
          </w:p>
        </w:tc>
        <w:tc>
          <w:tcPr>
            <w:tcW w:type="dxa" w:w="2541"/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4"/>
              </w:rPr>
              <w:t>Oferta CUEVA</w:t>
            </w:r>
          </w:p>
        </w:tc>
        <w:tc>
          <w:tcPr>
            <w:tcW w:type="dxa" w:w="2541"/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4"/>
              </w:rPr>
              <w:t>Modelo de ingreso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Partner industrial / fabricante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Necesita diferenciarse, trazabilidad, metodo y digitalizacion sin rehacer toda su estructura.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Licencia, implementation, Factory Flow, DPP/POI y soporte.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Licencia + implantación + fees por m2.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Promotor / constructor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Control de plazo, calidad, recepción, documentación y riesgo de entrega.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Project Room, POI, DPP, Site Proof y dossier vivo.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Proyecto + paquetes por activo.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Hub / licenciatario territorial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Necesita oferta industrializable, casos, showroom y metodologia.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Modelo OADAC, operativa, CUEVA OS, soporte y marca.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Licencia + fees + servicios.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Administracion / ciudad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Trazabilidad, mantenimiento, circularidad, incidencias y reporting.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iPath, GIS, Maintenance OS, Circular Ledger y Citizen Connect.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Proyecto + licencia + reporting.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Certificador / asegurador / financiador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Necesita evidencia objetiva y datos verificables.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DPP, POI, audit trail, datos y API.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SaaS, integracion, reporting y datos.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Marca / material / producto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Necesita prototipos, circularidad y prueba de valor.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DPP producto, trazabilidad, pilots y Market OS.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Prototipo + licencia + marketplace futuro.</w:t>
            </w:r>
          </w:p>
        </w:tc>
      </w:tr>
    </w:tbl>
    <w:p>
      <w:pPr>
        <w:pStyle w:val="Heading1"/>
      </w:pPr>
      <w:r>
        <w:rPr>
          <w:rFonts w:ascii="Arial" w:hAnsi="Arial"/>
          <w:color w:val="05070A"/>
        </w:rPr>
        <w:t>4. Portfolio de productos y líneas</w:t>
      </w:r>
    </w:p>
    <w:p>
      <w:r>
        <w:drawing>
          <wp:inline xmlns:a="http://schemas.openxmlformats.org/drawingml/2006/main" xmlns:pic="http://schemas.openxmlformats.org/drawingml/2006/picture">
            <wp:extent cx="6492240" cy="33051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_portfolio_produc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051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4"/>
              </w:rPr>
              <w:t>Producto / línea</w:t>
            </w:r>
          </w:p>
        </w:tc>
        <w:tc>
          <w:tcPr>
            <w:tcW w:type="dxa" w:w="2541"/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4"/>
              </w:rPr>
              <w:t>Funcion</w:t>
            </w:r>
          </w:p>
        </w:tc>
        <w:tc>
          <w:tcPr>
            <w:tcW w:type="dxa" w:w="2541"/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4"/>
              </w:rPr>
              <w:t>Monetizacion</w:t>
            </w:r>
          </w:p>
        </w:tc>
        <w:tc>
          <w:tcPr>
            <w:tcW w:type="dxa" w:w="2541"/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4"/>
              </w:rPr>
              <w:t>Gate 2026/2027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DPP / Carpeta Madre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Pasaporte digital, materiales, origen, vida util y circularidad.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Setup por activo + modulos + reporting.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Pilotos con activos reales y evidencia de entrega.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POI Evidence Pack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Prueba de instalación, recepción, timestamp, responsable y dossier.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Evento / pack por instalación.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Checklists y lecturas de campo estables.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Designer generativo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Generacion de alternativas con reglas, API y vivienda incremental.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Licencia, proyecto, configuración y servicios.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Cerrar motor comercial y salidas de proyecto.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Project Room / Manager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Coordinacion multiagente, permisos, dashboards y decisiones.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SaaS/enterprise + implantación.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Primer cliente industrial y proyectos activos.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Neuronas + apps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Captura de datos de campo, tags, QR/NFC, gateways y eventos.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Hardware + servicio + datos.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Kit demo y despliegue en obra/hub.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Market OS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Paquetes, conectores, white label y beneficios por agente.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Licencia / canal / marketplace.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Oferta empaquetada y CRM activo.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GIS / iPath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Capa urbana, rutas, mantenimiento, incidencias y circularidad.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Proyecto + licencia + reporting.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Pilotos urbanos y OADAC/Menorca.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Tokenizacion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NFT/gemelo digital, colateral, smart contracts y marketplace.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Fase futura: servicios y transaccion.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Cierre jurídico/regulatorio antes de explotar.</w:t>
            </w:r>
          </w:p>
        </w:tc>
      </w:tr>
    </w:tbl>
    <w:p>
      <w:pPr>
        <w:spacing w:after="140" w:line="276" w:lineRule="auto"/>
      </w:pPr>
      <w:r>
        <w:rPr>
          <w:rFonts w:ascii="Arial" w:hAnsi="Arial"/>
          <w:color w:val="171B22"/>
          <w:sz w:val="20"/>
        </w:rPr>
        <w:t>Cada producto debe circular con una ficha comercial y una ficha técnica: problema que resuelve, modulo CUEVA afectado, precio/trigger, evidencias mínimas, dependencia técnica y responsable. El objetivo del BP es que un interesado vea negocio, no solo tecnología.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4"/>
              </w:rPr>
              <w:t>Producto</w:t>
            </w:r>
          </w:p>
        </w:tc>
        <w:tc>
          <w:tcPr>
            <w:tcW w:type="dxa" w:w="3389"/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4"/>
              </w:rPr>
              <w:t>Entregable comercial 2026/2027</w:t>
            </w:r>
          </w:p>
        </w:tc>
        <w:tc>
          <w:tcPr>
            <w:tcW w:type="dxa" w:w="3389"/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4"/>
              </w:rPr>
              <w:t>Evidencia mínima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DPP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Demo de pasaporte por activo y dossier documental.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Ficha de activo, materiales, historial y export documental.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POI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Pack de recepción e instalación verificable.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Checklist, timestamp, responsable, foto/documento y cierre.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Designer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Generacion asistida de alternativas con API.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Caso de vivienda generativa y reglas parametrizadas.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Project Room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Sala de proyecto con roles y documentos.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Panel por agente, permisos, estados y decisiones.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Neuronas/apps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Kit de lectura campo + evidencia.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Lectores, tags, QR/NFC, eventos y sincronizacion.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Market OS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Oferta modular y paquetes por actor.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Carta de Servicios, Benefits OS y CRM de oportunidades.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GIS/iPath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Vertical urbana y mantenimiento.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Mapa activo-evento, incidencias, Circular Ledger y reporting.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Tokenizacion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Marco de gemelo digital/activo.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White paper, arquitectura conceptual y mapa jurídico pendiente.</w:t>
            </w:r>
          </w:p>
        </w:tc>
      </w:tr>
    </w:tbl>
    <w:p>
      <w:pPr>
        <w:pStyle w:val="Heading1"/>
      </w:pPr>
      <w:r>
        <w:rPr>
          <w:rFonts w:ascii="Arial" w:hAnsi="Arial"/>
          <w:color w:val="05070A"/>
        </w:rPr>
        <w:t>5. Plan 300K: uso de fondos y gates</w:t>
      </w:r>
    </w:p>
    <w:p>
      <w:r>
        <w:drawing>
          <wp:inline xmlns:a="http://schemas.openxmlformats.org/drawingml/2006/main" xmlns:pic="http://schemas.openxmlformats.org/drawingml/2006/picture">
            <wp:extent cx="6492240" cy="34625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_uso_fondos_300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62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rFonts w:ascii="Arial" w:hAnsi="Arial"/>
          <w:color w:val="171B22"/>
          <w:sz w:val="20"/>
        </w:rPr>
        <w:t>El capital 300K se debe liberar por gates de ejecución. La prioridad no es crecer en estructura, sino llegar a septiembre-diciembre 2026 con producto demostrable, narrativa comercial, capacidad de campo, contratos encaminados y control de caja.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4"/>
              </w:rPr>
              <w:t>Bloque</w:t>
            </w:r>
          </w:p>
        </w:tc>
        <w:tc>
          <w:tcPr>
            <w:tcW w:type="dxa" w:w="3389"/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4"/>
              </w:rPr>
              <w:t>Importe</w:t>
            </w:r>
          </w:p>
        </w:tc>
        <w:tc>
          <w:tcPr>
            <w:tcW w:type="dxa" w:w="3389"/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4"/>
              </w:rPr>
              <w:t>Lectura de ejecución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Equipo base julio-diciembre 2026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114.600 EUR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Liberar por evidencia, contrato, factura o necesidad crítica.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Seguridad Social / gestoría laboral / cumplimiento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18.000 EUR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Liberar por evidencia, contrato, factura o necesidad crítica.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Software / IT / telecomunicaciones / IA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78.000 EUR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Liberar por evidencia, contrato, factura o necesidad crítica.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Marketing y comunicación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18.000 EUR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Liberar por evidencia, contrato, factura o necesidad crítica.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Saneamiento operativo y cierres críticos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43.400 EUR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Liberar por evidencia, contrato, factura o necesidad crítica.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Hub OADAC / Valeriano / showroom fase 0-1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23.000 EUR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Liberar por evidencia, contrato, factura o necesidad crítica.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Legal, auditoría, documentación y contingencia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5.000 EUR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Liberar por evidencia, contrato, factura o necesidad crítica.</w:t>
            </w:r>
          </w:p>
        </w:tc>
      </w:tr>
    </w:tbl>
    <w:p>
      <w:pPr>
        <w:pStyle w:val="Heading1"/>
      </w:pPr>
      <w:r>
        <w:rPr>
          <w:rFonts w:ascii="Arial" w:hAnsi="Arial"/>
          <w:color w:val="05070A"/>
        </w:rPr>
        <w:t>6. Plan base vs plan ampliado/unicornio</w:t>
      </w:r>
    </w:p>
    <w:p>
      <w:r>
        <w:drawing>
          <wp:inline xmlns:a="http://schemas.openxmlformats.org/drawingml/2006/main" xmlns:pic="http://schemas.openxmlformats.org/drawingml/2006/picture">
            <wp:extent cx="6492240" cy="34625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_valor_ingresos_brid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62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rFonts w:ascii="Arial" w:hAnsi="Arial"/>
          <w:color w:val="171B22"/>
          <w:sz w:val="20"/>
        </w:rPr>
        <w:t>El BP se presenta en dos capas para evitar confundir ejecución mínima con upside. El plan base es el plan estratégico 26/27 que CUEVA debe ejecutar; el plan ampliado/unicornio incorpora proyectos adicionales, mayor pipeline y más velocidad de posicionamiento si se formaliza la entrada de capital necesaria.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4"/>
              </w:rPr>
              <w:t>Metrica</w:t>
            </w:r>
          </w:p>
        </w:tc>
        <w:tc>
          <w:tcPr>
            <w:tcW w:type="dxa" w:w="2541"/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4"/>
              </w:rPr>
              <w:t>Plan base 300K</w:t>
            </w:r>
          </w:p>
        </w:tc>
        <w:tc>
          <w:tcPr>
            <w:tcW w:type="dxa" w:w="2541"/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4"/>
              </w:rPr>
              <w:t>Plan ampliado / unicornio</w:t>
            </w:r>
          </w:p>
        </w:tc>
        <w:tc>
          <w:tcPr>
            <w:tcW w:type="dxa" w:w="2541"/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4"/>
              </w:rPr>
              <w:t>Lectura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Inversión 2026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300.000 EUR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300.000 EUR como primer tramo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El plan ampliado no elimina el 300K; lo convierte en base de ejecución.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Facturacion 2027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1.661.496 EUR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2.155.000 EUR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Base con OADAC, Llar de Mar 2, partner industrial y KIWA/RMOOB; ampliado suma proyectos adicionales.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EBITDA 2027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408.897 EUR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439.299 EUR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Ambos buscan autosostenibilidad por caja en 2027.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Caja final 2027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506.361 EUR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455.299 EUR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La caja depende de cobros por hitos y control de contratacion.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Valor 2027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10,50 M EUR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rango 8,50 M EUR - 13,00 M EUR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El rango alto requiere contratos, evidencia y producto estable.</w:t>
            </w:r>
          </w:p>
        </w:tc>
      </w:tr>
    </w:tbl>
    <w:p>
      <w:pPr>
        <w:pStyle w:val="Heading2"/>
      </w:pPr>
      <w:r>
        <w:rPr>
          <w:rFonts w:ascii="Arial" w:hAnsi="Arial"/>
          <w:color w:val="171B22"/>
        </w:rPr>
        <w:t>Definición del plan ampliado / unicornio</w:t>
      </w:r>
    </w:p>
    <w:p>
      <w:pPr>
        <w:spacing w:after="140" w:line="276" w:lineRule="auto"/>
      </w:pPr>
      <w:r>
        <w:rPr>
          <w:rFonts w:ascii="Arial" w:hAnsi="Arial"/>
          <w:color w:val="171B22"/>
          <w:sz w:val="20"/>
        </w:rPr>
        <w:t>El plan ampliado no debe venderse como fantasia de crecimiento, sino como aceleracion ordenada del plan base cuando entren capital, contratos o alianzas. Su logica es: primero ejecutar los 300K, despues convertir producto y red en ingresos, y solo entonces ampliar equipo, hubs y capas de producto.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4"/>
              </w:rPr>
              <w:t>Palanca</w:t>
            </w:r>
          </w:p>
        </w:tc>
        <w:tc>
          <w:tcPr>
            <w:tcW w:type="dxa" w:w="2541"/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4"/>
              </w:rPr>
              <w:t>Que activa</w:t>
            </w:r>
          </w:p>
        </w:tc>
        <w:tc>
          <w:tcPr>
            <w:tcW w:type="dxa" w:w="2541"/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4"/>
              </w:rPr>
              <w:t>Condicion de entrada</w:t>
            </w:r>
          </w:p>
        </w:tc>
        <w:tc>
          <w:tcPr>
            <w:tcW w:type="dxa" w:w="2541"/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4"/>
              </w:rPr>
              <w:t>Resultado buscado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Producto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CUEVA OS multi-cliente, QA, seguridad, APIs, apps y neuronas.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Release comercial y primer despliegue.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Menor riesgo técnico y mayor velocidad de implantación.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Certificación / SaaS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KIWA/RMOOB, SaaS materia + producto, reporting y legitimidad.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LOI/contrato y alcance cerrado.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Ingreso relevante y validación externa.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Hubs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OADAC/Menorca y replicabilidad territorial.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Acuerdo hub + proyecto activo.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Capacidad demostrable sin capex pesado.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Industrial partners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Implementation, m2, POI/DPP y recurrencia.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Contrato y calendario de cobro.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Escala operativa y pipeline por m2.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Datos y activos digitales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DPP, POI, tokenizacion, smart contracts y marketplace futuro.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Base legal y casos de uso.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Nueva capa de monetizacion y financiación.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Mercado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CRM, casos, marcas, ayuntamientos, promotoras y constructoras.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Oferta y material comercial listos.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Conversacion comercial repetible.</w:t>
            </w:r>
          </w:p>
        </w:tc>
      </w:tr>
    </w:tbl>
    <w:p>
      <w:pPr>
        <w:pStyle w:val="Heading1"/>
      </w:pPr>
      <w:r>
        <w:rPr>
          <w:rFonts w:ascii="Arial" w:hAnsi="Arial"/>
          <w:color w:val="05070A"/>
        </w:rPr>
        <w:t>7. Pipeline 2027 y go-to-market</w:t>
      </w:r>
    </w:p>
    <w:p>
      <w:r>
        <w:drawing>
          <wp:inline xmlns:a="http://schemas.openxmlformats.org/drawingml/2006/main" xmlns:pic="http://schemas.openxmlformats.org/drawingml/2006/picture">
            <wp:extent cx="6492240" cy="35412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_pipeline_2027_line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4122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4"/>
              </w:rPr>
              <w:t>Linea</w:t>
            </w:r>
          </w:p>
        </w:tc>
        <w:tc>
          <w:tcPr>
            <w:tcW w:type="dxa" w:w="2541"/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4"/>
              </w:rPr>
              <w:t>Naturaleza</w:t>
            </w:r>
          </w:p>
        </w:tc>
        <w:tc>
          <w:tcPr>
            <w:tcW w:type="dxa" w:w="2541"/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4"/>
              </w:rPr>
              <w:t>Confianza / riesgo</w:t>
            </w:r>
          </w:p>
        </w:tc>
        <w:tc>
          <w:tcPr>
            <w:tcW w:type="dxa" w:w="2541"/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4"/>
              </w:rPr>
              <w:t>2027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Llar de Mar 2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Proyecto construcción industrializada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Medio - contrato objetivo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535.000 EUR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Partner industrial medio / CUEVA OS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Cliente industrial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Medio - negociación activa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180.000 EUR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KIWA/RMOOB A 450k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SaaS materia + producto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Medio - LOI necesario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450.000 EUR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KIWA/RMOOB B1 400k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Fase 1 proyecto 800k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Medio - faseable H2 2027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400.000 EUR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KIWA/RMOOB B2 400k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Fase 2 proyecto 800k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Medio - faseable H2 2027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400.000 EUR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Moolde / Plastic People / Calaf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Piloto producto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Medio-bajo - cofinanciación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90.000 EUR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Marsam / marcas producto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Prototipos comerciales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Medio-bajo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40.000 EUR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SaaS/POI/DPP recurrente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MRR/servicios recurrentes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Medio-bajo - depende adopción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60.000 EUR</w:t>
            </w:r>
          </w:p>
        </w:tc>
      </w:tr>
    </w:tbl>
    <w:p>
      <w:pPr>
        <w:spacing w:after="140" w:line="276" w:lineRule="auto"/>
      </w:pPr>
      <w:r>
        <w:rPr>
          <w:rFonts w:ascii="Arial" w:hAnsi="Arial"/>
          <w:color w:val="171B22"/>
          <w:sz w:val="20"/>
        </w:rPr>
        <w:t>La salida comercial debe organizarse por líneas: hub OADAC/Menorca, proyectos industrializados, partner industrial medio, certificación/SaaS, pilotos de producto, marcas/prototipos y recurrencia POI/DPP/SaaS. Cada línea debe tener responsable, CRM, oferta, gate y evidencia.</w:t>
      </w:r>
    </w:p>
    <w:p>
      <w:pPr>
        <w:pStyle w:val="Heading1"/>
      </w:pPr>
      <w:r>
        <w:rPr>
          <w:rFonts w:ascii="Arial" w:hAnsi="Arial"/>
          <w:color w:val="05070A"/>
        </w:rPr>
        <w:t>8. Economía, P&amp;L y caja</w:t>
      </w:r>
    </w:p>
    <w:p>
      <w:r>
        <w:drawing>
          <wp:inline xmlns:a="http://schemas.openxmlformats.org/drawingml/2006/main" xmlns:pic="http://schemas.openxmlformats.org/drawingml/2006/picture">
            <wp:extent cx="6492240" cy="299036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_caja_mensu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9036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5"/>
              </w:rPr>
              <w:t>Concepto</w:t>
            </w:r>
          </w:p>
        </w:tc>
        <w:tc>
          <w:tcPr>
            <w:tcW w:type="dxa" w:w="2541"/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5"/>
              </w:rPr>
              <w:t>2026</w:t>
            </w:r>
          </w:p>
        </w:tc>
        <w:tc>
          <w:tcPr>
            <w:tcW w:type="dxa" w:w="2541"/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5"/>
              </w:rPr>
              <w:t>2027</w:t>
            </w:r>
          </w:p>
        </w:tc>
        <w:tc>
          <w:tcPr>
            <w:tcW w:type="dxa" w:w="2541"/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5"/>
              </w:rPr>
              <w:t>Lectura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Ingresos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16.000 EUR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2.155.000 EUR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2026 es preparacion; 2027 concentra monetizacion.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Margen bruto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7.200 EUR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969.750 EUR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Modelo recalculado con coste directo del 55%.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EBITDA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-206.400 EUR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439.299 EUR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Punto de autosostenibilidad condicionado a contratos/cobros.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Caja final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-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455.299 EUR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El mínimo mensual recalculado queda en 16.000 EUR.</w:t>
            </w:r>
          </w:p>
        </w:tc>
      </w:tr>
    </w:tbl>
    <w:p>
      <w:pPr>
        <w:pStyle w:val="ListBullet"/>
        <w:spacing w:after="80" w:line="269" w:lineRule="auto"/>
      </w:pPr>
      <w:r>
        <w:rPr>
          <w:rFonts w:ascii="Arial" w:hAnsi="Arial"/>
          <w:sz w:val="19"/>
        </w:rPr>
        <w:t>Contrataciones 2027 solo por gates: contrato, cobro, m2 activados o necesidad real de despliegue.</w:t>
      </w:r>
    </w:p>
    <w:p>
      <w:pPr>
        <w:pStyle w:val="ListBullet"/>
        <w:spacing w:after="80" w:line="269" w:lineRule="auto"/>
      </w:pPr>
      <w:r>
        <w:rPr>
          <w:rFonts w:ascii="Arial" w:hAnsi="Arial"/>
          <w:sz w:val="19"/>
        </w:rPr>
        <w:t>No reconocer ingresos objetivo como committed: separar firmado, LOI, oferta y oportunidad.</w:t>
      </w:r>
    </w:p>
    <w:p>
      <w:pPr>
        <w:pStyle w:val="ListBullet"/>
        <w:spacing w:after="80" w:line="269" w:lineRule="auto"/>
      </w:pPr>
      <w:r>
        <w:rPr>
          <w:rFonts w:ascii="Arial" w:hAnsi="Arial"/>
          <w:sz w:val="19"/>
        </w:rPr>
        <w:t>Priorizar cobros por hitos y evitar proyectos sin anticipo o precio cerrado.</w:t>
      </w:r>
    </w:p>
    <w:p>
      <w:pPr>
        <w:pStyle w:val="Heading1"/>
      </w:pPr>
      <w:r>
        <w:rPr>
          <w:rFonts w:ascii="Arial" w:hAnsi="Arial"/>
          <w:color w:val="05070A"/>
        </w:rPr>
        <w:t>9. Roadmap operativo</w:t>
      </w:r>
    </w:p>
    <w:p>
      <w:r>
        <w:drawing>
          <wp:inline xmlns:a="http://schemas.openxmlformats.org/drawingml/2006/main" xmlns:pic="http://schemas.openxmlformats.org/drawingml/2006/picture">
            <wp:extent cx="6492240" cy="299036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_roadmap_2026_202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9036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4"/>
              </w:rPr>
              <w:t>Periodo</w:t>
            </w:r>
          </w:p>
        </w:tc>
        <w:tc>
          <w:tcPr>
            <w:tcW w:type="dxa" w:w="2541"/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4"/>
              </w:rPr>
              <w:t>Foco</w:t>
            </w:r>
          </w:p>
        </w:tc>
        <w:tc>
          <w:tcPr>
            <w:tcW w:type="dxa" w:w="2541"/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4"/>
              </w:rPr>
              <w:t>Gate de avance</w:t>
            </w:r>
          </w:p>
        </w:tc>
        <w:tc>
          <w:tcPr>
            <w:tcW w:type="dxa" w:w="2541"/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4"/>
              </w:rPr>
              <w:t>Evidencia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Jul-Sep 2026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Capital 300K, saneamiento operativo, producto demo, salida comercial.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Plan de desembolso y release comercial.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Recibos, acuerdos, demo, web/deck/CRM.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Oct-Dic 2026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Ofertas, LOIs, hub fase 0-1, partner industrial y preparacion 2027.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Contratos/LOIs y pipeline cualificado.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CRM, actas, presupuestos, acuerdos hub.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Q1 2027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Llar de Mar 2, OADAC licencia, primer despliegue industrial.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Contrato y anticipo.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Facturas, calendario, piezas/evidencias.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Q2 2027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POI/DPP campo, certificación/SaaS, pilotos de producto.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Hitos cobrados y demostradores.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Dossiers, lecturas, informes.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Q3-Q4 2027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Escalado, SaaS recurrente, pipeline ampliado, valoración.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Caja positiva y contratos activos.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P&amp;L, caja, casos, data pack.</w:t>
            </w:r>
          </w:p>
        </w:tc>
      </w:tr>
    </w:tbl>
    <w:p>
      <w:pPr>
        <w:pStyle w:val="Heading1"/>
      </w:pPr>
      <w:r>
        <w:rPr>
          <w:rFonts w:ascii="Arial" w:hAnsi="Arial"/>
          <w:color w:val="05070A"/>
        </w:rPr>
        <w:t>10. Valoración y bridge 2027</w:t>
      </w:r>
    </w:p>
    <w:p>
      <w:r>
        <w:drawing>
          <wp:inline xmlns:a="http://schemas.openxmlformats.org/drawingml/2006/main" xmlns:pic="http://schemas.openxmlformats.org/drawingml/2006/picture">
            <wp:extent cx="6492240" cy="334448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_bridge_valo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44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rFonts w:ascii="Arial" w:hAnsi="Arial"/>
          <w:color w:val="171B22"/>
          <w:sz w:val="20"/>
        </w:rPr>
        <w:t>El Excel V5 utiliza una referencia de 4,0M y objetivo interno 9,5M. Este documento actualiza el punto de partida a 4.216.174,70 EUR por coherencia con el informe inversor v4, y mantiene como tesis comercial un objetivo base de 10,50 M EUR con rango razonado 8,50 M EUR-13,00 M EUR si los hitos se cumplen.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4"/>
              </w:rPr>
              <w:t>Driver de valor</w:t>
            </w:r>
          </w:p>
        </w:tc>
        <w:tc>
          <w:tcPr>
            <w:tcW w:type="dxa" w:w="3389"/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4"/>
              </w:rPr>
              <w:t>Incremento / lectura</w:t>
            </w:r>
          </w:p>
        </w:tc>
        <w:tc>
          <w:tcPr>
            <w:tcW w:type="dxa" w:w="3389"/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4"/>
              </w:rPr>
              <w:t>Evidencia necesaria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Producto CUEVA OS comercializable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Release, demos, arquitectura, licencias, seguridad.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Demo, documentación técnica, QA, repositorio y casos.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Casos y validación industrial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Piedrahita, Menorca/OADAC, Llar de Mar 2.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Fotos, métricas, contrato, m2, POI/DPP.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Hub OADAC operativo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Nodo replicable con capacidad industrial ligera.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Acuerdo hub, showroom, visitas, primer proyecto.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Pipeline e ingresos 2027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Facturacion, EBITDA positivo y recurrencia inicial.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Contratos, facturas, cobros, P&amp;L y caja.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Certificación / SaaS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KIWA/RMOOB y legitimidad técnica/mercado.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LOI, contrato, alcance, entregables.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Mercado y relaciones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Canales, promotoras, ayuntamientos, marcas y partners.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CRM, ofertas, acuerdos y conversion.</w:t>
            </w:r>
          </w:p>
        </w:tc>
      </w:tr>
    </w:tbl>
    <w:p>
      <w:pPr>
        <w:pStyle w:val="Heading1"/>
      </w:pPr>
      <w:r>
        <w:rPr>
          <w:rFonts w:ascii="Arial" w:hAnsi="Arial"/>
          <w:color w:val="05070A"/>
        </w:rPr>
        <w:t>11. Riesgos, gates y control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4"/>
              </w:rPr>
              <w:t>Riesgo</w:t>
            </w:r>
          </w:p>
        </w:tc>
        <w:tc>
          <w:tcPr>
            <w:tcW w:type="dxa" w:w="2541"/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4"/>
              </w:rPr>
              <w:t>Severidad</w:t>
            </w:r>
          </w:p>
        </w:tc>
        <w:tc>
          <w:tcPr>
            <w:tcW w:type="dxa" w:w="2541"/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4"/>
              </w:rPr>
              <w:t>Gate</w:t>
            </w:r>
          </w:p>
        </w:tc>
        <w:tc>
          <w:tcPr>
            <w:tcW w:type="dxa" w:w="2541"/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4"/>
              </w:rPr>
              <w:t>Decision si falla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Capital 300K incompleto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Alta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Aprobacion de plan de desembolso.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Pausar capex no crítico y contrataciones.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Producto no estable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Alta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Release comercial septiembre 2026.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Reducir alcance a MVP vendible.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Pipeline no convierte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Alta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Contratos/LOIs Q1-Q2 2027.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No activar contrataciones 2027.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Hub sobredimensionado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Media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Acuerdo y contratos asociados.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No liberar fase 2.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Proyecto de certificación se retrasa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Media-alta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LOI y alcance técnico.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No reconocer ingresos hasta firma.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Valoración no soportada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Media-alta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Informe bridge y evidencia de KPIs.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Usar rango bajo y separar upside.</w:t>
            </w:r>
          </w:p>
        </w:tc>
      </w:tr>
    </w:tbl>
    <w:p>
      <w:pPr>
        <w:spacing w:after="140" w:line="276" w:lineRule="auto"/>
      </w:pPr>
      <w:r>
        <w:rPr>
          <w:rFonts w:ascii="Arial" w:hAnsi="Arial"/>
          <w:color w:val="171B22"/>
          <w:sz w:val="20"/>
        </w:rPr>
        <w:t>La fortaleza del BP no esta en prometer una curva agresiva, sino en convertir cada riesgo en un gate observable. El documento debe circular con una carpeta de evidencias: modelo financiero, informe inversor, casos, contratos/LOIs, roadmap producto, CRM, presupuestos y control de caja.</w:t>
      </w:r>
    </w:p>
    <w:p>
      <w:pPr>
        <w:pStyle w:val="Heading1"/>
      </w:pPr>
      <w:r>
        <w:rPr>
          <w:rFonts w:ascii="Arial" w:hAnsi="Arial"/>
          <w:color w:val="05070A"/>
        </w:rPr>
        <w:t>12. Documentación para interesados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5"/>
              </w:rPr>
              <w:t>Documento / bloque</w:t>
            </w:r>
          </w:p>
        </w:tc>
        <w:tc>
          <w:tcPr>
            <w:tcW w:type="dxa" w:w="3389"/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5"/>
              </w:rPr>
              <w:t>Uso</w:t>
            </w:r>
          </w:p>
        </w:tc>
        <w:tc>
          <w:tcPr>
            <w:tcW w:type="dxa" w:w="3389"/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5"/>
              </w:rPr>
              <w:t>Estado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Informe inversor CUEVA general v4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Valor actual 4,216M, producto, paquetes, TRL y activos.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Base incorporada.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Modelo Excel BP 300K V5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Uso de fondos, P&amp;L, caja, proyectos, riesgos y dashboard.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Analizado y recalculado.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Plan estratégico inversión 2026/2027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Narrativa base 300K, KPIs 2027 y valor objetivo.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Integrado como plan base.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BP avanzado 2026/2027 v1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Documento central para posibles inversores.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Generado en esta version.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Carpeta de evidencias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Soporte de contratos, LOIs, demos, CRM, casos y presupuestos.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Pendiente de completar por gates.</w:t>
            </w:r>
          </w:p>
        </w:tc>
      </w:tr>
    </w:tbl>
    <w:p>
      <w:pPr>
        <w:pStyle w:val="Heading1"/>
      </w:pPr>
      <w:r>
        <w:rPr>
          <w:rFonts w:ascii="Arial" w:hAnsi="Arial"/>
          <w:color w:val="05070A"/>
        </w:rPr>
        <w:t>13. Cierre</w:t>
      </w:r>
    </w:p>
    <w:p>
      <w:pPr>
        <w:spacing w:after="140" w:line="276" w:lineRule="auto"/>
      </w:pPr>
      <w:r>
        <w:rPr>
          <w:rFonts w:ascii="Arial" w:hAnsi="Arial"/>
          <w:color w:val="171B22"/>
          <w:sz w:val="20"/>
        </w:rPr>
        <w:t>CUEVA debe presentarse como sistema operativo del activo construido verificable: no constructora, no app aislada, no consultoria generica. La tesis es que la compañía ya ha construido un activo técnico valorado por inversión y profundidad de producto, y que el tramo 300K permite convertir ese activo en mercado, contratos, caja y valor 2027.</w:t>
      </w:r>
    </w:p>
    <w:p>
      <w:pPr>
        <w:spacing w:after="140" w:line="276" w:lineRule="auto"/>
      </w:pPr>
      <w:r>
        <w:rPr>
          <w:rFonts w:ascii="Arial" w:hAnsi="Arial"/>
          <w:color w:val="171B22"/>
          <w:sz w:val="20"/>
        </w:rPr>
        <w:t>La version avanzada del BP ordena la conversacion: 4,216M de valor actual, 300K de ejecución inmediata, plan base defendible, plan ampliado por gates, modelo CUEVA Total, portfolio de productos, pipeline, caja, valoración y riesgos. Esa claridad es lo que debe permitir negociar sin diluir la historia ni sobreprometer.</w:t>
      </w:r>
    </w:p>
    <w:sectPr w:rsidR="00FC693F" w:rsidRPr="0006063C" w:rsidSect="00034616"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5070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5070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5070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