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Methods Section: Sertraline Docking Workflow</w:t>
      </w:r>
    </w:p>
    <w:p>
      <w:pPr>
        <w:jc w:val="center"/>
      </w:pPr>
      <w:r>
        <w:rPr>
          <w:rFonts w:ascii="Times New Roman" w:hAnsi="Times New Roman"/>
          <w:i/>
          <w:sz w:val="22"/>
        </w:rPr>
        <w:t>Manuscript-oriented version with numbered subsections and citation placeholders</w:t>
      </w:r>
    </w:p>
    <w:p>
      <w:pPr>
        <w:pStyle w:val="Heading1"/>
      </w:pPr>
      <w:r>
        <w:t>1. Data collection and input assembly</w:t>
      </w:r>
    </w:p>
    <w:p>
      <w:r>
        <w:t>Experimentally solved receptor structures were collected from the Protein Data Bank and organized into a project-specific receptor panel comprising 14 receptor structures mapped to 13 named targets (CAII, CAIX, CDK2_Kinase, COX1, COX2, COXII_2, EGFR_Kinase, ERBB3_Kinase, PDGFRA, TrkA_Kinase, VEGFR2_Kinase, hLOXL2, ts3_Central) [CITATION]. For each receptor, the corresponding co-crystallized ligand was retained whenever possible to provide an experimentally anchored reference for pocket definition and benchmark redocking [CITATION].</w:t>
      </w:r>
    </w:p>
    <w:p>
      <w:r>
        <w:t>The ligand set contained 34 docking ligands in the final pairlist, including 12 benchmark ligand identities and 22 nonreference ligands drawn from the sertraline-pyrazole screening panel and comparator compounds [CITATION].</w:t>
      </w:r>
    </w:p>
    <w:p>
      <w:pPr>
        <w:pStyle w:val="Heading1"/>
      </w:pPr>
      <w:r>
        <w:t>2. Receptor and ligand preparation</w:t>
      </w:r>
    </w:p>
    <w:p>
      <w:r>
        <w:t>Protein structures were cleaned and converted into docking-compatible receptor files in PDBQT format. In parallel, benchmark ligands and screening ligands were prepared into docking-ready PDBQT ligand files so that the same ligand representations could be evaluated reproducibly across all enabled docking engines [CITATION].</w:t>
      </w:r>
    </w:p>
    <w:p>
      <w:r>
        <w:t>This project used a separated preparation philosophy in which receptor preparation standardized the macromolecular binding environment, whereas ligand preparation standardized the chemical representation of the small molecules before matrix construction [CITATION].</w:t>
      </w:r>
    </w:p>
    <w:p>
      <w:pPr>
        <w:pStyle w:val="Heading1"/>
      </w:pPr>
      <w:r>
        <w:t>3. Pairlist-driven docking design</w:t>
      </w:r>
    </w:p>
    <w:p>
      <w:r>
        <w:t>The docking experiment was encoded as a pairlist containing 169 receptor-ligand-site combinations. Each pairlist row recorded the receptor, ligand, target display name, site identifier, benchmark status, co-crystal reference identity, and search-box coordinates. Pair generation was performed in the cocrystal_plus_nonreference mode, in which experimentally observed co-crystal ligand geometry was used to define the site and then expand docking to the nonreference ligand set [CITATION].</w:t>
      </w:r>
    </w:p>
    <w:p>
      <w:r>
        <w:t>The pair sources in the final matrix were cocrystal: 13, expanded_nonreference_ligands: 156. The docking box dimensions were standardized as 20.0 x 20.0 x 20.0 A, while the center coordinates remained receptor-specific and were inherited from the co-crystal ligand geometry [CITATION].</w:t>
      </w:r>
    </w:p>
    <w:p>
      <w:pPr>
        <w:pStyle w:val="Heading1"/>
      </w:pPr>
      <w:r>
        <w:t>4. Docking engine configuration</w:t>
      </w:r>
    </w:p>
    <w:p>
      <w:r>
        <w:t>Three docking engines were used in the comparative workflow: gnina, smina, vina. All engines were run in a harmonized screening configuration to preserve comparability across the receptor-ligand matrix [CITATION].</w:t>
      </w:r>
    </w:p>
    <w:p>
      <w:r>
        <w:t>4.1. GNINA settings. CPU threads = 16; exhaustiveness = 16; poses returned = 20; CNN scoring = rescore; GPU enabled = False [CITATION].</w:t>
      </w:r>
    </w:p>
    <w:p>
      <w:r>
        <w:t>4.2. SMINA settings. CPU threads = 16; exhaustiveness = 16; poses returned = 20 [CITATION].</w:t>
      </w:r>
    </w:p>
    <w:p>
      <w:r>
        <w:t>4.3. VINA settings. CPU threads = 16; exhaustiveness = 16; poses returned = 20 [CITATION].</w:t>
      </w:r>
    </w:p>
    <w:p>
      <w:pPr>
        <w:pStyle w:val="Heading1"/>
      </w:pPr>
      <w:r>
        <w:t>5. Post-docking analysis</w:t>
      </w:r>
    </w:p>
    <w:p>
      <w:r>
        <w:t>Post-docking analysis was conducted as a structured workflow comprising raw score aggregation, best-pose summarization, cross-engine comparison, rank-based normalization, consensus analysis, and hit classification [CITATION]. Raw outputs were first collated into shared score tables, after which engine affinity matrices, rank-correlation tables, validation-gate artifacts, consensus-ranked hit tables, and top-pose ligand performance summaries were generated.</w:t>
      </w:r>
    </w:p>
    <w:p>
      <w:r>
        <w:t>In the current project context, GNINA was used as the favorite-engine continuation path, the analysis scope was full, the consensus mode was dockbox_geometric, and the normalization method was per_engine_rank. A requested target_percentile policy was automatically converted to target_percentile because the validation gate state was needs_review [CITATION].</w:t>
      </w:r>
    </w:p>
    <w:p>
      <w:r>
        <w:t>This analysis design allowed raw docking scores to be interpreted together with benchmark behavior, inter-engine agreement, and target-aware hit classification rather than relying on one absolute affinity threshold across all targets [CITATION].</w:t>
      </w:r>
    </w:p>
    <w:p>
      <w:pPr>
        <w:pStyle w:val="Heading1"/>
      </w:pPr>
      <w:r>
        <w:t>6. Project-specific study summary</w:t>
      </w:r>
    </w:p>
    <w:p>
      <w:r>
        <w:t>The final sertraline docking dataset comprised 14 receptor structures, 13 named targets, 34 ligands, 13 benchmark rows, and 169 total receptor-ligand docking pairs. The benchmark ligands were 748, 7GI, ANP, AQ4, AXI, BCT, CEL, LIA, RCX, SRE, STI, Y0R, and the nonreference ligand panel contained 22 ligands. These values were extracted directly from the project pairlist and run metadata rather than being inserted as generic placeholders.</w:t>
      </w:r>
    </w:p>
    <w:p>
      <w:pPr>
        <w:pStyle w:val="Heading1"/>
      </w:pPr>
      <w:r>
        <w:t>7. Citation placeholder guidance</w:t>
      </w:r>
    </w:p>
    <w:p>
      <w:r>
        <w:t>Replace each [CITATION] marker with the appropriate source, such as the Protein Data Bank reference, docking-engine publications, GNINA/SMINA/Vina methodology papers, and any thesis-specific citations describing the sertraline derivative library or biological target rationale.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