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Experimental Methods for the Sertraline Docking Project</w:t>
      </w:r>
    </w:p>
    <w:p>
      <w:pPr>
        <w:jc w:val="center"/>
      </w:pPr>
      <w:r>
        <w:rPr>
          <w:rFonts w:ascii="Times New Roman" w:hAnsi="Times New Roman"/>
          <w:i/>
          <w:sz w:val="22"/>
        </w:rPr>
        <w:t>Omni-DockForge project narrative for thesis and manuscript writing</w:t>
      </w:r>
    </w:p>
    <w:p>
      <w:pPr>
        <w:pStyle w:val="Heading1"/>
      </w:pPr>
      <w:r>
        <w:t>Project Summary</w:t>
      </w:r>
    </w:p>
    <w:p>
      <w:r>
        <w:t>The sertraline docking campaign was organized as a multi-target structure-based screening workflow in Omni-DockForge. The final docking matrix contained 169 receptor-ligand combinations constructed from 14 prepared receptor structures representing 13 named protein targets and 34 docked ligands. The study combined benchmark redocking rows derived from co-crystallized ligands with a nonreference screening set composed of sertraline-pyrazole derivatives and comparator ligands.</w:t>
      </w:r>
    </w:p>
    <w:p>
      <w:r>
        <w:t>Within this matrix, 13 receptor-ligand rows were explicitly retained as co-crystal benchmark cases, spanning 13 receptor structures and 12 distinct benchmark ligand identities. The nonreference screening set comprised 22 ligands. Pair generation was performed in the cocrystal_plus_nonreference mode so that each receptor binding site was defined from an experimentally observed co-crystallized ligand and then expanded with the nonreference ligand library.</w:t>
      </w:r>
    </w:p>
    <w:p>
      <w:r>
        <w:t>One benchmark candidate was not carried forward into the final docking matrix: the hLOXL2 entry associated with the ZN co-crystal ligand was flagged during pairlist construction because the ligand could not be matched to a prepared docking-ready ligand file (Could not match ligand 'ZN_A_803' to a prepared file; cocrystal benchmark row skipped for receptor 5ZE3.pdbqt.).</w:t>
      </w:r>
    </w:p>
    <w:p>
      <w:pPr>
        <w:pStyle w:val="Heading1"/>
      </w:pPr>
      <w:r>
        <w:t>Data Acquisition and Structure Collection</w:t>
      </w:r>
    </w:p>
    <w:p>
      <w:r>
        <w:t>Protein structure coordinates were collected from experimentally solved Protein Data Bank entries and organized in the raw-structure workspace before receptor preparation. For each selected receptor, the corresponding bound ligand was extracted from the source complex and retained as the experimental reference for pocket localization and benchmark redocking. This design allowed every receptor site to remain anchored to an experimentally observed binding event rather than to an arbitrary docking box.</w:t>
      </w:r>
    </w:p>
    <w:p>
      <w:r>
        <w:t>The final receptor panel covered the following 13 named targets: CAII, CAIX, CDK2_Kinase, COX1, COX2, COXII_2, EGFR_Kinase, ERBB3_Kinase, PDGFRA, TrkA_Kinase, VEGFR2_Kinase, hLOXL2, ts3_Central. Because PDGFRA was represented by two experimentally distinct receptor structures, the project contained 14 receptor structures although the named target count was 13.</w:t>
      </w:r>
    </w:p>
    <w:p>
      <w:r>
        <w:t>Raw ligand inputs were assembled in parallel as a mixed library of extracted benchmark ligands and screening ligands. The final pairlist referenced 34 docking ligands in total, including 12 benchmark identities (748, 7GI, ANP, AQ4, AXI, BCT, CEL, LIA, RCX, SRE, STI, Y0R) and 22 nonreference ligands (Acetazolamide, ML1, ML2, ML3, ML4, ML5, ML6, ML7, ML8, MLPS, MS1, MS2, MS3, MS4, MS5, MS6, MS7, MS8, MSPS, PABA, PNBA, Sorafenib).</w:t>
      </w:r>
    </w:p>
    <w:p>
      <w:pPr>
        <w:pStyle w:val="Heading1"/>
      </w:pPr>
      <w:r>
        <w:t>Ligand and Receptor Preparation</w:t>
      </w:r>
    </w:p>
    <w:p>
      <w:r>
        <w:t>Receptor preparation was carried out before project materialization so that docking-ready PDBQT receptor files could be generated from the cleaned protein structures. The workflow preserved the site-defining experimental context during cleaning and then converted the cleaned structures into docking-compatible receptor files. Prepared receptors were written to the preparation workspace and then copied or linked into the docking project structure for engine-specific execution.</w:t>
      </w:r>
    </w:p>
    <w:p>
      <w:r>
        <w:t>Ligand preparation was performed on the raw screening and benchmark ligands to generate docking-ready PDBQT ligands. In this project, the prepared ligand directory contained 35 docking-ready ligand files, reflecting the intended benchmark-plus-screening library before pairlist filtering. The pairlist stage then selected the subset that could be validly paired to receptor-defined binding sites.</w:t>
      </w:r>
    </w:p>
    <w:p>
      <w:r>
        <w:t>At the conceptual level, receptor and ligand preparation served two different purposes: receptor preparation standardized the structural environment of each target for docking, whereas ligand preparation standardized the chemical representation of both benchmark and screening compounds so that the same molecules could be evaluated reproducibly across all enabled docking engines.</w:t>
      </w:r>
    </w:p>
    <w:p>
      <w:pPr>
        <w:pStyle w:val="Heading1"/>
      </w:pPr>
      <w:r>
        <w:t>Pairlist Design and Site Definition</w:t>
      </w:r>
    </w:p>
    <w:p>
      <w:r>
        <w:t>The pairlist was the central experimental design table used to control docking. Each row in the pairlist defined a single receptor-ligand-site combination and stored the receptor identifier, ligand identifier, target display name, site label, pair source, benchmark status, associated co-crystal ligand, and the numerical search-box definition. In practice, the pairlist acted as the study manifest that converted a collection of proteins and ligands into a reproducible docking matrix.</w:t>
      </w:r>
    </w:p>
    <w:p>
      <w:r>
        <w:t>For the sertraline project, the final pairlist contained 169 rows. The pair sources were cocrystal: 13, expanded_nonreference_ligands: 156. All rows used the same selection strategy (cocrystal_plus_nonreference), in which experimentally observed ligand coordinates were used to define docking boxes that were then reused for the nonreference screening ligands.</w:t>
      </w:r>
    </w:p>
    <w:p>
      <w:r>
        <w:t>The docking search space was standardized as a 20.0 x 20.0 x 20.0 A box. The box centers were receptor-specific and were taken from the co-crystal ligand position recorded in the pairlist, which allowed a consistent site-focused comparison across engines.</w:t>
      </w:r>
    </w:p>
    <w:p>
      <w:pPr>
        <w:pStyle w:val="Heading1"/>
      </w:pPr>
      <w:r>
        <w:t>Docking Engines and Runtime Settings</w:t>
      </w:r>
    </w:p>
    <w:p>
      <w:r>
        <w:t>Three docking engines were enabled in the project manifest: gnina, smina, vina. These engines were executed under a harmonized screening configuration so that cross-engine comparison could be performed on a shared receptor-ligand matrix.</w:t>
      </w:r>
    </w:p>
    <w:p>
      <w:pPr>
        <w:pStyle w:val="ListBullet"/>
      </w:pPr>
      <w:r>
        <w:t>GNINA: CPU threads: 16; exhaustiveness: 16; output poses: 20; CNN scoring mode: rescore; GPU enabled: False.</w:t>
      </w:r>
    </w:p>
    <w:p>
      <w:pPr>
        <w:pStyle w:val="ListBullet"/>
      </w:pPr>
      <w:r>
        <w:t>SMINA: CPU threads: 16; exhaustiveness: 16; output poses: 20.</w:t>
      </w:r>
    </w:p>
    <w:p>
      <w:pPr>
        <w:pStyle w:val="ListBullet"/>
      </w:pPr>
      <w:r>
        <w:t>VINA: CPU threads: 16; exhaustiveness: 16; output poses: 20.</w:t>
      </w:r>
    </w:p>
    <w:p>
      <w:r>
        <w:t>The GNINA configuration additionally preserved convolutional-neural-network rescoring information for downstream analysis, whereas Vina and Smina contributed classical docking affinity outputs under matching exhaustiveness and pose-count settings. This harmonized setup supported direct comparative analysis without forcing the three engines into an identical internal scoring formalism.</w:t>
      </w:r>
    </w:p>
    <w:p>
      <w:pPr>
        <w:pStyle w:val="Heading1"/>
      </w:pPr>
      <w:r>
        <w:t>Post-Docking Analysis Workflow</w:t>
      </w:r>
    </w:p>
    <w:p>
      <w:r>
        <w:t>Post-docking analysis was treated as a structured multi-step workflow rather than as a single score-sorting step. The project outputs show that raw engine scores were first ingested into a shared score table, after which per-engine best-pose summaries, cross-engine affinity matrices, rank-correlation tables, and consensus ranking files were generated. In the canonical reporting structure, these outputs were written under 4-PostDocking and 5-Analysis, thereby separating raw score handling from downstream biological interpretation.</w:t>
      </w:r>
    </w:p>
    <w:p>
      <w:r>
        <w:t>For the current consolidated analysis run, the favorite-engine continuation was executed with GNINA as the favorite engine, full analysis scope, DockBox geometric consensus mode, and per-engine rank normalization. A reference-anchored classification policy was requested, but the effective policy automatically fell back to target-percentile classification because the validation gate state was marked as needs review. This prevented unresolved benchmark anchors from being used as absolute classification references.</w:t>
      </w:r>
    </w:p>
    <w:p>
      <w:r>
        <w:t>The post-docking workflow included raw score collation, redocking validation against reference baselines, engine-wise normalization, cross-engine rank-correlation analysis, consensus ranking, hit-class assignment, and shortlist generation for rescoring. Additional downstream products included a top-pose ligand performance atlas, polypharmacology summaries, biology-correlation tables, validation summaries, and canonical run summaries suitable for project reporting.</w:t>
      </w:r>
    </w:p>
    <w:p>
      <w:r>
        <w:t>In methodological terms, this means that ligand ranking was not based solely on one raw affinity column. Instead, the workflow preserved benchmark context, checked redocking consistency, compared engines at the rank level, and exported both ligand-centric and protein-centric summaries. This design supports transparent justification of why a compound was prioritized, deprioritized, or flagged for follow-up.</w:t>
      </w:r>
    </w:p>
    <w:p>
      <w:pPr>
        <w:pStyle w:val="Heading1"/>
      </w:pPr>
      <w:r>
        <w:t>Conceptual Role of the Pairlist in Comparative Docking</w:t>
      </w:r>
    </w:p>
    <w:p>
      <w:r>
        <w:t>The pairlist is best understood as the experiment definition layer of the project. Without it, docking would simply be a loose collection of receptor files and ligand files. With it, each receptor is explicitly paired to a binding site, each ligand is explicitly assigned to that site, and each docking engine is constrained to evaluate the same biologically motivated receptor-ligand question.</w:t>
      </w:r>
    </w:p>
    <w:p>
      <w:r>
        <w:t>This design was especially important in the sertraline project because the study combined multiple kinase and non-kinase targets, multiple benchmark ligands, and a custom screening library. The pairlist ensured that all engines docked the same ligand into the same receptor-centered search space, which made downstream inter-engine comparisons and consensus scoring interpretable.</w:t>
      </w:r>
    </w:p>
    <w:p>
      <w:pPr>
        <w:pStyle w:val="Heading1"/>
      </w:pPr>
      <w:r>
        <w:t>Project-Specific Numerical Summary</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Project root</w:t>
            </w:r>
          </w:p>
        </w:tc>
        <w:tc>
          <w:tcPr>
            <w:tcW w:type="dxa" w:w="4320"/>
          </w:tcPr>
          <w:p>
            <w:r>
              <w:t>/Users/omara.soliman/Desktop/Research/41-Sertaline_Pyrazole_derivatives/4-Sertaline_Docking</w:t>
            </w:r>
          </w:p>
        </w:tc>
      </w:tr>
      <w:tr>
        <w:tc>
          <w:tcPr>
            <w:tcW w:type="dxa" w:w="4320"/>
          </w:tcPr>
          <w:p>
            <w:r>
              <w:t>Docking engines</w:t>
            </w:r>
          </w:p>
        </w:tc>
        <w:tc>
          <w:tcPr>
            <w:tcW w:type="dxa" w:w="4320"/>
          </w:tcPr>
          <w:p>
            <w:r>
              <w:t>gnina, smina, vina</w:t>
            </w:r>
          </w:p>
        </w:tc>
      </w:tr>
      <w:tr>
        <w:tc>
          <w:tcPr>
            <w:tcW w:type="dxa" w:w="4320"/>
          </w:tcPr>
          <w:p>
            <w:r>
              <w:t>Favorite engine for current analysis context</w:t>
            </w:r>
          </w:p>
        </w:tc>
        <w:tc>
          <w:tcPr>
            <w:tcW w:type="dxa" w:w="4320"/>
          </w:tcPr>
          <w:p>
            <w:r>
              <w:t>gnina</w:t>
            </w:r>
          </w:p>
        </w:tc>
      </w:tr>
      <w:tr>
        <w:tc>
          <w:tcPr>
            <w:tcW w:type="dxa" w:w="4320"/>
          </w:tcPr>
          <w:p>
            <w:r>
              <w:t>Receptor structures in pairlist</w:t>
            </w:r>
          </w:p>
        </w:tc>
        <w:tc>
          <w:tcPr>
            <w:tcW w:type="dxa" w:w="4320"/>
          </w:tcPr>
          <w:p>
            <w:r>
              <w:t>14</w:t>
            </w:r>
          </w:p>
        </w:tc>
      </w:tr>
      <w:tr>
        <w:tc>
          <w:tcPr>
            <w:tcW w:type="dxa" w:w="4320"/>
          </w:tcPr>
          <w:p>
            <w:r>
              <w:t>Named protein targets</w:t>
            </w:r>
          </w:p>
        </w:tc>
        <w:tc>
          <w:tcPr>
            <w:tcW w:type="dxa" w:w="4320"/>
          </w:tcPr>
          <w:p>
            <w:r>
              <w:t>13</w:t>
            </w:r>
          </w:p>
        </w:tc>
      </w:tr>
      <w:tr>
        <w:tc>
          <w:tcPr>
            <w:tcW w:type="dxa" w:w="4320"/>
          </w:tcPr>
          <w:p>
            <w:r>
              <w:t>Total ligands in pairlist</w:t>
            </w:r>
          </w:p>
        </w:tc>
        <w:tc>
          <w:tcPr>
            <w:tcW w:type="dxa" w:w="4320"/>
          </w:tcPr>
          <w:p>
            <w:r>
              <w:t>34</w:t>
            </w:r>
          </w:p>
        </w:tc>
      </w:tr>
      <w:tr>
        <w:tc>
          <w:tcPr>
            <w:tcW w:type="dxa" w:w="4320"/>
          </w:tcPr>
          <w:p>
            <w:r>
              <w:t>Nonreference ligands</w:t>
            </w:r>
          </w:p>
        </w:tc>
        <w:tc>
          <w:tcPr>
            <w:tcW w:type="dxa" w:w="4320"/>
          </w:tcPr>
          <w:p>
            <w:r>
              <w:t>22</w:t>
            </w:r>
          </w:p>
        </w:tc>
      </w:tr>
      <w:tr>
        <w:tc>
          <w:tcPr>
            <w:tcW w:type="dxa" w:w="4320"/>
          </w:tcPr>
          <w:p>
            <w:r>
              <w:t>Benchmark rows</w:t>
            </w:r>
          </w:p>
        </w:tc>
        <w:tc>
          <w:tcPr>
            <w:tcW w:type="dxa" w:w="4320"/>
          </w:tcPr>
          <w:p>
            <w:r>
              <w:t>13</w:t>
            </w:r>
          </w:p>
        </w:tc>
      </w:tr>
      <w:tr>
        <w:tc>
          <w:tcPr>
            <w:tcW w:type="dxa" w:w="4320"/>
          </w:tcPr>
          <w:p>
            <w:r>
              <w:t>Distinct benchmark ligand identities</w:t>
            </w:r>
          </w:p>
        </w:tc>
        <w:tc>
          <w:tcPr>
            <w:tcW w:type="dxa" w:w="4320"/>
          </w:tcPr>
          <w:p>
            <w:r>
              <w:t>12</w:t>
            </w:r>
          </w:p>
        </w:tc>
      </w:tr>
      <w:tr>
        <w:tc>
          <w:tcPr>
            <w:tcW w:type="dxa" w:w="4320"/>
          </w:tcPr>
          <w:p>
            <w:r>
              <w:t>Total docking pairs</w:t>
            </w:r>
          </w:p>
        </w:tc>
        <w:tc>
          <w:tcPr>
            <w:tcW w:type="dxa" w:w="4320"/>
          </w:tcPr>
          <w:p>
            <w:r>
              <w:t>169</w:t>
            </w:r>
          </w:p>
        </w:tc>
      </w:tr>
      <w:tr>
        <w:tc>
          <w:tcPr>
            <w:tcW w:type="dxa" w:w="4320"/>
          </w:tcPr>
          <w:p>
            <w:r>
              <w:t>Pair generation mode</w:t>
            </w:r>
          </w:p>
        </w:tc>
        <w:tc>
          <w:tcPr>
            <w:tcW w:type="dxa" w:w="4320"/>
          </w:tcPr>
          <w:p>
            <w:r>
              <w:t>cocrystal_plus_nonreference</w:t>
            </w:r>
          </w:p>
        </w:tc>
      </w:tr>
      <w:tr>
        <w:tc>
          <w:tcPr>
            <w:tcW w:type="dxa" w:w="4320"/>
          </w:tcPr>
          <w:p>
            <w:r>
              <w:t>Search box size</w:t>
            </w:r>
          </w:p>
        </w:tc>
        <w:tc>
          <w:tcPr>
            <w:tcW w:type="dxa" w:w="4320"/>
          </w:tcPr>
          <w:p>
            <w:r>
              <w:t>20.0 x 20.0 x 20.0 A</w:t>
            </w:r>
          </w:p>
        </w:tc>
      </w:tr>
      <w:tr>
        <w:tc>
          <w:tcPr>
            <w:tcW w:type="dxa" w:w="4320"/>
          </w:tcPr>
          <w:p>
            <w:r>
              <w:t>GNINA settings</w:t>
            </w:r>
          </w:p>
        </w:tc>
        <w:tc>
          <w:tcPr>
            <w:tcW w:type="dxa" w:w="4320"/>
          </w:tcPr>
          <w:p>
            <w:r>
              <w:t>cpu=16, exhaustiveness=16, num_modes=20, cnn_scoring=rescore</w:t>
            </w:r>
          </w:p>
        </w:tc>
      </w:tr>
      <w:tr>
        <w:tc>
          <w:tcPr>
            <w:tcW w:type="dxa" w:w="4320"/>
          </w:tcPr>
          <w:p>
            <w:r>
              <w:t>SMINA settings</w:t>
            </w:r>
          </w:p>
        </w:tc>
        <w:tc>
          <w:tcPr>
            <w:tcW w:type="dxa" w:w="4320"/>
          </w:tcPr>
          <w:p>
            <w:r>
              <w:t>cpu=16, exhaustiveness=16, num_modes=20</w:t>
            </w:r>
          </w:p>
        </w:tc>
      </w:tr>
      <w:tr>
        <w:tc>
          <w:tcPr>
            <w:tcW w:type="dxa" w:w="4320"/>
          </w:tcPr>
          <w:p>
            <w:r>
              <w:t>Vina settings</w:t>
            </w:r>
          </w:p>
        </w:tc>
        <w:tc>
          <w:tcPr>
            <w:tcW w:type="dxa" w:w="4320"/>
          </w:tcPr>
          <w:p>
            <w:r>
              <w:t>cpu=16, exhaustiveness=16, num_modes=20</w:t>
            </w:r>
          </w:p>
        </w:tc>
      </w:tr>
      <w:tr>
        <w:tc>
          <w:tcPr>
            <w:tcW w:type="dxa" w:w="4320"/>
          </w:tcPr>
          <w:p>
            <w:r>
              <w:t>Consensus mode</w:t>
            </w:r>
          </w:p>
        </w:tc>
        <w:tc>
          <w:tcPr>
            <w:tcW w:type="dxa" w:w="4320"/>
          </w:tcPr>
          <w:p>
            <w:r>
              <w:t>dockbox_geometric</w:t>
            </w:r>
          </w:p>
        </w:tc>
      </w:tr>
      <w:tr>
        <w:tc>
          <w:tcPr>
            <w:tcW w:type="dxa" w:w="4320"/>
          </w:tcPr>
          <w:p>
            <w:r>
              <w:t>Normalization</w:t>
            </w:r>
          </w:p>
        </w:tc>
        <w:tc>
          <w:tcPr>
            <w:tcW w:type="dxa" w:w="4320"/>
          </w:tcPr>
          <w:p>
            <w:r>
              <w:t>per_engine_rank</w:t>
            </w:r>
          </w:p>
        </w:tc>
      </w:tr>
      <w:tr>
        <w:tc>
          <w:tcPr>
            <w:tcW w:type="dxa" w:w="4320"/>
          </w:tcPr>
          <w:p>
            <w:r>
              <w:t>Effective hit classification policy</w:t>
            </w:r>
          </w:p>
        </w:tc>
        <w:tc>
          <w:tcPr>
            <w:tcW w:type="dxa" w:w="4320"/>
          </w:tcPr>
          <w:p>
            <w:r>
              <w:t>target_percentile</w:t>
            </w:r>
          </w:p>
        </w:tc>
      </w:tr>
    </w:tbl>
    <w:p>
      <w:pPr>
        <w:pStyle w:val="Heading1"/>
      </w:pPr>
      <w:r>
        <w:t>Suggested Thesis or Manuscript Use</w:t>
      </w:r>
    </w:p>
    <w:p>
      <w:r>
        <w:t>This document was written in narrative methodological language so that it can be adapted directly into a thesis chapter or manuscript methods section. The numerical counts and software settings were extracted from the sertraline docking workspace rather than being inserted as generic placeholders.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