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Experimental Methods Chapter: Sertraline Docking Workflow</w:t>
      </w:r>
    </w:p>
    <w:p>
      <w:pPr>
        <w:jc w:val="center"/>
      </w:pPr>
      <w:r>
        <w:rPr>
          <w:rFonts w:ascii="Times New Roman" w:hAnsi="Times New Roman"/>
          <w:i/>
          <w:sz w:val="22"/>
        </w:rPr>
        <w:t>Extended thesis-style narrative derived from the Omni-DockForge project workspace</w:t>
      </w:r>
    </w:p>
    <w:p>
      <w:pPr>
        <w:pStyle w:val="Heading1"/>
      </w:pPr>
      <w:r>
        <w:t>Study Design and Overall Workflow</w:t>
      </w:r>
    </w:p>
    <w:p>
      <w:r>
        <w:t>The sertraline docking study was designed as a multi-target structure-based screening campaign implemented in Omni-DockForge. The final experimental matrix comprised 169 receptor-ligand docking pairs generated from 14 receptor structures representing 13 named biological targets and 34 docking ligands. The workflow was built to integrate experimentally observed co-crystal binding information with a broader ligand screening set so that docking comparisons could remain site-specific and biologically interpretable.</w:t>
      </w:r>
    </w:p>
    <w:p>
      <w:r>
        <w:t>The receptor panel encompassed the following target set: CAII, CAIX, CDK2_Kinase, COX1, COX2, COXII_2, EGFR_Kinase, ERBB3_Kinase, PDGFRA, TrkA_Kinase, VEGFR2_Kinase, hLOXL2, ts3_Central. PDGFRA was represented by two distinct receptor structures, which explains why the receptor-structure count (14) exceeded the named-target count (13). This distinction is important because the docking study compared ligands across biological targets while also preserving structure-specific receptor context when more than one crystal form was available.</w:t>
      </w:r>
    </w:p>
    <w:p>
      <w:pPr>
        <w:pStyle w:val="Heading1"/>
      </w:pPr>
      <w:r>
        <w:t>Protein Structure Retrieval and Input Curation</w:t>
      </w:r>
    </w:p>
    <w:p>
      <w:r>
        <w:t>Protein coordinates were assembled from experimentally solved Protein Data Bank structures and organized in the raw-protein workspace prior to receptor preparation. For each selected structure, the bound ligand present in the source complex was retained as the experimental reference for defining the biologically relevant binding site. This strategy ensured that subsequent docking boxes were centered on known ligand-occupied pockets rather than on arbitrary or manually estimated coordinates.</w:t>
      </w:r>
    </w:p>
    <w:p>
      <w:r>
        <w:t>The raw ligand workspace contained both extracted benchmark ligands and screening ligands. Within the final docking matrix, 13 rows corresponded to benchmark co-crystal redocking cases, spanning 13 receptor structures and 12 distinct benchmark ligand identities (748, 7GI, ANP, AQ4, AXI, BCT, CEL, LIA, RCX, SRE, STI, Y0R). The nonreference screening panel contained 22 ligands (Acetazolamide, ML1, ML2, ML3, ML4, ML5, ML6, ML7, ML8, MLPS, MS1, MS2, MS3, MS4, MS5, MS6, MS7, MS8, MSPS, PABA, PNBA, Sorafenib).</w:t>
      </w:r>
    </w:p>
    <w:p>
      <w:r>
        <w:t>One benchmark candidate was excluded during pairlist construction because the associated co-crystal ligand could not be matched to a valid prepared docking ligand. The project log recorded this as: Could not match ligand 'ZN_A_803' to a prepared file; cocrystal benchmark row skipped for receptor 5ZE3.pdbqt.. This exclusion was retained in the workflow narrative to maintain an auditable link between curated structural inputs and the final docking matrix.</w:t>
      </w:r>
    </w:p>
    <w:p>
      <w:pPr>
        <w:pStyle w:val="Heading1"/>
      </w:pPr>
      <w:r>
        <w:t>Receptor and Ligand Preparation</w:t>
      </w:r>
    </w:p>
    <w:p>
      <w:r>
        <w:t>Receptor preparation transformed the curated protein structures into docking-compatible receptor files. The preparation logic was intended to preserve the experimentally relevant binding-site environment while removing unnecessary inconsistencies that would interfere with docking. Prepared receptor outputs were written as PDBQT files and then materialized into the project docking layout for downstream engine execution.</w:t>
      </w:r>
    </w:p>
    <w:p>
      <w:r>
        <w:t>Ligand preparation was performed separately so that both benchmark ligands and screening compounds were converted into docking-ready PDBQT representations. In the project preparation workspace, 35 ligand PDBQT files were available after preparation, indicating that the chemically intended benchmark-plus-screening library was prepared first and filtered later through the pair-definition stage. This separation between ligand preparation and pair curation is methodologically useful because it distinguishes chemical standardization from biological pairing.</w:t>
      </w:r>
    </w:p>
    <w:p>
      <w:r>
        <w:t>Conceptually, receptor preparation standardized the macromolecular environment, whereas ligand preparation standardized small-molecule representation across engines. This distinction allowed the same ligands to be evaluated reproducibly against the same site-localized receptor contexts in GNINA, SMINA, and AutoDock Vina.</w:t>
      </w:r>
    </w:p>
    <w:p>
      <w:pPr>
        <w:pStyle w:val="Heading1"/>
      </w:pPr>
      <w:r>
        <w:t>Pairlist Construction and Binding-Site Definition</w:t>
      </w:r>
    </w:p>
    <w:p>
      <w:r>
        <w:t>The pairlist was the central experimental-design object of the docking campaign. Each row defined a single receptor-ligand-site combination and recorded the receptor identifier, target display name, ligand identifier, site label, pair source, benchmark status, associated co-crystal ligand, and the box center and dimensions used for docking. Rather than functioning as a simple bookkeeping file, the pairlist translated a diverse structure-and-ligand collection into a reproducible, engine-independent docking experiment.</w:t>
      </w:r>
    </w:p>
    <w:p>
      <w:r>
        <w:t>For the sertraline project, the final pairlist contained 169 rows generated under the cocrystal_plus_nonreference mode. The pair sources were distributed as follows: cocrystal: 13, expanded_nonreference_ligands: 156. All rows used the selection strategy cocrystal_plus_nonreference, meaning that the binding pocket for each receptor was anchored to an experimentally observed co-crystal ligand and then expanded to the nonreference ligand set.</w:t>
      </w:r>
    </w:p>
    <w:p>
      <w:r>
        <w:t>The docking search space was standardized as a 20.0 x 20.0 x 20.0 A box for all rows, while the center coordinates were receptor-specific and inherited from the co-crystal ligand geometry. This standardized-box-size and variable-box-center design supported fair inter-engine comparison while preserving biologically meaningful site localization.</w:t>
      </w:r>
    </w:p>
    <w:p>
      <w:pPr>
        <w:pStyle w:val="Heading1"/>
      </w:pPr>
      <w:r>
        <w:t>Docking Engines and Computational Settings</w:t>
      </w:r>
    </w:p>
    <w:p>
      <w:r>
        <w:t>Three docking engines were enabled in the sertraline project manifest: gnina, smina, vina. All engines were configured in a harmonized screening setting to allow direct cross-engine comparison on the same receptor-ligand matrix.</w:t>
      </w:r>
    </w:p>
    <w:p>
      <w:pPr>
        <w:pStyle w:val="ListBullet"/>
      </w:pPr>
      <w:r>
        <w:t>GNINA: CPU threads = 16; exhaustiveness = 16; output poses = 20; CNN scoring mode = rescore; GPU enabled = False.</w:t>
      </w:r>
    </w:p>
    <w:p>
      <w:pPr>
        <w:pStyle w:val="ListBullet"/>
      </w:pPr>
      <w:r>
        <w:t>SMINA: CPU threads = 16; exhaustiveness = 16; output poses = 20.</w:t>
      </w:r>
    </w:p>
    <w:p>
      <w:pPr>
        <w:pStyle w:val="ListBullet"/>
      </w:pPr>
      <w:r>
        <w:t>VINA: CPU threads = 16; exhaustiveness = 16; output poses = 20.</w:t>
      </w:r>
    </w:p>
    <w:p>
      <w:r>
        <w:t>GNINA contributed neural-network-aware scoring information for downstream interpretation, whereas SMINA and Vina contributed classical docking affinity outputs under matched screening parameters. This created a comparative framework in which engine outputs could be evaluated collectively without assuming that raw affinity values were directly interchangeable in their original scale.</w:t>
      </w:r>
    </w:p>
    <w:p>
      <w:pPr>
        <w:pStyle w:val="Heading1"/>
      </w:pPr>
      <w:r>
        <w:t>Post-Docking Analysis and Comparative Interpretation</w:t>
      </w:r>
    </w:p>
    <w:p>
      <w:r>
        <w:t>Post-docking analysis was implemented as a structured workflow that extended beyond rank-ordering by raw docking score. Raw engine outputs were ingested into shared score tables, after which best-pose summaries, affinity matrices, engine-rank correlation tables, and consensus ranking outputs were generated. These products were then separated into post-docking score layers, analytical layers, and reporting layers within the project structure.</w:t>
      </w:r>
    </w:p>
    <w:p>
      <w:r>
        <w:t>The current consolidated analysis context recorded GNINA as the favorite engine, full analysis scope, dockbox_geometric as the consensus mode, and per_engine_rank as the normalization method. A target_percentile-based hit-classification policy was requested, but the effective policy was target_percentile because the validation gate was marked as needs_review. This fallback is scientifically meaningful because it avoids over-reliance on weak or unresolved benchmark anchors.</w:t>
      </w:r>
    </w:p>
    <w:p>
      <w:r>
        <w:t>The analytical workflow included raw score collation, redocking validation, reference-baseline generation, per-engine normalization, cross-engine correlation analysis, consensus ranking, hit classification, shortlist generation for rescoring, and ligand-centric top-pose summarization. Additional outputs included polypharmacology summaries and biology-correlation tables, allowing docking interpretation to be linked to broader mechanistic or biological hypotheses when such metadata were available.</w:t>
      </w:r>
    </w:p>
    <w:p>
      <w:r>
        <w:t>From a thesis perspective, this workflow supports a layered interpretation strategy: first, whether the engine reproduced or approximated expected binding behavior in benchmark cases; second, whether screening ligands showed reproducible ranking support across engines; and third, whether those prioritized ligands retained coherence when viewed through ligand-centric, target-centric, and consensus-based summaries.</w:t>
      </w:r>
    </w:p>
    <w:p>
      <w:pPr>
        <w:pStyle w:val="Heading1"/>
      </w:pPr>
      <w:r>
        <w:t>Numerical Summary of the Sertraline Docking Campaign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Receptor structures in pairlist</w:t>
            </w:r>
          </w:p>
        </w:tc>
        <w:tc>
          <w:tcPr>
            <w:tcW w:type="dxa" w:w="4320"/>
          </w:tcPr>
          <w:p>
            <w:r>
              <w:t>14</w:t>
            </w:r>
          </w:p>
        </w:tc>
      </w:tr>
      <w:tr>
        <w:tc>
          <w:tcPr>
            <w:tcW w:type="dxa" w:w="4320"/>
          </w:tcPr>
          <w:p>
            <w:r>
              <w:t>Named targets</w:t>
            </w:r>
          </w:p>
        </w:tc>
        <w:tc>
          <w:tcPr>
            <w:tcW w:type="dxa" w:w="4320"/>
          </w:tcPr>
          <w:p>
            <w:r>
              <w:t>13</w:t>
            </w:r>
          </w:p>
        </w:tc>
      </w:tr>
      <w:tr>
        <w:tc>
          <w:tcPr>
            <w:tcW w:type="dxa" w:w="4320"/>
          </w:tcPr>
          <w:p>
            <w:r>
              <w:t>Total ligands in pairlist</w:t>
            </w:r>
          </w:p>
        </w:tc>
        <w:tc>
          <w:tcPr>
            <w:tcW w:type="dxa" w:w="4320"/>
          </w:tcPr>
          <w:p>
            <w:r>
              <w:t>34</w:t>
            </w:r>
          </w:p>
        </w:tc>
      </w:tr>
      <w:tr>
        <w:tc>
          <w:tcPr>
            <w:tcW w:type="dxa" w:w="4320"/>
          </w:tcPr>
          <w:p>
            <w:r>
              <w:t>Nonreference ligands</w:t>
            </w:r>
          </w:p>
        </w:tc>
        <w:tc>
          <w:tcPr>
            <w:tcW w:type="dxa" w:w="4320"/>
          </w:tcPr>
          <w:p>
            <w:r>
              <w:t>22</w:t>
            </w:r>
          </w:p>
        </w:tc>
      </w:tr>
      <w:tr>
        <w:tc>
          <w:tcPr>
            <w:tcW w:type="dxa" w:w="4320"/>
          </w:tcPr>
          <w:p>
            <w:r>
              <w:t>Benchmark rows</w:t>
            </w:r>
          </w:p>
        </w:tc>
        <w:tc>
          <w:tcPr>
            <w:tcW w:type="dxa" w:w="4320"/>
          </w:tcPr>
          <w:p>
            <w:r>
              <w:t>13</w:t>
            </w:r>
          </w:p>
        </w:tc>
      </w:tr>
      <w:tr>
        <w:tc>
          <w:tcPr>
            <w:tcW w:type="dxa" w:w="4320"/>
          </w:tcPr>
          <w:p>
            <w:r>
              <w:t>Distinct benchmark ligand identities</w:t>
            </w:r>
          </w:p>
        </w:tc>
        <w:tc>
          <w:tcPr>
            <w:tcW w:type="dxa" w:w="4320"/>
          </w:tcPr>
          <w:p>
            <w:r>
              <w:t>12</w:t>
            </w:r>
          </w:p>
        </w:tc>
      </w:tr>
      <w:tr>
        <w:tc>
          <w:tcPr>
            <w:tcW w:type="dxa" w:w="4320"/>
          </w:tcPr>
          <w:p>
            <w:r>
              <w:t>Total docking pairs</w:t>
            </w:r>
          </w:p>
        </w:tc>
        <w:tc>
          <w:tcPr>
            <w:tcW w:type="dxa" w:w="4320"/>
          </w:tcPr>
          <w:p>
            <w:r>
              <w:t>169</w:t>
            </w:r>
          </w:p>
        </w:tc>
      </w:tr>
      <w:tr>
        <w:tc>
          <w:tcPr>
            <w:tcW w:type="dxa" w:w="4320"/>
          </w:tcPr>
          <w:p>
            <w:r>
              <w:t>Pair generation mode</w:t>
            </w:r>
          </w:p>
        </w:tc>
        <w:tc>
          <w:tcPr>
            <w:tcW w:type="dxa" w:w="4320"/>
          </w:tcPr>
          <w:p>
            <w:r>
              <w:t>cocrystal_plus_nonreference</w:t>
            </w:r>
          </w:p>
        </w:tc>
      </w:tr>
      <w:tr>
        <w:tc>
          <w:tcPr>
            <w:tcW w:type="dxa" w:w="4320"/>
          </w:tcPr>
          <w:p>
            <w:r>
              <w:t>Docking engines</w:t>
            </w:r>
          </w:p>
        </w:tc>
        <w:tc>
          <w:tcPr>
            <w:tcW w:type="dxa" w:w="4320"/>
          </w:tcPr>
          <w:p>
            <w:r>
              <w:t>gnina, smina, vina</w:t>
            </w:r>
          </w:p>
        </w:tc>
      </w:tr>
      <w:tr>
        <w:tc>
          <w:tcPr>
            <w:tcW w:type="dxa" w:w="4320"/>
          </w:tcPr>
          <w:p>
            <w:r>
              <w:t>Consensus mode</w:t>
            </w:r>
          </w:p>
        </w:tc>
        <w:tc>
          <w:tcPr>
            <w:tcW w:type="dxa" w:w="4320"/>
          </w:tcPr>
          <w:p>
            <w:r>
              <w:t>dockbox_geometric</w:t>
            </w:r>
          </w:p>
        </w:tc>
      </w:tr>
      <w:tr>
        <w:tc>
          <w:tcPr>
            <w:tcW w:type="dxa" w:w="4320"/>
          </w:tcPr>
          <w:p>
            <w:r>
              <w:t>Normalization method</w:t>
            </w:r>
          </w:p>
        </w:tc>
        <w:tc>
          <w:tcPr>
            <w:tcW w:type="dxa" w:w="4320"/>
          </w:tcPr>
          <w:p>
            <w:r>
              <w:t>per_engine_rank</w:t>
            </w:r>
          </w:p>
        </w:tc>
      </w:tr>
    </w:tbl>
    <w:p>
      <w:pPr>
        <w:pStyle w:val="Heading1"/>
      </w:pPr>
      <w:r>
        <w:t>Adaptation Note</w:t>
      </w:r>
    </w:p>
    <w:p>
      <w:r>
        <w:t>This version was written as an expanded chapter-style methods narrative and is suitable for direct adaptation into a thesis methods chapter or a long-form results-and-methods appendix.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