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39BDC" w14:textId="71398EDA" w:rsidR="00671A7F" w:rsidRPr="00671A7F" w:rsidRDefault="005E33AD" w:rsidP="00671A7F">
      <w:pPr>
        <w:rPr>
          <w:b/>
          <w:bCs/>
        </w:rPr>
      </w:pPr>
      <w:r w:rsidRPr="00671A7F">
        <w:rPr>
          <w:b/>
          <w:bCs/>
        </w:rPr>
        <w:t>Jewellery</w:t>
      </w:r>
      <w:r w:rsidR="00671A7F" w:rsidRPr="00671A7F">
        <w:rPr>
          <w:b/>
          <w:bCs/>
        </w:rPr>
        <w:t xml:space="preserve"> Pricing Analysis Report</w:t>
      </w:r>
    </w:p>
    <w:p w14:paraId="752F1B4A" w14:textId="77777777" w:rsidR="00671A7F" w:rsidRPr="00671A7F" w:rsidRDefault="00671A7F" w:rsidP="00671A7F">
      <w:pPr>
        <w:rPr>
          <w:b/>
          <w:bCs/>
        </w:rPr>
      </w:pPr>
      <w:r w:rsidRPr="00671A7F">
        <w:rPr>
          <w:b/>
          <w:bCs/>
        </w:rPr>
        <w:t>Overview</w:t>
      </w:r>
    </w:p>
    <w:p w14:paraId="2B36D3F4" w14:textId="31470673" w:rsidR="00671A7F" w:rsidRPr="00671A7F" w:rsidRDefault="00671A7F" w:rsidP="00671A7F">
      <w:r w:rsidRPr="00671A7F">
        <w:t xml:space="preserve">In this report, we dive into an analysis of </w:t>
      </w:r>
      <w:r w:rsidR="005E33AD" w:rsidRPr="00671A7F">
        <w:t>jewellery</w:t>
      </w:r>
      <w:r w:rsidRPr="00671A7F">
        <w:t xml:space="preserve"> pricing trends based on transaction data. Our goal is to understand how different </w:t>
      </w:r>
      <w:r w:rsidR="005E33AD" w:rsidRPr="00671A7F">
        <w:t>jewellery</w:t>
      </w:r>
      <w:r w:rsidRPr="00671A7F">
        <w:t xml:space="preserve"> types, materials, and gemstones affect average prices, and how these prices have changed over time.</w:t>
      </w:r>
    </w:p>
    <w:p w14:paraId="716E0B08" w14:textId="77777777" w:rsidR="00671A7F" w:rsidRPr="00671A7F" w:rsidRDefault="00671A7F" w:rsidP="00671A7F">
      <w:pPr>
        <w:rPr>
          <w:b/>
          <w:bCs/>
        </w:rPr>
      </w:pPr>
      <w:r w:rsidRPr="00671A7F">
        <w:rPr>
          <w:b/>
          <w:bCs/>
        </w:rPr>
        <w:t>Dataset Insights</w:t>
      </w:r>
    </w:p>
    <w:p w14:paraId="25AA387B" w14:textId="3D735BEB" w:rsidR="00671A7F" w:rsidRPr="00671A7F" w:rsidRDefault="00671A7F" w:rsidP="00671A7F">
      <w:r w:rsidRPr="00671A7F">
        <w:t xml:space="preserve">The dataset contains detailed records of </w:t>
      </w:r>
      <w:r w:rsidR="005E33AD" w:rsidRPr="00671A7F">
        <w:t>jewellery</w:t>
      </w:r>
      <w:r w:rsidRPr="00671A7F">
        <w:t xml:space="preserve"> sales, including information about the type of </w:t>
      </w:r>
      <w:r w:rsidR="005E33AD" w:rsidRPr="00671A7F">
        <w:t>jewellery</w:t>
      </w:r>
      <w:r w:rsidRPr="00671A7F">
        <w:t>, materials used, gemstones, average prices, number of transactions, and total items sold. The timestamps for each sale allow us to track price changes over time.</w:t>
      </w:r>
    </w:p>
    <w:p w14:paraId="0E4582DB" w14:textId="77777777" w:rsidR="00671A7F" w:rsidRPr="00671A7F" w:rsidRDefault="00671A7F" w:rsidP="00671A7F">
      <w:pPr>
        <w:rPr>
          <w:b/>
          <w:bCs/>
        </w:rPr>
      </w:pPr>
      <w:r w:rsidRPr="00671A7F">
        <w:rPr>
          <w:b/>
          <w:bCs/>
        </w:rPr>
        <w:t>Methodology</w:t>
      </w:r>
    </w:p>
    <w:p w14:paraId="1BB9B991" w14:textId="77777777" w:rsidR="00671A7F" w:rsidRPr="00671A7F" w:rsidRDefault="00671A7F" w:rsidP="00671A7F">
      <w:r w:rsidRPr="00671A7F">
        <w:t>To extract meaningful insights, we used SQL for data aggregation and Python for initial data handling. Here are the key SQL queries we executed:</w:t>
      </w:r>
    </w:p>
    <w:p w14:paraId="3F10B762" w14:textId="49A1F189" w:rsidR="00671A7F" w:rsidRPr="00671A7F" w:rsidRDefault="00F53C0F" w:rsidP="00671A7F">
      <w:pPr>
        <w:numPr>
          <w:ilvl w:val="0"/>
          <w:numId w:val="1"/>
        </w:numPr>
      </w:pPr>
      <w:r w:rsidRPr="00671A7F">
        <w:rPr>
          <w:b/>
          <w:bCs/>
        </w:rPr>
        <w:t>Jewellery</w:t>
      </w:r>
      <w:r w:rsidR="00671A7F" w:rsidRPr="00671A7F">
        <w:rPr>
          <w:b/>
          <w:bCs/>
        </w:rPr>
        <w:t xml:space="preserve"> Type Statistics</w:t>
      </w:r>
      <w:r w:rsidR="00671A7F" w:rsidRPr="00671A7F">
        <w:t xml:space="preserve"> This query gives us the average price, transaction count, and total items sold for each </w:t>
      </w:r>
      <w:r w:rsidRPr="00671A7F">
        <w:t>jewellery</w:t>
      </w:r>
      <w:r w:rsidR="00671A7F" w:rsidRPr="00671A7F">
        <w:t xml:space="preserve"> type:</w:t>
      </w:r>
    </w:p>
    <w:p w14:paraId="7F57FDEB" w14:textId="77777777" w:rsidR="00671A7F" w:rsidRPr="00671A7F" w:rsidRDefault="00671A7F" w:rsidP="00671A7F">
      <w:proofErr w:type="spellStart"/>
      <w:r w:rsidRPr="00671A7F">
        <w:t>sql</w:t>
      </w:r>
      <w:proofErr w:type="spellEnd"/>
    </w:p>
    <w:p w14:paraId="6DB51FF9" w14:textId="77777777" w:rsidR="00671A7F" w:rsidRPr="00671A7F" w:rsidRDefault="00671A7F" w:rsidP="00671A7F">
      <w:r w:rsidRPr="00671A7F">
        <w:t>Copy code</w:t>
      </w:r>
    </w:p>
    <w:p w14:paraId="58987A2F" w14:textId="77777777" w:rsidR="00671A7F" w:rsidRPr="00671A7F" w:rsidRDefault="00671A7F" w:rsidP="00671A7F">
      <w:r w:rsidRPr="00671A7F">
        <w:t xml:space="preserve">SELECT </w:t>
      </w:r>
      <w:proofErr w:type="spellStart"/>
      <w:r w:rsidRPr="00671A7F">
        <w:t>Jewelry_Type</w:t>
      </w:r>
      <w:proofErr w:type="spellEnd"/>
      <w:r w:rsidRPr="00671A7F">
        <w:t xml:space="preserve">, AVG(Price) AS </w:t>
      </w:r>
      <w:proofErr w:type="spellStart"/>
      <w:r w:rsidRPr="00671A7F">
        <w:t>Avg_Price</w:t>
      </w:r>
      <w:proofErr w:type="spellEnd"/>
      <w:r w:rsidRPr="00671A7F">
        <w:t xml:space="preserve">, COUNT(*) AS Transactions, SUM(Quantity) AS </w:t>
      </w:r>
      <w:proofErr w:type="spellStart"/>
      <w:r w:rsidRPr="00671A7F">
        <w:t>Total_Items_Sold</w:t>
      </w:r>
      <w:proofErr w:type="spellEnd"/>
    </w:p>
    <w:p w14:paraId="6C94381C" w14:textId="77777777" w:rsidR="00671A7F" w:rsidRPr="00671A7F" w:rsidRDefault="00671A7F" w:rsidP="00671A7F">
      <w:r w:rsidRPr="00671A7F">
        <w:t xml:space="preserve">FROM </w:t>
      </w:r>
      <w:proofErr w:type="spellStart"/>
      <w:r w:rsidRPr="00671A7F">
        <w:t>jewelry_data</w:t>
      </w:r>
      <w:proofErr w:type="spellEnd"/>
    </w:p>
    <w:p w14:paraId="0D397E9D" w14:textId="77777777" w:rsidR="00671A7F" w:rsidRPr="00671A7F" w:rsidRDefault="00671A7F" w:rsidP="00671A7F">
      <w:r w:rsidRPr="00671A7F">
        <w:t xml:space="preserve">GROUP BY </w:t>
      </w:r>
      <w:proofErr w:type="spellStart"/>
      <w:r w:rsidRPr="00671A7F">
        <w:t>Jewelry_Type</w:t>
      </w:r>
      <w:proofErr w:type="spellEnd"/>
    </w:p>
    <w:p w14:paraId="71BB0B00" w14:textId="77777777" w:rsidR="00671A7F" w:rsidRPr="00671A7F" w:rsidRDefault="00671A7F" w:rsidP="00671A7F">
      <w:r w:rsidRPr="00671A7F">
        <w:t xml:space="preserve">ORDER BY </w:t>
      </w:r>
      <w:proofErr w:type="spellStart"/>
      <w:r w:rsidRPr="00671A7F">
        <w:t>Avg_Price</w:t>
      </w:r>
      <w:proofErr w:type="spellEnd"/>
      <w:r w:rsidRPr="00671A7F">
        <w:t xml:space="preserve"> DESC;</w:t>
      </w:r>
    </w:p>
    <w:p w14:paraId="2FA1E128" w14:textId="77777777" w:rsidR="00671A7F" w:rsidRPr="00671A7F" w:rsidRDefault="00671A7F" w:rsidP="00671A7F">
      <w:pPr>
        <w:numPr>
          <w:ilvl w:val="0"/>
          <w:numId w:val="1"/>
        </w:numPr>
      </w:pPr>
      <w:r w:rsidRPr="00671A7F">
        <w:rPr>
          <w:b/>
          <w:bCs/>
        </w:rPr>
        <w:t>Material and Gemstone Statistics</w:t>
      </w:r>
      <w:r w:rsidRPr="00671A7F">
        <w:t xml:space="preserve"> We examined how different materials and gemstones stack up in terms of average pricing:</w:t>
      </w:r>
    </w:p>
    <w:p w14:paraId="70479392" w14:textId="77777777" w:rsidR="00671A7F" w:rsidRPr="00671A7F" w:rsidRDefault="00671A7F" w:rsidP="00671A7F">
      <w:proofErr w:type="spellStart"/>
      <w:r w:rsidRPr="00671A7F">
        <w:t>sql</w:t>
      </w:r>
      <w:proofErr w:type="spellEnd"/>
    </w:p>
    <w:p w14:paraId="04F5324B" w14:textId="77777777" w:rsidR="00671A7F" w:rsidRPr="00671A7F" w:rsidRDefault="00671A7F" w:rsidP="00671A7F">
      <w:r w:rsidRPr="00671A7F">
        <w:t>Copy code</w:t>
      </w:r>
    </w:p>
    <w:p w14:paraId="4D970A3D" w14:textId="77777777" w:rsidR="00671A7F" w:rsidRPr="00671A7F" w:rsidRDefault="00671A7F" w:rsidP="00671A7F">
      <w:r w:rsidRPr="00671A7F">
        <w:t xml:space="preserve">SELECT Material, Gemstone, AVG(Price) AS </w:t>
      </w:r>
      <w:proofErr w:type="spellStart"/>
      <w:r w:rsidRPr="00671A7F">
        <w:t>Avg_Price</w:t>
      </w:r>
      <w:proofErr w:type="spellEnd"/>
      <w:r w:rsidRPr="00671A7F">
        <w:t>, COUNT(*) AS Transactions</w:t>
      </w:r>
    </w:p>
    <w:p w14:paraId="36709955" w14:textId="77777777" w:rsidR="00671A7F" w:rsidRPr="00671A7F" w:rsidRDefault="00671A7F" w:rsidP="00671A7F">
      <w:r w:rsidRPr="00671A7F">
        <w:t xml:space="preserve">FROM </w:t>
      </w:r>
      <w:proofErr w:type="spellStart"/>
      <w:r w:rsidRPr="00671A7F">
        <w:t>jewelry_data</w:t>
      </w:r>
      <w:proofErr w:type="spellEnd"/>
    </w:p>
    <w:p w14:paraId="18B71D2F" w14:textId="77777777" w:rsidR="00671A7F" w:rsidRPr="00671A7F" w:rsidRDefault="00671A7F" w:rsidP="00671A7F">
      <w:r w:rsidRPr="00671A7F">
        <w:t>GROUP BY Material, Gemstone</w:t>
      </w:r>
    </w:p>
    <w:p w14:paraId="43E75C9B" w14:textId="77777777" w:rsidR="00671A7F" w:rsidRPr="00671A7F" w:rsidRDefault="00671A7F" w:rsidP="00671A7F">
      <w:r w:rsidRPr="00671A7F">
        <w:t xml:space="preserve">ORDER BY </w:t>
      </w:r>
      <w:proofErr w:type="spellStart"/>
      <w:r w:rsidRPr="00671A7F">
        <w:t>Avg_Price</w:t>
      </w:r>
      <w:proofErr w:type="spellEnd"/>
      <w:r w:rsidRPr="00671A7F">
        <w:t xml:space="preserve"> DESC;</w:t>
      </w:r>
    </w:p>
    <w:p w14:paraId="1DD8798E" w14:textId="77777777" w:rsidR="00671A7F" w:rsidRPr="00671A7F" w:rsidRDefault="00671A7F" w:rsidP="00671A7F">
      <w:pPr>
        <w:numPr>
          <w:ilvl w:val="0"/>
          <w:numId w:val="1"/>
        </w:numPr>
      </w:pPr>
      <w:r w:rsidRPr="00671A7F">
        <w:rPr>
          <w:b/>
          <w:bCs/>
        </w:rPr>
        <w:t>Price Trends Over Time</w:t>
      </w:r>
      <w:r w:rsidRPr="00671A7F">
        <w:t xml:space="preserve"> To understand how prices fluctuate, we tracked the average price by date:</w:t>
      </w:r>
    </w:p>
    <w:p w14:paraId="14BC0EDC" w14:textId="77777777" w:rsidR="00671A7F" w:rsidRPr="00671A7F" w:rsidRDefault="00671A7F" w:rsidP="00671A7F">
      <w:proofErr w:type="spellStart"/>
      <w:r w:rsidRPr="00671A7F">
        <w:t>sql</w:t>
      </w:r>
      <w:proofErr w:type="spellEnd"/>
    </w:p>
    <w:p w14:paraId="0D92D256" w14:textId="77777777" w:rsidR="00671A7F" w:rsidRPr="00671A7F" w:rsidRDefault="00671A7F" w:rsidP="00671A7F">
      <w:r w:rsidRPr="00671A7F">
        <w:t>Copy code</w:t>
      </w:r>
    </w:p>
    <w:p w14:paraId="549BDA7F" w14:textId="77777777" w:rsidR="00671A7F" w:rsidRPr="00671A7F" w:rsidRDefault="00671A7F" w:rsidP="00671A7F">
      <w:r w:rsidRPr="00671A7F">
        <w:t xml:space="preserve">SELECT DATE(Timestamp) AS Date, AVG(Price) AS </w:t>
      </w:r>
      <w:proofErr w:type="spellStart"/>
      <w:r w:rsidRPr="00671A7F">
        <w:t>Avg_Price</w:t>
      </w:r>
      <w:proofErr w:type="spellEnd"/>
    </w:p>
    <w:p w14:paraId="7A1A2F3F" w14:textId="77777777" w:rsidR="00671A7F" w:rsidRPr="00671A7F" w:rsidRDefault="00671A7F" w:rsidP="00671A7F">
      <w:r w:rsidRPr="00671A7F">
        <w:lastRenderedPageBreak/>
        <w:t xml:space="preserve">FROM </w:t>
      </w:r>
      <w:proofErr w:type="spellStart"/>
      <w:r w:rsidRPr="00671A7F">
        <w:t>jewelry_data</w:t>
      </w:r>
      <w:proofErr w:type="spellEnd"/>
    </w:p>
    <w:p w14:paraId="5993806B" w14:textId="77777777" w:rsidR="00671A7F" w:rsidRPr="00671A7F" w:rsidRDefault="00671A7F" w:rsidP="00671A7F">
      <w:r w:rsidRPr="00671A7F">
        <w:t>GROUP BY Date</w:t>
      </w:r>
    </w:p>
    <w:p w14:paraId="0AB25E85" w14:textId="77777777" w:rsidR="00671A7F" w:rsidRPr="00671A7F" w:rsidRDefault="00671A7F" w:rsidP="00671A7F">
      <w:r w:rsidRPr="00671A7F">
        <w:t>ORDER BY Date;</w:t>
      </w:r>
    </w:p>
    <w:p w14:paraId="77E0B907" w14:textId="77777777" w:rsidR="00671A7F" w:rsidRPr="00671A7F" w:rsidRDefault="00671A7F" w:rsidP="00671A7F">
      <w:pPr>
        <w:rPr>
          <w:b/>
          <w:bCs/>
        </w:rPr>
      </w:pPr>
      <w:r w:rsidRPr="00671A7F">
        <w:rPr>
          <w:b/>
          <w:bCs/>
        </w:rPr>
        <w:t>Visualizations</w:t>
      </w:r>
    </w:p>
    <w:p w14:paraId="032741E6" w14:textId="77777777" w:rsidR="00671A7F" w:rsidRPr="00671A7F" w:rsidRDefault="00671A7F" w:rsidP="00671A7F">
      <w:r w:rsidRPr="00671A7F">
        <w:t>Using Tableau, we created several visualizations to make the data more digestible:</w:t>
      </w:r>
    </w:p>
    <w:p w14:paraId="1417CDE1" w14:textId="3947F288" w:rsidR="00671A7F" w:rsidRPr="00671A7F" w:rsidRDefault="00671A7F" w:rsidP="00671A7F">
      <w:pPr>
        <w:rPr>
          <w:b/>
          <w:bCs/>
        </w:rPr>
      </w:pPr>
      <w:r w:rsidRPr="00671A7F">
        <w:rPr>
          <w:b/>
          <w:bCs/>
        </w:rPr>
        <w:t xml:space="preserve">1. </w:t>
      </w:r>
      <w:r w:rsidR="00AB61FB">
        <w:rPr>
          <w:b/>
          <w:bCs/>
        </w:rPr>
        <w:t>J</w:t>
      </w:r>
      <w:r w:rsidR="00AB61FB" w:rsidRPr="00671A7F">
        <w:rPr>
          <w:b/>
          <w:bCs/>
        </w:rPr>
        <w:t>ewellery</w:t>
      </w:r>
      <w:r w:rsidRPr="00671A7F">
        <w:rPr>
          <w:b/>
          <w:bCs/>
        </w:rPr>
        <w:t xml:space="preserve"> Type Bar Chart</w:t>
      </w:r>
    </w:p>
    <w:p w14:paraId="7041E27E" w14:textId="2F720071" w:rsidR="00671A7F" w:rsidRPr="00671A7F" w:rsidRDefault="00671A7F" w:rsidP="00671A7F">
      <w:r w:rsidRPr="00671A7F">
        <w:t xml:space="preserve">We built a bar chart showing average prices across various </w:t>
      </w:r>
      <w:proofErr w:type="spellStart"/>
      <w:r w:rsidRPr="00671A7F">
        <w:t>jewelry</w:t>
      </w:r>
      <w:proofErr w:type="spellEnd"/>
      <w:r w:rsidRPr="00671A7F">
        <w:t xml:space="preserve"> types. Each bar represents a different type of </w:t>
      </w:r>
      <w:r w:rsidR="00AB61FB" w:rsidRPr="00671A7F">
        <w:t>jewellery</w:t>
      </w:r>
      <w:r w:rsidRPr="00671A7F">
        <w:t>, with its height indicating the average price.</w:t>
      </w:r>
    </w:p>
    <w:p w14:paraId="2A9ADDA2" w14:textId="77777777" w:rsidR="00671A7F" w:rsidRPr="00671A7F" w:rsidRDefault="00671A7F" w:rsidP="00671A7F">
      <w:pPr>
        <w:rPr>
          <w:b/>
          <w:bCs/>
        </w:rPr>
      </w:pPr>
      <w:r w:rsidRPr="00671A7F">
        <w:rPr>
          <w:b/>
          <w:bCs/>
        </w:rPr>
        <w:t>2. Heat Map for Materials and Gemstones</w:t>
      </w:r>
    </w:p>
    <w:p w14:paraId="12354C06" w14:textId="77777777" w:rsidR="00671A7F" w:rsidRPr="00671A7F" w:rsidRDefault="00671A7F" w:rsidP="00671A7F">
      <w:r w:rsidRPr="00671A7F">
        <w:t>A heat map illustrates the average prices for different materials and gemstones, with darker shades indicating higher prices. This visualization helps us quickly spot which materials are most valuable.</w:t>
      </w:r>
    </w:p>
    <w:p w14:paraId="21B23030" w14:textId="77777777" w:rsidR="00671A7F" w:rsidRPr="00671A7F" w:rsidRDefault="00671A7F" w:rsidP="00671A7F">
      <w:pPr>
        <w:rPr>
          <w:b/>
          <w:bCs/>
        </w:rPr>
      </w:pPr>
      <w:r w:rsidRPr="00671A7F">
        <w:rPr>
          <w:b/>
          <w:bCs/>
        </w:rPr>
        <w:t>3. Line Chart for Price Trends</w:t>
      </w:r>
    </w:p>
    <w:p w14:paraId="4BEF6925" w14:textId="77777777" w:rsidR="00671A7F" w:rsidRPr="00671A7F" w:rsidRDefault="00671A7F" w:rsidP="00671A7F">
      <w:r w:rsidRPr="00671A7F">
        <w:t>We plotted a line chart to visualize average prices over time. The x-axis represents dates, while the y-axis shows average prices. This allows us to see how prices have risen or fallen, highlighting any significant trends.</w:t>
      </w:r>
    </w:p>
    <w:p w14:paraId="3AA183C3" w14:textId="77777777" w:rsidR="00671A7F" w:rsidRPr="00671A7F" w:rsidRDefault="00671A7F" w:rsidP="00671A7F">
      <w:pPr>
        <w:rPr>
          <w:b/>
          <w:bCs/>
        </w:rPr>
      </w:pPr>
      <w:r w:rsidRPr="00671A7F">
        <w:rPr>
          <w:b/>
          <w:bCs/>
        </w:rPr>
        <w:t>Findings</w:t>
      </w:r>
    </w:p>
    <w:p w14:paraId="6148A914" w14:textId="0D251357" w:rsidR="00671A7F" w:rsidRPr="00671A7F" w:rsidRDefault="00AB61FB" w:rsidP="00671A7F">
      <w:pPr>
        <w:rPr>
          <w:b/>
          <w:bCs/>
        </w:rPr>
      </w:pPr>
      <w:r>
        <w:rPr>
          <w:b/>
          <w:bCs/>
        </w:rPr>
        <w:t>J</w:t>
      </w:r>
      <w:r w:rsidRPr="00671A7F">
        <w:rPr>
          <w:b/>
          <w:bCs/>
        </w:rPr>
        <w:t>ewellery</w:t>
      </w:r>
      <w:r w:rsidR="00671A7F" w:rsidRPr="00671A7F">
        <w:rPr>
          <w:b/>
          <w:bCs/>
        </w:rPr>
        <w:t xml:space="preserve"> Type Statistics</w:t>
      </w:r>
    </w:p>
    <w:p w14:paraId="3B8B4AEB" w14:textId="77777777" w:rsidR="00671A7F" w:rsidRPr="00671A7F" w:rsidRDefault="00671A7F" w:rsidP="00671A7F">
      <w:r w:rsidRPr="00671A7F">
        <w:t xml:space="preserve">Here's a summary of the average prices and transaction counts for different </w:t>
      </w:r>
      <w:proofErr w:type="spellStart"/>
      <w:r w:rsidRPr="00671A7F">
        <w:t>jewelry</w:t>
      </w:r>
      <w:proofErr w:type="spellEnd"/>
      <w:r w:rsidRPr="00671A7F">
        <w:t xml:space="preserve">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974"/>
        <w:gridCol w:w="1343"/>
        <w:gridCol w:w="1676"/>
      </w:tblGrid>
      <w:tr w:rsidR="00671A7F" w:rsidRPr="00671A7F" w14:paraId="2C88F927" w14:textId="77777777" w:rsidTr="00671A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5ED5D" w14:textId="1252863C" w:rsidR="00671A7F" w:rsidRPr="00671A7F" w:rsidRDefault="00AB61FB" w:rsidP="00671A7F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  <w:r w:rsidRPr="00671A7F">
              <w:rPr>
                <w:b/>
                <w:bCs/>
              </w:rPr>
              <w:t>ewellery</w:t>
            </w:r>
            <w:r w:rsidR="00671A7F" w:rsidRPr="00671A7F">
              <w:rPr>
                <w:b/>
                <w:bCs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692FFA60" w14:textId="77777777" w:rsidR="00671A7F" w:rsidRPr="00671A7F" w:rsidRDefault="00671A7F" w:rsidP="00671A7F">
            <w:pPr>
              <w:rPr>
                <w:b/>
                <w:bCs/>
              </w:rPr>
            </w:pPr>
            <w:proofErr w:type="spellStart"/>
            <w:r w:rsidRPr="00671A7F">
              <w:rPr>
                <w:b/>
                <w:bCs/>
              </w:rPr>
              <w:t>Avg</w:t>
            </w:r>
            <w:proofErr w:type="spellEnd"/>
            <w:r w:rsidRPr="00671A7F">
              <w:rPr>
                <w:b/>
                <w:bCs/>
              </w:rPr>
              <w:t xml:space="preserve"> Price</w:t>
            </w:r>
          </w:p>
        </w:tc>
        <w:tc>
          <w:tcPr>
            <w:tcW w:w="0" w:type="auto"/>
            <w:vAlign w:val="center"/>
            <w:hideMark/>
          </w:tcPr>
          <w:p w14:paraId="70A51CCC" w14:textId="77777777" w:rsidR="00671A7F" w:rsidRPr="00671A7F" w:rsidRDefault="00671A7F" w:rsidP="00671A7F">
            <w:pPr>
              <w:rPr>
                <w:b/>
                <w:bCs/>
              </w:rPr>
            </w:pPr>
            <w:r w:rsidRPr="00671A7F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094EBBD8" w14:textId="77777777" w:rsidR="00671A7F" w:rsidRPr="00671A7F" w:rsidRDefault="00671A7F" w:rsidP="00671A7F">
            <w:pPr>
              <w:rPr>
                <w:b/>
                <w:bCs/>
              </w:rPr>
            </w:pPr>
            <w:r w:rsidRPr="00671A7F">
              <w:rPr>
                <w:b/>
                <w:bCs/>
              </w:rPr>
              <w:t>Total Items Sold</w:t>
            </w:r>
          </w:p>
        </w:tc>
      </w:tr>
      <w:tr w:rsidR="00671A7F" w:rsidRPr="00671A7F" w14:paraId="61D45EC6" w14:textId="77777777" w:rsidTr="00671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B230A" w14:textId="77777777" w:rsidR="00671A7F" w:rsidRPr="00671A7F" w:rsidRDefault="00671A7F" w:rsidP="00671A7F">
            <w:proofErr w:type="spellStart"/>
            <w:r w:rsidRPr="00671A7F">
              <w:t>jewelry.bracelet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BF041" w14:textId="77777777" w:rsidR="00671A7F" w:rsidRPr="00671A7F" w:rsidRDefault="00671A7F" w:rsidP="00671A7F">
            <w:r w:rsidRPr="00671A7F">
              <w:t>493.14</w:t>
            </w:r>
          </w:p>
        </w:tc>
        <w:tc>
          <w:tcPr>
            <w:tcW w:w="0" w:type="auto"/>
            <w:vAlign w:val="center"/>
            <w:hideMark/>
          </w:tcPr>
          <w:p w14:paraId="060CBB3E" w14:textId="77777777" w:rsidR="00671A7F" w:rsidRPr="00671A7F" w:rsidRDefault="00671A7F" w:rsidP="00671A7F">
            <w:r w:rsidRPr="00671A7F">
              <w:t>6129</w:t>
            </w:r>
          </w:p>
        </w:tc>
        <w:tc>
          <w:tcPr>
            <w:tcW w:w="0" w:type="auto"/>
            <w:vAlign w:val="center"/>
            <w:hideMark/>
          </w:tcPr>
          <w:p w14:paraId="3177F3E5" w14:textId="77777777" w:rsidR="00671A7F" w:rsidRPr="00671A7F" w:rsidRDefault="00671A7F" w:rsidP="00671A7F">
            <w:r w:rsidRPr="00671A7F">
              <w:t>6129</w:t>
            </w:r>
          </w:p>
        </w:tc>
      </w:tr>
      <w:tr w:rsidR="00671A7F" w:rsidRPr="00671A7F" w14:paraId="4D8E3B75" w14:textId="77777777" w:rsidTr="00671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4AFD1" w14:textId="77777777" w:rsidR="00671A7F" w:rsidRPr="00671A7F" w:rsidRDefault="00671A7F" w:rsidP="00671A7F">
            <w:proofErr w:type="spellStart"/>
            <w:r w:rsidRPr="00671A7F">
              <w:t>electronics.clocks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9AF42" w14:textId="77777777" w:rsidR="00671A7F" w:rsidRPr="00671A7F" w:rsidRDefault="00671A7F" w:rsidP="00671A7F">
            <w:r w:rsidRPr="00671A7F">
              <w:t>426.78</w:t>
            </w:r>
          </w:p>
        </w:tc>
        <w:tc>
          <w:tcPr>
            <w:tcW w:w="0" w:type="auto"/>
            <w:vAlign w:val="center"/>
            <w:hideMark/>
          </w:tcPr>
          <w:p w14:paraId="456531A5" w14:textId="77777777" w:rsidR="00671A7F" w:rsidRPr="00671A7F" w:rsidRDefault="00671A7F" w:rsidP="00671A7F">
            <w:r w:rsidRPr="00671A7F">
              <w:t>165</w:t>
            </w:r>
          </w:p>
        </w:tc>
        <w:tc>
          <w:tcPr>
            <w:tcW w:w="0" w:type="auto"/>
            <w:vAlign w:val="center"/>
            <w:hideMark/>
          </w:tcPr>
          <w:p w14:paraId="562E6965" w14:textId="77777777" w:rsidR="00671A7F" w:rsidRPr="00671A7F" w:rsidRDefault="00671A7F" w:rsidP="00671A7F">
            <w:r w:rsidRPr="00671A7F">
              <w:t>165</w:t>
            </w:r>
          </w:p>
        </w:tc>
      </w:tr>
      <w:tr w:rsidR="00671A7F" w:rsidRPr="00671A7F" w14:paraId="37374D8A" w14:textId="77777777" w:rsidTr="00671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BC354" w14:textId="77777777" w:rsidR="00671A7F" w:rsidRPr="00671A7F" w:rsidRDefault="00671A7F" w:rsidP="00671A7F">
            <w:proofErr w:type="spellStart"/>
            <w:r w:rsidRPr="00671A7F">
              <w:t>jewelry.earring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166D3" w14:textId="77777777" w:rsidR="00671A7F" w:rsidRPr="00671A7F" w:rsidRDefault="00671A7F" w:rsidP="00671A7F">
            <w:r w:rsidRPr="00671A7F">
              <w:t>396.29</w:t>
            </w:r>
          </w:p>
        </w:tc>
        <w:tc>
          <w:tcPr>
            <w:tcW w:w="0" w:type="auto"/>
            <w:vAlign w:val="center"/>
            <w:hideMark/>
          </w:tcPr>
          <w:p w14:paraId="5C62896A" w14:textId="77777777" w:rsidR="00671A7F" w:rsidRPr="00671A7F" w:rsidRDefault="00671A7F" w:rsidP="00671A7F">
            <w:r w:rsidRPr="00671A7F">
              <w:t>29047</w:t>
            </w:r>
          </w:p>
        </w:tc>
        <w:tc>
          <w:tcPr>
            <w:tcW w:w="0" w:type="auto"/>
            <w:vAlign w:val="center"/>
            <w:hideMark/>
          </w:tcPr>
          <w:p w14:paraId="4B3E7C67" w14:textId="77777777" w:rsidR="00671A7F" w:rsidRPr="00671A7F" w:rsidRDefault="00671A7F" w:rsidP="00671A7F">
            <w:r w:rsidRPr="00671A7F">
              <w:t>29047</w:t>
            </w:r>
          </w:p>
        </w:tc>
      </w:tr>
    </w:tbl>
    <w:p w14:paraId="5FA683F8" w14:textId="77777777" w:rsidR="00671A7F" w:rsidRPr="00671A7F" w:rsidRDefault="00671A7F" w:rsidP="00671A7F">
      <w:r w:rsidRPr="00671A7F">
        <w:t>From this, we see that earrings are the most frequently sold item, suggesting a strong market demand. While bracelets command higher prices, they have lower transaction volumes.</w:t>
      </w:r>
    </w:p>
    <w:p w14:paraId="12219CF5" w14:textId="77777777" w:rsidR="00671A7F" w:rsidRPr="00671A7F" w:rsidRDefault="00671A7F" w:rsidP="00671A7F">
      <w:pPr>
        <w:rPr>
          <w:b/>
          <w:bCs/>
        </w:rPr>
      </w:pPr>
      <w:r w:rsidRPr="00671A7F">
        <w:rPr>
          <w:b/>
          <w:bCs/>
        </w:rPr>
        <w:t>Material and Gemstone Analysis</w:t>
      </w:r>
    </w:p>
    <w:p w14:paraId="2E8F3101" w14:textId="77777777" w:rsidR="00671A7F" w:rsidRPr="00671A7F" w:rsidRDefault="00671A7F" w:rsidP="00671A7F">
      <w:r w:rsidRPr="00671A7F">
        <w:t>The following highlights the average prices associated with various materials and gemstones: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1101"/>
        <w:gridCol w:w="974"/>
        <w:gridCol w:w="1358"/>
      </w:tblGrid>
      <w:tr w:rsidR="00671A7F" w:rsidRPr="00671A7F" w14:paraId="2C589DC2" w14:textId="77777777" w:rsidTr="00671A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7D093" w14:textId="77777777" w:rsidR="00671A7F" w:rsidRPr="00671A7F" w:rsidRDefault="00671A7F" w:rsidP="00671A7F">
            <w:pPr>
              <w:rPr>
                <w:b/>
                <w:bCs/>
              </w:rPr>
            </w:pPr>
            <w:r w:rsidRPr="00671A7F">
              <w:rPr>
                <w:b/>
                <w:bCs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31E96FBE" w14:textId="77777777" w:rsidR="00671A7F" w:rsidRPr="00671A7F" w:rsidRDefault="00671A7F" w:rsidP="00671A7F">
            <w:pPr>
              <w:rPr>
                <w:b/>
                <w:bCs/>
              </w:rPr>
            </w:pPr>
            <w:r w:rsidRPr="00671A7F">
              <w:rPr>
                <w:b/>
                <w:bCs/>
              </w:rPr>
              <w:t>Gemstone</w:t>
            </w:r>
          </w:p>
        </w:tc>
        <w:tc>
          <w:tcPr>
            <w:tcW w:w="0" w:type="auto"/>
            <w:vAlign w:val="center"/>
            <w:hideMark/>
          </w:tcPr>
          <w:p w14:paraId="6370ABC8" w14:textId="77777777" w:rsidR="00671A7F" w:rsidRPr="00671A7F" w:rsidRDefault="00671A7F" w:rsidP="00671A7F">
            <w:pPr>
              <w:rPr>
                <w:b/>
                <w:bCs/>
              </w:rPr>
            </w:pPr>
            <w:proofErr w:type="spellStart"/>
            <w:r w:rsidRPr="00671A7F">
              <w:rPr>
                <w:b/>
                <w:bCs/>
              </w:rPr>
              <w:t>Avg</w:t>
            </w:r>
            <w:proofErr w:type="spellEnd"/>
            <w:r w:rsidRPr="00671A7F">
              <w:rPr>
                <w:b/>
                <w:bCs/>
              </w:rPr>
              <w:t xml:space="preserve"> Price</w:t>
            </w:r>
          </w:p>
        </w:tc>
        <w:tc>
          <w:tcPr>
            <w:tcW w:w="0" w:type="auto"/>
            <w:vAlign w:val="center"/>
            <w:hideMark/>
          </w:tcPr>
          <w:p w14:paraId="747AF6BD" w14:textId="77777777" w:rsidR="00671A7F" w:rsidRPr="00671A7F" w:rsidRDefault="00671A7F" w:rsidP="00671A7F">
            <w:pPr>
              <w:rPr>
                <w:b/>
                <w:bCs/>
              </w:rPr>
            </w:pPr>
            <w:r w:rsidRPr="00671A7F">
              <w:rPr>
                <w:b/>
                <w:bCs/>
              </w:rPr>
              <w:t>Transactions</w:t>
            </w:r>
          </w:p>
        </w:tc>
      </w:tr>
      <w:tr w:rsidR="00671A7F" w:rsidRPr="00671A7F" w14:paraId="42B35876" w14:textId="77777777" w:rsidTr="00671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8E0EF" w14:textId="77777777" w:rsidR="00671A7F" w:rsidRPr="00671A7F" w:rsidRDefault="00671A7F" w:rsidP="00671A7F">
            <w:r w:rsidRPr="00671A7F">
              <w:t>gold</w:t>
            </w:r>
          </w:p>
        </w:tc>
        <w:tc>
          <w:tcPr>
            <w:tcW w:w="0" w:type="auto"/>
            <w:vAlign w:val="center"/>
            <w:hideMark/>
          </w:tcPr>
          <w:p w14:paraId="0FCA1947" w14:textId="77777777" w:rsidR="00671A7F" w:rsidRPr="00671A7F" w:rsidRDefault="00671A7F" w:rsidP="00671A7F">
            <w:r w:rsidRPr="00671A7F">
              <w:t>diamond</w:t>
            </w:r>
          </w:p>
        </w:tc>
        <w:tc>
          <w:tcPr>
            <w:tcW w:w="0" w:type="auto"/>
            <w:vAlign w:val="center"/>
            <w:hideMark/>
          </w:tcPr>
          <w:p w14:paraId="57387436" w14:textId="77777777" w:rsidR="00671A7F" w:rsidRPr="00671A7F" w:rsidRDefault="00671A7F" w:rsidP="00671A7F">
            <w:r w:rsidRPr="00671A7F">
              <w:t>504.11</w:t>
            </w:r>
          </w:p>
        </w:tc>
        <w:tc>
          <w:tcPr>
            <w:tcW w:w="0" w:type="auto"/>
            <w:vAlign w:val="center"/>
            <w:hideMark/>
          </w:tcPr>
          <w:p w14:paraId="2BCF1708" w14:textId="77777777" w:rsidR="00671A7F" w:rsidRPr="00671A7F" w:rsidRDefault="00671A7F" w:rsidP="00671A7F">
            <w:r w:rsidRPr="00671A7F">
              <w:t>28835</w:t>
            </w:r>
          </w:p>
        </w:tc>
      </w:tr>
      <w:tr w:rsidR="00671A7F" w:rsidRPr="00671A7F" w14:paraId="1D3E5DCF" w14:textId="77777777" w:rsidTr="00671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57670" w14:textId="77777777" w:rsidR="00671A7F" w:rsidRPr="00671A7F" w:rsidRDefault="00671A7F" w:rsidP="00671A7F">
            <w:r w:rsidRPr="00671A7F">
              <w:t>gold</w:t>
            </w:r>
          </w:p>
        </w:tc>
        <w:tc>
          <w:tcPr>
            <w:tcW w:w="0" w:type="auto"/>
            <w:vAlign w:val="center"/>
            <w:hideMark/>
          </w:tcPr>
          <w:p w14:paraId="6AADA324" w14:textId="77777777" w:rsidR="00671A7F" w:rsidRPr="00671A7F" w:rsidRDefault="00671A7F" w:rsidP="00671A7F">
            <w:r w:rsidRPr="00671A7F">
              <w:t>None</w:t>
            </w:r>
          </w:p>
        </w:tc>
        <w:tc>
          <w:tcPr>
            <w:tcW w:w="0" w:type="auto"/>
            <w:vAlign w:val="center"/>
            <w:hideMark/>
          </w:tcPr>
          <w:p w14:paraId="2258910B" w14:textId="77777777" w:rsidR="00671A7F" w:rsidRPr="00671A7F" w:rsidRDefault="00671A7F" w:rsidP="00671A7F">
            <w:r w:rsidRPr="00671A7F">
              <w:t>236.53</w:t>
            </w:r>
          </w:p>
        </w:tc>
        <w:tc>
          <w:tcPr>
            <w:tcW w:w="0" w:type="auto"/>
            <w:vAlign w:val="center"/>
            <w:hideMark/>
          </w:tcPr>
          <w:p w14:paraId="3AC11B3A" w14:textId="77777777" w:rsidR="00671A7F" w:rsidRPr="00671A7F" w:rsidRDefault="00671A7F" w:rsidP="00671A7F">
            <w:r w:rsidRPr="00671A7F">
              <w:t>17243</w:t>
            </w:r>
          </w:p>
        </w:tc>
      </w:tr>
    </w:tbl>
    <w:p w14:paraId="7CA18A97" w14:textId="02A27623" w:rsidR="00671A7F" w:rsidRPr="00671A7F" w:rsidRDefault="00671A7F" w:rsidP="00671A7F">
      <w:r w:rsidRPr="00671A7F">
        <w:t xml:space="preserve">Gold </w:t>
      </w:r>
      <w:r w:rsidR="00AB61FB" w:rsidRPr="00671A7F">
        <w:t>jewellery</w:t>
      </w:r>
      <w:r w:rsidRPr="00671A7F">
        <w:t xml:space="preserve"> featuring diamonds clearly stands out as a premium offering, emphasizing the value of gemstones in pricing.</w:t>
      </w:r>
    </w:p>
    <w:p w14:paraId="5C4EAC21" w14:textId="77777777" w:rsidR="00671A7F" w:rsidRPr="00671A7F" w:rsidRDefault="00671A7F" w:rsidP="00671A7F">
      <w:pPr>
        <w:rPr>
          <w:b/>
          <w:bCs/>
        </w:rPr>
      </w:pPr>
      <w:r w:rsidRPr="00671A7F">
        <w:rPr>
          <w:b/>
          <w:bCs/>
        </w:rPr>
        <w:lastRenderedPageBreak/>
        <w:t>Price Trends Over Time</w:t>
      </w:r>
    </w:p>
    <w:p w14:paraId="512E4FC5" w14:textId="77777777" w:rsidR="00671A7F" w:rsidRPr="00671A7F" w:rsidRDefault="00671A7F" w:rsidP="00671A7F">
      <w:r w:rsidRPr="00671A7F">
        <w:t>The line chart we created showcases fluctuations in average prices over time, revealing patterns that may indicate seasonal demand shifts.</w:t>
      </w:r>
    </w:p>
    <w:p w14:paraId="78B713FA" w14:textId="77777777" w:rsidR="00671A7F" w:rsidRPr="00671A7F" w:rsidRDefault="00671A7F" w:rsidP="00671A7F">
      <w:pPr>
        <w:rPr>
          <w:b/>
          <w:bCs/>
        </w:rPr>
      </w:pPr>
      <w:r w:rsidRPr="00671A7F">
        <w:rPr>
          <w:b/>
          <w:bCs/>
        </w:rPr>
        <w:t>Conclusion</w:t>
      </w:r>
    </w:p>
    <w:p w14:paraId="22864EBD" w14:textId="323087C8" w:rsidR="00671A7F" w:rsidRDefault="00671A7F" w:rsidP="00671A7F">
      <w:r w:rsidRPr="00671A7F">
        <w:t xml:space="preserve">This analysis uncovers valuable insights into </w:t>
      </w:r>
      <w:r w:rsidR="00AB61FB" w:rsidRPr="00671A7F">
        <w:t>jewellery</w:t>
      </w:r>
      <w:r w:rsidRPr="00671A7F">
        <w:t xml:space="preserve"> pricing trends. It’s clear that certain </w:t>
      </w:r>
      <w:r w:rsidR="00AB61FB" w:rsidRPr="00671A7F">
        <w:t>jewellery</w:t>
      </w:r>
      <w:r w:rsidRPr="00671A7F">
        <w:t xml:space="preserve"> types, like earrings, lead in sales volume, while gold with diamonds represents a high-value segment. Understanding these dynamics can help inform marketing strategies and inventory management. Looking ahead, we might consider exploring consumer </w:t>
      </w:r>
      <w:r w:rsidR="00AB61FB" w:rsidRPr="00671A7F">
        <w:t>behaviour</w:t>
      </w:r>
      <w:r w:rsidRPr="00671A7F">
        <w:t xml:space="preserve"> and external factors influencing these pricing trends.</w:t>
      </w:r>
    </w:p>
    <w:p w14:paraId="1E528741" w14:textId="77777777" w:rsidR="00AB35D2" w:rsidRDefault="00AB35D2" w:rsidP="00671A7F"/>
    <w:p w14:paraId="56055C25" w14:textId="77777777" w:rsidR="00AB35D2" w:rsidRPr="00AB35D2" w:rsidRDefault="00AB35D2" w:rsidP="00AB35D2">
      <w:pPr>
        <w:rPr>
          <w:b/>
          <w:bCs/>
        </w:rPr>
      </w:pPr>
      <w:r w:rsidRPr="00AB35D2">
        <w:rPr>
          <w:b/>
          <w:bCs/>
        </w:rPr>
        <w:t>Data Source</w:t>
      </w:r>
    </w:p>
    <w:p w14:paraId="26ACE0CB" w14:textId="65BA3AF6" w:rsidR="00AB35D2" w:rsidRPr="00AB35D2" w:rsidRDefault="00AB35D2" w:rsidP="00AB35D2">
      <w:r w:rsidRPr="00AB35D2">
        <w:t xml:space="preserve">The primary dataset utilized for this analysis is derived from eCommerce purchase history from a </w:t>
      </w:r>
      <w:r w:rsidR="00600F98" w:rsidRPr="00AB35D2">
        <w:t>jewellery</w:t>
      </w:r>
      <w:r w:rsidRPr="00AB35D2">
        <w:t xml:space="preserve"> store, updated by Michael </w:t>
      </w:r>
      <w:proofErr w:type="spellStart"/>
      <w:r w:rsidRPr="00AB35D2">
        <w:t>Kechinov</w:t>
      </w:r>
      <w:proofErr w:type="spellEnd"/>
      <w:r w:rsidRPr="00AB35D2">
        <w:t xml:space="preserve"> three years ago. The dataset includes detailed records of 130,000 purchased </w:t>
      </w:r>
      <w:r w:rsidR="00600F98" w:rsidRPr="00AB35D2">
        <w:t>jewellery</w:t>
      </w:r>
      <w:r w:rsidRPr="00AB35D2">
        <w:t xml:space="preserve"> products over a two-year period, specifically from December 2018 to December 2021. Each row in the dataset represents a purchased product, with multiple products from the same order identified by the </w:t>
      </w:r>
      <w:proofErr w:type="spellStart"/>
      <w:r w:rsidRPr="00AB35D2">
        <w:t>order_id</w:t>
      </w:r>
      <w:proofErr w:type="spellEnd"/>
      <w:r w:rsidRPr="00AB35D2">
        <w:t xml:space="preserve"> field.</w:t>
      </w:r>
    </w:p>
    <w:p w14:paraId="51388E0F" w14:textId="77777777" w:rsidR="00AB35D2" w:rsidRPr="00AB35D2" w:rsidRDefault="00AB35D2" w:rsidP="00AB35D2">
      <w:r w:rsidRPr="00AB35D2">
        <w:t>This data was collected through the Open CDP project, an open-source customer data platform. The dataset can be accessed and downloaded as needed.</w:t>
      </w:r>
    </w:p>
    <w:p w14:paraId="01AEA5C7" w14:textId="6CDBE16B" w:rsidR="00AB35D2" w:rsidRPr="00AB35D2" w:rsidRDefault="00AB35D2" w:rsidP="00AB35D2">
      <w:pPr>
        <w:numPr>
          <w:ilvl w:val="0"/>
          <w:numId w:val="2"/>
        </w:numPr>
      </w:pPr>
      <w:r w:rsidRPr="00AB35D2">
        <w:rPr>
          <w:b/>
          <w:bCs/>
        </w:rPr>
        <w:t>Dataset Title</w:t>
      </w:r>
      <w:r w:rsidRPr="00AB35D2">
        <w:t xml:space="preserve">: eCommerce Purchase History from </w:t>
      </w:r>
      <w:r w:rsidR="00600F98" w:rsidRPr="00AB35D2">
        <w:t>jewellery</w:t>
      </w:r>
      <w:r w:rsidRPr="00AB35D2">
        <w:t xml:space="preserve"> Store</w:t>
      </w:r>
    </w:p>
    <w:p w14:paraId="241A6BFB" w14:textId="77777777" w:rsidR="00AB35D2" w:rsidRPr="00AB35D2" w:rsidRDefault="00AB35D2" w:rsidP="00AB35D2">
      <w:pPr>
        <w:numPr>
          <w:ilvl w:val="0"/>
          <w:numId w:val="2"/>
        </w:numPr>
      </w:pPr>
      <w:r w:rsidRPr="00AB35D2">
        <w:rPr>
          <w:b/>
          <w:bCs/>
        </w:rPr>
        <w:t>Size</w:t>
      </w:r>
      <w:r w:rsidRPr="00AB35D2">
        <w:t>: 3 MB</w:t>
      </w:r>
    </w:p>
    <w:p w14:paraId="24AD47DE" w14:textId="7C8EE44A" w:rsidR="00AB35D2" w:rsidRPr="00AB35D2" w:rsidRDefault="00AB35D2" w:rsidP="00600F98">
      <w:pPr>
        <w:ind w:left="720"/>
      </w:pPr>
    </w:p>
    <w:p w14:paraId="417C1617" w14:textId="77777777" w:rsidR="00AB35D2" w:rsidRPr="00671A7F" w:rsidRDefault="00AB35D2" w:rsidP="00671A7F"/>
    <w:p w14:paraId="48E2ED00" w14:textId="77777777" w:rsidR="00AC417E" w:rsidRDefault="00AC417E"/>
    <w:sectPr w:rsidR="00AC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6C75"/>
    <w:multiLevelType w:val="multilevel"/>
    <w:tmpl w:val="195A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65CD1"/>
    <w:multiLevelType w:val="multilevel"/>
    <w:tmpl w:val="0A163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724097">
    <w:abstractNumId w:val="1"/>
  </w:num>
  <w:num w:numId="2" w16cid:durableId="209141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7F"/>
    <w:rsid w:val="000219EB"/>
    <w:rsid w:val="000920BA"/>
    <w:rsid w:val="00092203"/>
    <w:rsid w:val="003513B9"/>
    <w:rsid w:val="005E33AD"/>
    <w:rsid w:val="00600F98"/>
    <w:rsid w:val="00671A7F"/>
    <w:rsid w:val="007305BA"/>
    <w:rsid w:val="00A940F3"/>
    <w:rsid w:val="00AB0193"/>
    <w:rsid w:val="00AB35D2"/>
    <w:rsid w:val="00AB61FB"/>
    <w:rsid w:val="00AB68A3"/>
    <w:rsid w:val="00AC417E"/>
    <w:rsid w:val="00DA29FF"/>
    <w:rsid w:val="00E341E2"/>
    <w:rsid w:val="00EA08B9"/>
    <w:rsid w:val="00EA3A84"/>
    <w:rsid w:val="00F53C0F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7E5D"/>
  <w15:chartTrackingRefBased/>
  <w15:docId w15:val="{B2B72A52-42A0-4958-957F-79358C09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3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hall</dc:creator>
  <cp:keywords/>
  <dc:description/>
  <cp:lastModifiedBy>oliver hall</cp:lastModifiedBy>
  <cp:revision>7</cp:revision>
  <dcterms:created xsi:type="dcterms:W3CDTF">2024-09-19T13:48:00Z</dcterms:created>
  <dcterms:modified xsi:type="dcterms:W3CDTF">2024-09-20T13:52:00Z</dcterms:modified>
</cp:coreProperties>
</file>