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BE" w:rsidRPr="00AC3CBE" w:rsidRDefault="00AC3CBE" w:rsidP="00AC3CBE">
      <w:pPr>
        <w:jc w:val="center"/>
        <w:rPr>
          <w:rStyle w:val="Caractresdenotedebasdepage"/>
          <w:b/>
          <w:lang w:val="fr-FR"/>
        </w:rPr>
      </w:pPr>
      <w:r w:rsidRPr="00AC3CBE">
        <w:rPr>
          <w:rStyle w:val="Caractresdenotedebasdepage"/>
          <w:b/>
          <w:lang w:val="fr-FR"/>
        </w:rPr>
        <w:t xml:space="preserve">Notes de la Préface </w:t>
      </w:r>
      <w:r w:rsidRPr="00AC3CBE">
        <w:rPr>
          <w:rStyle w:val="Caractresdenotedebasdepage"/>
          <w:b/>
          <w:lang w:val="fr-FR"/>
        </w:rPr>
        <w:t>de l’éditeur</w:t>
      </w:r>
      <w:r w:rsidRPr="00AC3CBE">
        <w:rPr>
          <w:rStyle w:val="Caractresdenotedebasdepage"/>
          <w:b/>
          <w:lang w:val="fr-FR"/>
        </w:rPr>
        <w:t>,</w:t>
      </w:r>
    </w:p>
    <w:p w:rsidR="00AC3CBE" w:rsidRPr="00AC3CBE" w:rsidRDefault="00AC3CBE" w:rsidP="00AC3CBE">
      <w:pPr>
        <w:jc w:val="center"/>
        <w:rPr>
          <w:rStyle w:val="Caractresdenotedebasdepage"/>
          <w:b/>
          <w:lang w:val="fr-FR"/>
        </w:rPr>
      </w:pPr>
      <w:proofErr w:type="gramStart"/>
      <w:r w:rsidRPr="00AC3CBE">
        <w:rPr>
          <w:rStyle w:val="Caractresdenotedebasdepage"/>
          <w:b/>
          <w:lang w:val="fr-FR"/>
        </w:rPr>
        <w:t>vol</w:t>
      </w:r>
      <w:proofErr w:type="gramEnd"/>
      <w:r w:rsidRPr="00AC3CBE">
        <w:rPr>
          <w:rStyle w:val="Caractresdenotedebasdepage"/>
          <w:b/>
          <w:lang w:val="fr-FR"/>
        </w:rPr>
        <w:t xml:space="preserve"> 1et 2</w:t>
      </w:r>
    </w:p>
    <w:p w:rsidR="00AC3CBE" w:rsidRDefault="00AC3CBE" w:rsidP="00AC3CBE">
      <w:pPr>
        <w:jc w:val="center"/>
        <w:rPr>
          <w:rStyle w:val="Caractresdenotedebasdepage"/>
          <w:b/>
          <w:lang w:val="fr-FR"/>
        </w:rPr>
      </w:pPr>
    </w:p>
    <w:p w:rsidR="00AC3CBE" w:rsidRPr="00AC3CBE" w:rsidRDefault="00AC3CBE" w:rsidP="00AC3CBE">
      <w:pPr>
        <w:jc w:val="center"/>
        <w:rPr>
          <w:rStyle w:val="Caractresdenotedebasdepage"/>
          <w:b/>
          <w:lang w:val="fr-FR"/>
        </w:rPr>
      </w:pPr>
      <w:bookmarkStart w:id="0" w:name="_GoBack"/>
      <w:bookmarkEnd w:id="0"/>
      <w:r w:rsidRPr="00AC3CBE">
        <w:rPr>
          <w:rStyle w:val="Caractresdenotedebasdepage"/>
          <w:b/>
          <w:lang w:val="fr-FR"/>
        </w:rPr>
        <w:t xml:space="preserve">Revue </w:t>
      </w:r>
      <w:proofErr w:type="spellStart"/>
      <w:r w:rsidRPr="00AC3CBE">
        <w:rPr>
          <w:rStyle w:val="Caractresdenotedebasdepage"/>
          <w:b/>
          <w:lang w:val="fr-FR"/>
        </w:rPr>
        <w:t>wagnerienne</w:t>
      </w:r>
      <w:proofErr w:type="spellEnd"/>
    </w:p>
    <w:p w:rsidR="00AC3CBE" w:rsidRDefault="00AC3CBE" w:rsidP="00AC3CBE">
      <w:pPr>
        <w:rPr>
          <w:rStyle w:val="Caractresdenotedebasdepage"/>
          <w:lang w:val="fr-FR"/>
        </w:rPr>
      </w:pPr>
    </w:p>
    <w:p w:rsidR="00AC3CBE" w:rsidRDefault="00AC3CBE" w:rsidP="00AC3CBE">
      <w:pPr>
        <w:rPr>
          <w:rStyle w:val="Caractresdenotedebasdepage"/>
          <w:lang w:val="fr-FR"/>
        </w:rPr>
      </w:pP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$1$</w:t>
      </w:r>
      <w:r>
        <w:rPr>
          <w:lang w:val="fr-FR"/>
        </w:rPr>
        <w:tab/>
        <w:t xml:space="preserve">Édouard Dujardin (1861-1949) est célèbre pour avoir utilisé pour la première fois le monologue intérieur dans son roman </w:t>
      </w:r>
      <w:r w:rsidRPr="00186138">
        <w:rPr>
          <w:color w:val="0000FF"/>
          <w:lang w:val="fr-FR"/>
        </w:rPr>
        <w:t>Les lauriers sont coupés</w:t>
      </w:r>
      <w:r>
        <w:rPr>
          <w:color w:val="0000FF"/>
          <w:lang w:val="fr-FR"/>
        </w:rPr>
        <w:t xml:space="preserve"> </w:t>
      </w:r>
      <w:r>
        <w:rPr>
          <w:lang w:val="fr-FR"/>
        </w:rPr>
        <w:t xml:space="preserve">(1887). Ami de Mallarmé, proche du mouvement symboliste, il publie poèmes en vers libres, pièces de théâtre symbolistes et contes fantastiques. 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2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 xml:space="preserve">Houston Stewart Chamberlain est né en Angleterre en 1855 et mort à Bayreuth en 1927. Il est tristement célèbre pour son racisme et son antisémitisme. Ses théories n’apparaissent pas dans la </w:t>
      </w:r>
      <w:r w:rsidRPr="00186138">
        <w:rPr>
          <w:color w:val="0000FF"/>
          <w:lang w:val="fr-FR"/>
        </w:rPr>
        <w:t xml:space="preserve">Revue wagnérienne </w:t>
      </w:r>
      <w:r>
        <w:rPr>
          <w:lang w:val="fr-FR"/>
        </w:rPr>
        <w:t xml:space="preserve">et furent publiées ultérieurement. En 1916, il prit la nationalité allemande et épousa Eva, l’une des filles de Richard Wagner. 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3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>Richard Wagner est mort à Venise le 13 février 1883.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4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 xml:space="preserve">Édouard Dujardin : « La </w:t>
      </w:r>
      <w:r w:rsidRPr="00186138">
        <w:rPr>
          <w:color w:val="0000FF"/>
          <w:lang w:val="fr-FR"/>
        </w:rPr>
        <w:t>Revue wagnérienne</w:t>
      </w:r>
      <w:r>
        <w:rPr>
          <w:lang w:val="fr-FR"/>
        </w:rPr>
        <w:t xml:space="preserve"> », in </w:t>
      </w:r>
      <w:r w:rsidRPr="00186138">
        <w:rPr>
          <w:color w:val="0000FF"/>
          <w:lang w:val="fr-FR"/>
        </w:rPr>
        <w:t>La</w:t>
      </w:r>
      <w:r>
        <w:rPr>
          <w:lang w:val="fr-FR"/>
        </w:rPr>
        <w:t xml:space="preserve"> </w:t>
      </w:r>
      <w:r w:rsidRPr="00186138">
        <w:rPr>
          <w:color w:val="0000FF"/>
          <w:lang w:val="fr-FR"/>
        </w:rPr>
        <w:t>Revue musicale</w:t>
      </w:r>
      <w:r>
        <w:rPr>
          <w:lang w:val="fr-FR"/>
        </w:rPr>
        <w:t xml:space="preserve">, octobre 1923, numéro spécial « Wagner et la France », p. 141-160. Dans cet article, il raconte les circonstances de la création de la revue et son évolution. 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5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 xml:space="preserve">Cécile Leblanc résume la situation ainsi : « La question wagnérienne est alors une question politique et l’absence totale de musique du maître de Bayreuth au programme de l’Opéra entre 1870 et 1891 en est la traduction... ». </w:t>
      </w:r>
      <w:r w:rsidRPr="006063DE">
        <w:rPr>
          <w:color w:val="0000FF"/>
          <w:lang w:val="fr-FR"/>
        </w:rPr>
        <w:t>Cf.</w:t>
      </w:r>
      <w:r>
        <w:rPr>
          <w:lang w:val="fr-FR"/>
        </w:rPr>
        <w:t xml:space="preserve"> </w:t>
      </w:r>
      <w:r w:rsidRPr="00186138">
        <w:rPr>
          <w:color w:val="0000FF"/>
          <w:lang w:val="fr-FR"/>
        </w:rPr>
        <w:t>Wagnérisme et création en France, 1883-1889</w:t>
      </w:r>
      <w:r>
        <w:rPr>
          <w:lang w:val="fr-FR"/>
        </w:rPr>
        <w:t>, Honoré Champion, Paris, 2005. p. 13.</w:t>
      </w:r>
    </w:p>
    <w:p w:rsidR="00AC3CBE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6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 xml:space="preserve">André </w:t>
      </w:r>
      <w:proofErr w:type="spellStart"/>
      <w:r>
        <w:rPr>
          <w:lang w:val="fr-FR"/>
        </w:rPr>
        <w:t>Cœuroy</w:t>
      </w:r>
      <w:proofErr w:type="spellEnd"/>
      <w:r>
        <w:rPr>
          <w:lang w:val="fr-FR"/>
        </w:rPr>
        <w:t xml:space="preserve"> : </w:t>
      </w:r>
      <w:r w:rsidRPr="00186138">
        <w:rPr>
          <w:color w:val="0000FF"/>
          <w:lang w:val="fr-FR"/>
        </w:rPr>
        <w:t>Wagner et l’esprit romantique</w:t>
      </w:r>
      <w:r>
        <w:rPr>
          <w:lang w:val="fr-FR"/>
        </w:rPr>
        <w:t xml:space="preserve">, Paris, Gallimard, 1965, p. 250. </w:t>
      </w:r>
      <w:r w:rsidRPr="006063DE">
        <w:rPr>
          <w:color w:val="0000FF"/>
          <w:lang w:val="fr-FR"/>
        </w:rPr>
        <w:t>Cf.</w:t>
      </w:r>
      <w:r>
        <w:rPr>
          <w:lang w:val="fr-FR"/>
        </w:rPr>
        <w:t xml:space="preserve"> le chapitre sur la </w:t>
      </w:r>
      <w:r w:rsidRPr="00186138">
        <w:rPr>
          <w:color w:val="0000FF"/>
          <w:lang w:val="fr-FR"/>
        </w:rPr>
        <w:t>Revue wagnérienne</w:t>
      </w:r>
      <w:r>
        <w:rPr>
          <w:lang w:val="fr-FR"/>
        </w:rPr>
        <w:t xml:space="preserve">, p. 249-269. </w:t>
      </w:r>
    </w:p>
    <w:p w:rsidR="00AC3CBE" w:rsidRPr="00AC3CBE" w:rsidRDefault="00AC3CBE" w:rsidP="00AC3CBE">
      <w:pPr>
        <w:pStyle w:val="Notedebasdepage"/>
        <w:rPr>
          <w:lang w:val="fr-FR"/>
        </w:rPr>
      </w:pP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7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 xml:space="preserve">Cités par Dujardin dans la </w:t>
      </w:r>
      <w:r w:rsidRPr="00186138">
        <w:rPr>
          <w:color w:val="0000FF"/>
          <w:lang w:val="fr-FR"/>
        </w:rPr>
        <w:t>Revue musicale</w:t>
      </w:r>
      <w:r>
        <w:rPr>
          <w:lang w:val="fr-FR"/>
        </w:rPr>
        <w:t>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8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</w:r>
      <w:r w:rsidRPr="006063DE">
        <w:rPr>
          <w:color w:val="0000FF"/>
          <w:lang w:val="fr-FR"/>
        </w:rPr>
        <w:t>Cf.</w:t>
      </w:r>
      <w:r>
        <w:rPr>
          <w:lang w:val="fr-FR"/>
        </w:rPr>
        <w:t xml:space="preserve"> Cécile Leblanc, </w:t>
      </w:r>
      <w:r>
        <w:rPr>
          <w:color w:val="0000FF"/>
          <w:lang w:val="fr-FR"/>
        </w:rPr>
        <w:t xml:space="preserve">op. </w:t>
      </w:r>
      <w:proofErr w:type="spellStart"/>
      <w:proofErr w:type="gramStart"/>
      <w:r>
        <w:rPr>
          <w:color w:val="0000FF"/>
          <w:lang w:val="fr-FR"/>
        </w:rPr>
        <w:t>cit</w:t>
      </w:r>
      <w:proofErr w:type="spellEnd"/>
      <w:r>
        <w:rPr>
          <w:color w:val="0000FF"/>
          <w:lang w:val="fr-FR"/>
        </w:rPr>
        <w:t>.</w:t>
      </w:r>
      <w:r>
        <w:rPr>
          <w:lang w:val="fr-FR"/>
        </w:rPr>
        <w:t>,</w:t>
      </w:r>
      <w:proofErr w:type="gramEnd"/>
      <w:r>
        <w:rPr>
          <w:lang w:val="fr-FR"/>
        </w:rPr>
        <w:t xml:space="preserve"> p. 28.</w:t>
      </w:r>
    </w:p>
    <w:p w:rsidR="00AC3CBE" w:rsidRPr="000E0A82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9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</w:r>
      <w:r w:rsidRPr="006063DE">
        <w:rPr>
          <w:color w:val="0000FF"/>
          <w:lang w:val="fr-FR"/>
        </w:rPr>
        <w:t>Cf.</w:t>
      </w:r>
      <w:r>
        <w:rPr>
          <w:lang w:val="fr-FR"/>
        </w:rPr>
        <w:t xml:space="preserve"> Martine </w:t>
      </w:r>
      <w:proofErr w:type="spellStart"/>
      <w:r>
        <w:rPr>
          <w:lang w:val="fr-FR"/>
        </w:rPr>
        <w:t>Kahane</w:t>
      </w:r>
      <w:proofErr w:type="spellEnd"/>
      <w:r>
        <w:rPr>
          <w:lang w:val="fr-FR"/>
        </w:rPr>
        <w:t>, Nicole Wild</w:t>
      </w:r>
      <w:r w:rsidRPr="00186138">
        <w:rPr>
          <w:color w:val="0000FF"/>
          <w:lang w:val="fr-FR"/>
        </w:rPr>
        <w:t> </w:t>
      </w:r>
      <w:r>
        <w:rPr>
          <w:lang w:val="fr-FR"/>
        </w:rPr>
        <w:t xml:space="preserve">: </w:t>
      </w:r>
      <w:r w:rsidRPr="00186138">
        <w:rPr>
          <w:color w:val="0000FF"/>
          <w:lang w:val="fr-FR"/>
        </w:rPr>
        <w:t>Wagner et la France</w:t>
      </w:r>
      <w:r>
        <w:rPr>
          <w:lang w:val="fr-FR"/>
        </w:rPr>
        <w:t xml:space="preserve">, Paris, Herscher, 1983, p. 62. 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0</w:t>
      </w:r>
      <w:r>
        <w:rPr>
          <w:rStyle w:val="Caractresdenotedebasdepage"/>
          <w:lang w:val="fr-FR"/>
        </w:rPr>
        <w:t>$</w:t>
      </w:r>
      <w:r w:rsidRPr="00186138">
        <w:rPr>
          <w:lang w:val="fr-FR"/>
        </w:rPr>
        <w:tab/>
      </w:r>
      <w:r w:rsidRPr="006063DE">
        <w:rPr>
          <w:color w:val="0000FF"/>
          <w:lang w:val="fr-FR"/>
        </w:rPr>
        <w:t xml:space="preserve">La Revue musicale, op. </w:t>
      </w:r>
      <w:proofErr w:type="spellStart"/>
      <w:proofErr w:type="gramStart"/>
      <w:r w:rsidRPr="006063DE">
        <w:rPr>
          <w:color w:val="0000FF"/>
          <w:lang w:val="fr-FR"/>
        </w:rPr>
        <w:t>cit</w:t>
      </w:r>
      <w:proofErr w:type="spellEnd"/>
      <w:r w:rsidRPr="006063DE">
        <w:rPr>
          <w:color w:val="0000FF"/>
          <w:lang w:val="fr-FR"/>
        </w:rPr>
        <w:t>.</w:t>
      </w:r>
      <w:r>
        <w:rPr>
          <w:lang w:val="fr-FR"/>
        </w:rPr>
        <w:t>,</w:t>
      </w:r>
      <w:proofErr w:type="gramEnd"/>
      <w:r>
        <w:rPr>
          <w:lang w:val="fr-FR"/>
        </w:rPr>
        <w:t xml:space="preserve"> p. 144.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>Wagner liait étroitement son texte et sa musique. Il utilisait des sonorités et des rythmes qui s’adaptaient parfaitement à la musique. Le travail de traduction a été une source de réflexion sur la musicalité du texte en français.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2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 xml:space="preserve">Sur les théories esthétiques de Wagner et ses œuvres en prose, </w:t>
      </w:r>
      <w:r w:rsidRPr="006063DE">
        <w:rPr>
          <w:color w:val="0000FF"/>
          <w:lang w:val="fr-FR"/>
        </w:rPr>
        <w:t>Cf.</w:t>
      </w:r>
      <w:r>
        <w:rPr>
          <w:lang w:val="fr-FR"/>
        </w:rPr>
        <w:t xml:space="preserve"> notre ouvrage :</w:t>
      </w:r>
      <w:r w:rsidRPr="00186138">
        <w:rPr>
          <w:color w:val="0000FF"/>
          <w:lang w:val="fr-FR"/>
        </w:rPr>
        <w:t xml:space="preserve"> André Suarès et le wagnérisme,</w:t>
      </w:r>
      <w:r>
        <w:rPr>
          <w:lang w:val="fr-FR"/>
        </w:rPr>
        <w:t xml:space="preserve"> Paris, Classiques Garnier, 2009, p. 95-132.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3</w:t>
      </w:r>
      <w:r>
        <w:rPr>
          <w:rStyle w:val="Caractresdenotedebasdepage"/>
          <w:lang w:val="fr-FR"/>
        </w:rPr>
        <w:t>$</w:t>
      </w:r>
      <w:r w:rsidRPr="00AC3CBE">
        <w:rPr>
          <w:color w:val="0000FF"/>
          <w:lang w:val="fr-FR"/>
        </w:rPr>
        <w:tab/>
        <w:t>Quatre</w:t>
      </w:r>
      <w:r w:rsidRPr="00AC3CBE">
        <w:rPr>
          <w:lang w:val="fr-FR"/>
        </w:rPr>
        <w:t xml:space="preserve"> </w:t>
      </w:r>
      <w:r w:rsidRPr="00AC3CBE">
        <w:rPr>
          <w:color w:val="0000FF"/>
          <w:lang w:val="fr-FR"/>
        </w:rPr>
        <w:t>poèmes</w:t>
      </w:r>
      <w:r w:rsidRPr="00AC3CBE">
        <w:rPr>
          <w:lang w:val="fr-FR"/>
        </w:rPr>
        <w:t xml:space="preserve"> </w:t>
      </w:r>
      <w:r w:rsidRPr="00AC3CBE">
        <w:rPr>
          <w:color w:val="0000FF"/>
          <w:lang w:val="fr-FR"/>
        </w:rPr>
        <w:t>d’opéras</w:t>
      </w:r>
      <w:r w:rsidRPr="00AC3CBE">
        <w:rPr>
          <w:lang w:val="fr-FR"/>
        </w:rPr>
        <w:t xml:space="preserve"> traduits en langue française, précédés d’une </w:t>
      </w:r>
      <w:r w:rsidRPr="00AC3CBE">
        <w:rPr>
          <w:color w:val="0000FF"/>
          <w:lang w:val="fr-FR"/>
        </w:rPr>
        <w:t>Lettre sur la musique</w:t>
      </w:r>
      <w:r w:rsidRPr="00AC3CBE">
        <w:rPr>
          <w:lang w:val="fr-FR"/>
        </w:rPr>
        <w:t xml:space="preserve">, Paris, A. </w:t>
      </w:r>
      <w:proofErr w:type="spellStart"/>
      <w:r w:rsidRPr="00AC3CBE">
        <w:rPr>
          <w:lang w:val="fr-FR"/>
        </w:rPr>
        <w:t>Bourdilliat</w:t>
      </w:r>
      <w:proofErr w:type="spellEnd"/>
      <w:r w:rsidRPr="00AC3CBE">
        <w:rPr>
          <w:lang w:val="fr-FR"/>
        </w:rPr>
        <w:t xml:space="preserve"> et C</w:t>
      </w:r>
      <w:r w:rsidRPr="00AC3CBE">
        <w:rPr>
          <w:vertAlign w:val="superscript"/>
          <w:lang w:val="fr-FR"/>
        </w:rPr>
        <w:t>ie</w:t>
      </w:r>
      <w:r w:rsidRPr="00AC3CBE">
        <w:rPr>
          <w:lang w:val="fr-FR"/>
        </w:rPr>
        <w:t>, 1860.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4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>Cécile Leblanc,</w:t>
      </w:r>
      <w:r w:rsidRPr="00186138">
        <w:rPr>
          <w:color w:val="0000FF"/>
          <w:lang w:val="fr-FR"/>
        </w:rPr>
        <w:t xml:space="preserve"> </w:t>
      </w:r>
      <w:r w:rsidRPr="000E0A82">
        <w:rPr>
          <w:color w:val="0000FF"/>
          <w:lang w:val="fr-FR"/>
        </w:rPr>
        <w:t xml:space="preserve">op. </w:t>
      </w:r>
      <w:proofErr w:type="spellStart"/>
      <w:proofErr w:type="gramStart"/>
      <w:r w:rsidRPr="000E0A82">
        <w:rPr>
          <w:color w:val="0000FF"/>
          <w:lang w:val="fr-FR"/>
        </w:rPr>
        <w:t>cit</w:t>
      </w:r>
      <w:proofErr w:type="spellEnd"/>
      <w:r w:rsidRPr="000E0A82">
        <w:rPr>
          <w:color w:val="0000FF"/>
          <w:lang w:val="fr-FR"/>
        </w:rPr>
        <w:t>.,</w:t>
      </w:r>
      <w:proofErr w:type="gramEnd"/>
      <w:r>
        <w:rPr>
          <w:lang w:val="fr-FR"/>
        </w:rPr>
        <w:t xml:space="preserve"> p. 22.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5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>Baudelaire connaissait certains textes théoriques de Wagner traduits en anglais.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6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>« Le wagnérisme en 1888 », n° XII de 1888.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7</w:t>
      </w:r>
      <w:r>
        <w:rPr>
          <w:rStyle w:val="Caractresdenotedebasdepage"/>
          <w:lang w:val="fr-FR"/>
        </w:rPr>
        <w:t>$</w:t>
      </w:r>
      <w:r w:rsidRPr="00AC3CBE">
        <w:rPr>
          <w:lang w:val="fr-FR"/>
        </w:rPr>
        <w:tab/>
        <w:t>La Revue musicale, o</w:t>
      </w:r>
      <w:r w:rsidRPr="00AC3CBE">
        <w:rPr>
          <w:iCs/>
          <w:lang w:val="fr-FR"/>
        </w:rPr>
        <w:t xml:space="preserve">p. </w:t>
      </w:r>
      <w:proofErr w:type="spellStart"/>
      <w:proofErr w:type="gramStart"/>
      <w:r w:rsidRPr="00AC3CBE">
        <w:rPr>
          <w:iCs/>
          <w:lang w:val="fr-FR"/>
        </w:rPr>
        <w:t>cit</w:t>
      </w:r>
      <w:proofErr w:type="spellEnd"/>
      <w:r w:rsidRPr="00AC3CBE">
        <w:rPr>
          <w:iCs/>
          <w:lang w:val="fr-FR"/>
        </w:rPr>
        <w:t>.</w:t>
      </w:r>
      <w:r w:rsidRPr="00AC3CBE">
        <w:rPr>
          <w:lang w:val="fr-FR"/>
        </w:rPr>
        <w:t>,</w:t>
      </w:r>
      <w:proofErr w:type="gramEnd"/>
      <w:r w:rsidRPr="00AC3CBE">
        <w:rPr>
          <w:lang w:val="fr-FR"/>
        </w:rPr>
        <w:t xml:space="preserve"> p. 149.</w:t>
      </w:r>
    </w:p>
    <w:p w:rsidR="00AC3CBE" w:rsidRPr="006063DE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8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</w:r>
      <w:r w:rsidRPr="000E0A82">
        <w:rPr>
          <w:color w:val="0000FF"/>
          <w:lang w:val="fr-FR"/>
        </w:rPr>
        <w:t>Ibid.</w:t>
      </w:r>
      <w:r>
        <w:rPr>
          <w:color w:val="0000FF"/>
          <w:lang w:val="fr-FR"/>
        </w:rPr>
        <w:t xml:space="preserve">, </w:t>
      </w:r>
      <w:r>
        <w:rPr>
          <w:lang w:val="fr-FR"/>
        </w:rPr>
        <w:t>p. 154.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1</w:t>
      </w:r>
      <w:r>
        <w:rPr>
          <w:rStyle w:val="Caractresdenotedebasdepage"/>
          <w:lang w:val="fr-FR"/>
        </w:rPr>
        <w:t>9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 xml:space="preserve">Cécile Leblanc, </w:t>
      </w:r>
      <w:r w:rsidRPr="00186138">
        <w:rPr>
          <w:color w:val="0000FF"/>
          <w:lang w:val="fr-FR"/>
        </w:rPr>
        <w:t xml:space="preserve">op. </w:t>
      </w:r>
      <w:proofErr w:type="spellStart"/>
      <w:proofErr w:type="gramStart"/>
      <w:r w:rsidRPr="00186138">
        <w:rPr>
          <w:color w:val="0000FF"/>
          <w:lang w:val="fr-FR"/>
        </w:rPr>
        <w:t>cit</w:t>
      </w:r>
      <w:proofErr w:type="spellEnd"/>
      <w:r w:rsidRPr="00186138">
        <w:rPr>
          <w:color w:val="0000FF"/>
          <w:lang w:val="fr-FR"/>
        </w:rPr>
        <w:t>.</w:t>
      </w:r>
      <w:r>
        <w:rPr>
          <w:lang w:val="fr-FR"/>
        </w:rPr>
        <w:t>,</w:t>
      </w:r>
      <w:proofErr w:type="gramEnd"/>
      <w:r>
        <w:rPr>
          <w:lang w:val="fr-FR"/>
        </w:rPr>
        <w:t xml:space="preserve"> p. 89.</w:t>
      </w:r>
    </w:p>
    <w:p w:rsidR="00AC3CBE" w:rsidRPr="00AC3CBE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20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>« </w:t>
      </w:r>
      <w:r>
        <w:rPr>
          <w:rFonts w:cs="Times New Roman"/>
          <w:lang w:val="fr-FR"/>
        </w:rPr>
        <w:t>À</w:t>
      </w:r>
      <w:r>
        <w:rPr>
          <w:lang w:val="fr-FR"/>
        </w:rPr>
        <w:t xml:space="preserve"> nos lecteurs », janvier 1886.</w:t>
      </w:r>
    </w:p>
    <w:p w:rsidR="00AC3CBE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21</w:t>
      </w:r>
      <w:r>
        <w:rPr>
          <w:rStyle w:val="Caractresdenotedebasdepage"/>
          <w:lang w:val="fr-FR"/>
        </w:rPr>
        <w:t>$</w:t>
      </w:r>
      <w:r w:rsidRPr="00186138">
        <w:rPr>
          <w:rFonts w:cs="Times New Roman"/>
          <w:lang w:val="fr-FR"/>
        </w:rPr>
        <w:tab/>
      </w:r>
      <w:r w:rsidRPr="000E0A82">
        <w:rPr>
          <w:rFonts w:cs="Times New Roman"/>
          <w:color w:val="0000FF"/>
          <w:lang w:val="fr-FR"/>
        </w:rPr>
        <w:t>À</w:t>
      </w:r>
      <w:r w:rsidRPr="000E0A82">
        <w:rPr>
          <w:color w:val="0000FF"/>
          <w:lang w:val="fr-FR"/>
        </w:rPr>
        <w:t xml:space="preserve"> nos lecteurs</w:t>
      </w:r>
      <w:r w:rsidRPr="00186138">
        <w:rPr>
          <w:lang w:val="fr-FR"/>
        </w:rPr>
        <w:t xml:space="preserve">, </w:t>
      </w:r>
      <w:r>
        <w:rPr>
          <w:lang w:val="fr-FR"/>
        </w:rPr>
        <w:t>février 1887</w:t>
      </w:r>
    </w:p>
    <w:p w:rsidR="00AC3CBE" w:rsidRPr="006063DE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22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  <w:t xml:space="preserve">Wilder ne respecte pas le lien entre texte et musique : « que sont devenus ces chocs superbes de syllabes qui ne faisaient qu’un avec la musique ? » (mars 1887, à propos de </w:t>
      </w:r>
      <w:r w:rsidRPr="00186138">
        <w:rPr>
          <w:color w:val="0000FF"/>
          <w:lang w:val="fr-FR"/>
        </w:rPr>
        <w:t>La Walkyrie</w:t>
      </w:r>
      <w:r>
        <w:rPr>
          <w:lang w:val="fr-FR"/>
        </w:rPr>
        <w:t>).</w:t>
      </w:r>
    </w:p>
    <w:p w:rsidR="00AC3CBE" w:rsidRPr="00186138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23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</w:r>
      <w:r w:rsidRPr="006063DE">
        <w:rPr>
          <w:color w:val="0000FF"/>
          <w:lang w:val="fr-FR"/>
        </w:rPr>
        <w:t>Cf.</w:t>
      </w:r>
      <w:r>
        <w:rPr>
          <w:lang w:val="fr-FR"/>
        </w:rPr>
        <w:t xml:space="preserve"> l’article de </w:t>
      </w:r>
      <w:r w:rsidRPr="006063DE">
        <w:rPr>
          <w:color w:val="0000FF"/>
          <w:lang w:val="fr-FR"/>
        </w:rPr>
        <w:t>La Revue musicale</w:t>
      </w:r>
      <w:r>
        <w:rPr>
          <w:lang w:val="fr-FR"/>
        </w:rPr>
        <w:t>.</w:t>
      </w:r>
      <w:r w:rsidRPr="00186138">
        <w:rPr>
          <w:lang w:val="fr-FR"/>
        </w:rPr>
        <w:t xml:space="preserve"> </w:t>
      </w:r>
    </w:p>
    <w:p w:rsidR="00AC3CBE" w:rsidRDefault="00AC3CBE" w:rsidP="00AC3CBE">
      <w:pPr>
        <w:rPr>
          <w:lang w:val="fr-FR"/>
        </w:rPr>
      </w:pPr>
      <w:r w:rsidRPr="00AC3CBE">
        <w:rPr>
          <w:rStyle w:val="Caractresdenotedebasdepage"/>
          <w:lang w:val="fr-FR"/>
        </w:rPr>
        <w:t>$</w:t>
      </w:r>
      <w:r>
        <w:rPr>
          <w:rStyle w:val="Caractresdenotedebasdepage"/>
          <w:lang w:val="fr-FR"/>
        </w:rPr>
        <w:t>24</w:t>
      </w:r>
      <w:r>
        <w:rPr>
          <w:rStyle w:val="Caractresdenotedebasdepage"/>
          <w:lang w:val="fr-FR"/>
        </w:rPr>
        <w:t>$</w:t>
      </w:r>
      <w:r>
        <w:rPr>
          <w:lang w:val="fr-FR"/>
        </w:rPr>
        <w:tab/>
      </w:r>
      <w:r w:rsidRPr="006063DE">
        <w:rPr>
          <w:color w:val="0000FF"/>
          <w:lang w:val="fr-FR"/>
        </w:rPr>
        <w:t>Cf.</w:t>
      </w:r>
      <w:r>
        <w:rPr>
          <w:lang w:val="fr-FR"/>
        </w:rPr>
        <w:t xml:space="preserve"> l’article de </w:t>
      </w:r>
      <w:r w:rsidRPr="00186138">
        <w:rPr>
          <w:color w:val="0000FF"/>
          <w:lang w:val="fr-FR"/>
        </w:rPr>
        <w:t>La</w:t>
      </w:r>
      <w:r>
        <w:rPr>
          <w:lang w:val="fr-FR"/>
        </w:rPr>
        <w:t xml:space="preserve"> </w:t>
      </w:r>
      <w:r w:rsidRPr="00186138">
        <w:rPr>
          <w:color w:val="0000FF"/>
          <w:lang w:val="fr-FR"/>
        </w:rPr>
        <w:t>Revue musicale</w:t>
      </w:r>
      <w:r>
        <w:rPr>
          <w:lang w:val="fr-FR"/>
        </w:rPr>
        <w:t>.</w:t>
      </w:r>
    </w:p>
    <w:p w:rsidR="00AC3CBE" w:rsidRPr="00186138" w:rsidRDefault="00AC3CBE" w:rsidP="00AC3CBE">
      <w:pPr>
        <w:pStyle w:val="Notedebasdepage"/>
        <w:rPr>
          <w:lang w:val="fr-FR"/>
        </w:rPr>
      </w:pPr>
    </w:p>
    <w:p w:rsidR="00174F9C" w:rsidRPr="00AC3CBE" w:rsidRDefault="00174F9C">
      <w:pPr>
        <w:rPr>
          <w:lang w:val="fr-FR"/>
        </w:rPr>
      </w:pPr>
    </w:p>
    <w:sectPr w:rsidR="00174F9C" w:rsidRPr="00AC3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BE"/>
    <w:rsid w:val="00174F9C"/>
    <w:rsid w:val="00AC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BE"/>
    <w:pPr>
      <w:suppressAutoHyphens/>
      <w:spacing w:after="0" w:line="100" w:lineRule="atLeast"/>
    </w:pPr>
    <w:rPr>
      <w:rFonts w:ascii="Times New Roman" w:eastAsia="SimSun" w:hAnsi="Times New Roman" w:cs="Mangal"/>
      <w:kern w:val="1"/>
      <w:sz w:val="20"/>
      <w:szCs w:val="20"/>
      <w:lang w:val="en-US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rsid w:val="00AC3CBE"/>
  </w:style>
  <w:style w:type="paragraph" w:styleId="Notedebasdepage">
    <w:name w:val="footnote text"/>
    <w:basedOn w:val="Normal"/>
    <w:link w:val="NotedebasdepageCar"/>
    <w:rsid w:val="00AC3CBE"/>
    <w:pPr>
      <w:suppressLineNumbers/>
      <w:ind w:left="283" w:hanging="283"/>
    </w:pPr>
  </w:style>
  <w:style w:type="character" w:customStyle="1" w:styleId="NotedebasdepageCar">
    <w:name w:val="Note de bas de page Car"/>
    <w:basedOn w:val="Policepardfaut"/>
    <w:link w:val="Notedebasdepage"/>
    <w:rsid w:val="00AC3CBE"/>
    <w:rPr>
      <w:rFonts w:ascii="Times New Roman" w:eastAsia="SimSun" w:hAnsi="Times New Roman" w:cs="Mangal"/>
      <w:kern w:val="1"/>
      <w:sz w:val="20"/>
      <w:szCs w:val="20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BE"/>
    <w:pPr>
      <w:suppressAutoHyphens/>
      <w:spacing w:after="0" w:line="100" w:lineRule="atLeast"/>
    </w:pPr>
    <w:rPr>
      <w:rFonts w:ascii="Times New Roman" w:eastAsia="SimSun" w:hAnsi="Times New Roman" w:cs="Mangal"/>
      <w:kern w:val="1"/>
      <w:sz w:val="20"/>
      <w:szCs w:val="20"/>
      <w:lang w:val="en-US"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rsid w:val="00AC3CBE"/>
  </w:style>
  <w:style w:type="paragraph" w:styleId="Notedebasdepage">
    <w:name w:val="footnote text"/>
    <w:basedOn w:val="Normal"/>
    <w:link w:val="NotedebasdepageCar"/>
    <w:rsid w:val="00AC3CBE"/>
    <w:pPr>
      <w:suppressLineNumbers/>
      <w:ind w:left="283" w:hanging="283"/>
    </w:pPr>
  </w:style>
  <w:style w:type="character" w:customStyle="1" w:styleId="NotedebasdepageCar">
    <w:name w:val="Note de bas de page Car"/>
    <w:basedOn w:val="Policepardfaut"/>
    <w:link w:val="Notedebasdepage"/>
    <w:rsid w:val="00AC3CBE"/>
    <w:rPr>
      <w:rFonts w:ascii="Times New Roman" w:eastAsia="SimSun" w:hAnsi="Times New Roman" w:cs="Mangal"/>
      <w:kern w:val="1"/>
      <w:sz w:val="20"/>
      <w:szCs w:val="20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 LANGLOIS-GORCE</dc:creator>
  <cp:lastModifiedBy>Pascale LANGLOIS-GORCE</cp:lastModifiedBy>
  <cp:revision>1</cp:revision>
  <dcterms:created xsi:type="dcterms:W3CDTF">2012-11-08T09:40:00Z</dcterms:created>
  <dcterms:modified xsi:type="dcterms:W3CDTF">2012-11-08T09:44:00Z</dcterms:modified>
</cp:coreProperties>
</file>