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CE5" w:rsidRPr="00A4047A" w:rsidRDefault="00F61CE5" w:rsidP="00F61CE5">
      <w:pPr>
        <w:pStyle w:val="Notedebasdepage"/>
        <w:rPr>
          <w:sz w:val="24"/>
          <w:szCs w:val="24"/>
        </w:rPr>
      </w:pPr>
      <w:r w:rsidRPr="00A4047A">
        <w:rPr>
          <w:sz w:val="24"/>
          <w:szCs w:val="24"/>
        </w:rPr>
        <w:t>Notes</w:t>
      </w:r>
    </w:p>
    <w:p w:rsidR="00F61CE5" w:rsidRPr="00A4047A" w:rsidRDefault="00F61CE5" w:rsidP="00F61CE5">
      <w:pPr>
        <w:pStyle w:val="Notedebasdepage"/>
        <w:rPr>
          <w:sz w:val="24"/>
          <w:szCs w:val="24"/>
        </w:rPr>
      </w:pPr>
    </w:p>
    <w:p w:rsidR="00F61CE5" w:rsidRPr="00A4047A" w:rsidRDefault="00F61CE5" w:rsidP="00F61CE5">
      <w:pPr>
        <w:pStyle w:val="Notedebasdepage"/>
        <w:rPr>
          <w:sz w:val="24"/>
          <w:szCs w:val="24"/>
        </w:rPr>
      </w:pPr>
      <w:r w:rsidRPr="00A4047A">
        <w:rPr>
          <w:sz w:val="24"/>
          <w:szCs w:val="24"/>
        </w:rPr>
        <w:t>Préface de l’éditeur</w:t>
      </w:r>
    </w:p>
    <w:p w:rsidR="00F61CE5" w:rsidRPr="00A4047A" w:rsidRDefault="00F61CE5" w:rsidP="00F61CE5">
      <w:pPr>
        <w:pStyle w:val="Notedebasdepage"/>
        <w:rPr>
          <w:sz w:val="24"/>
          <w:szCs w:val="24"/>
        </w:rPr>
      </w:pPr>
    </w:p>
    <w:p w:rsidR="00F61CE5" w:rsidRPr="00A4047A" w:rsidRDefault="00F61CE5" w:rsidP="00F61CE5">
      <w:pPr>
        <w:pStyle w:val="Notedebasdepage"/>
        <w:rPr>
          <w:sz w:val="24"/>
          <w:szCs w:val="24"/>
        </w:rPr>
      </w:pPr>
    </w:p>
    <w:p w:rsidR="00F61CE5" w:rsidRPr="00A4047A" w:rsidRDefault="00F61CE5" w:rsidP="00F61CE5">
      <w:pPr>
        <w:pStyle w:val="Notedebasdepage"/>
        <w:rPr>
          <w:sz w:val="24"/>
          <w:szCs w:val="24"/>
        </w:rPr>
      </w:pP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w:t>
      </w:r>
      <w:r w:rsidRPr="00A4047A">
        <w:rPr>
          <w:rStyle w:val="Appelnotedebasdep"/>
          <w:sz w:val="24"/>
          <w:szCs w:val="24"/>
          <w:vertAlign w:val="baseline"/>
        </w:rPr>
        <w:t>$</w:t>
      </w:r>
      <w:r w:rsidR="00F61CE5" w:rsidRPr="00A4047A">
        <w:rPr>
          <w:sz w:val="24"/>
          <w:szCs w:val="24"/>
        </w:rPr>
        <w:t xml:space="preserve"> Dont Rod donne une définition sans concession à l’entrée de son ouvrage (partie</w:t>
      </w:r>
      <w:r w:rsidR="00B961BF">
        <w:rPr>
          <w:sz w:val="24"/>
          <w:szCs w:val="24"/>
        </w:rPr>
        <w:t> </w:t>
      </w:r>
      <w:r w:rsidR="00F61CE5" w:rsidRPr="00A4047A">
        <w:rPr>
          <w:sz w:val="24"/>
          <w:szCs w:val="24"/>
        </w:rPr>
        <w:t>I, chapitre</w:t>
      </w:r>
      <w:r w:rsidR="00B961BF">
        <w:rPr>
          <w:sz w:val="24"/>
          <w:szCs w:val="24"/>
        </w:rPr>
        <w:t> </w:t>
      </w:r>
      <w:r w:rsidR="00F61CE5" w:rsidRPr="00A4047A">
        <w:rPr>
          <w:sz w:val="24"/>
          <w:szCs w:val="24"/>
        </w:rPr>
        <w:t>II) et qu’il rapproche de l’égoïsme.</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2</w:t>
      </w:r>
      <w:r w:rsidRPr="00A4047A">
        <w:rPr>
          <w:rStyle w:val="Appelnotedebasdep"/>
          <w:sz w:val="24"/>
          <w:szCs w:val="24"/>
          <w:vertAlign w:val="baseline"/>
        </w:rPr>
        <w:t>$</w:t>
      </w:r>
      <w:r w:rsidR="00F61CE5" w:rsidRPr="00A4047A">
        <w:rPr>
          <w:sz w:val="24"/>
          <w:szCs w:val="24"/>
        </w:rPr>
        <w:t xml:space="preserve"> Ne prenons qu’un exemple : quand, étudiant la pièce du </w:t>
      </w:r>
      <w:r w:rsidR="00F61CE5" w:rsidRPr="0015372A">
        <w:rPr>
          <w:rStyle w:val="bleuital"/>
        </w:rPr>
        <w:t>Tasse</w:t>
      </w:r>
      <w:r w:rsidR="00F61CE5" w:rsidRPr="00A4047A">
        <w:rPr>
          <w:sz w:val="24"/>
          <w:szCs w:val="24"/>
        </w:rPr>
        <w:t>, Rod éprouve le besoin de développer des recherches sur la famille d’Este, pour mesurer la part de poétisation ou d’historisation de la figure du Tasse chez Goethe (</w:t>
      </w:r>
      <w:r w:rsidR="00941CEC">
        <w:rPr>
          <w:sz w:val="24"/>
          <w:szCs w:val="24"/>
        </w:rPr>
        <w:t>p. </w:t>
      </w:r>
      <w:r w:rsidR="00F61CE5" w:rsidRPr="00A4047A">
        <w:rPr>
          <w:sz w:val="24"/>
          <w:szCs w:val="24"/>
        </w:rPr>
        <w:t>202, Perrin).</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3</w:t>
      </w:r>
      <w:r w:rsidRPr="00A4047A">
        <w:rPr>
          <w:rStyle w:val="Appelnotedebasdep"/>
          <w:sz w:val="24"/>
          <w:szCs w:val="24"/>
          <w:vertAlign w:val="baseline"/>
        </w:rPr>
        <w:t>$</w:t>
      </w:r>
      <w:r w:rsidR="00F61CE5" w:rsidRPr="00A4047A">
        <w:rPr>
          <w:sz w:val="24"/>
          <w:szCs w:val="24"/>
        </w:rPr>
        <w:t xml:space="preserve"> Ce qu’il fait au moment de traduire quelques lettres de la correspondance de Goethe (p.112-</w:t>
      </w:r>
      <w:r w:rsidR="00B77E77">
        <w:rPr>
          <w:sz w:val="24"/>
          <w:szCs w:val="24"/>
        </w:rPr>
        <w:t>1</w:t>
      </w:r>
      <w:r w:rsidR="00F61CE5" w:rsidRPr="00A4047A">
        <w:rPr>
          <w:sz w:val="24"/>
          <w:szCs w:val="24"/>
        </w:rPr>
        <w:t>13 Perrin).</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4</w:t>
      </w:r>
      <w:r w:rsidRPr="00A4047A">
        <w:rPr>
          <w:rStyle w:val="Appelnotedebasdep"/>
          <w:sz w:val="24"/>
          <w:szCs w:val="24"/>
          <w:vertAlign w:val="baseline"/>
        </w:rPr>
        <w:t>$</w:t>
      </w:r>
      <w:r w:rsidR="00F61CE5" w:rsidRPr="00A4047A">
        <w:rPr>
          <w:sz w:val="24"/>
          <w:szCs w:val="24"/>
        </w:rPr>
        <w:t xml:space="preserve"> Voir sur ce sujet les travaux de Luc </w:t>
      </w:r>
      <w:proofErr w:type="spellStart"/>
      <w:r w:rsidR="00F61CE5" w:rsidRPr="00A4047A">
        <w:rPr>
          <w:sz w:val="24"/>
          <w:szCs w:val="24"/>
        </w:rPr>
        <w:t>Fraisse</w:t>
      </w:r>
      <w:proofErr w:type="spellEnd"/>
      <w:r w:rsidR="00F61CE5" w:rsidRPr="00A4047A">
        <w:rPr>
          <w:sz w:val="24"/>
          <w:szCs w:val="24"/>
        </w:rPr>
        <w:t xml:space="preserve"> (sur l’histoire littéraire, sur </w:t>
      </w:r>
      <w:proofErr w:type="spellStart"/>
      <w:r w:rsidR="00F61CE5" w:rsidRPr="00A4047A">
        <w:rPr>
          <w:sz w:val="24"/>
          <w:szCs w:val="24"/>
        </w:rPr>
        <w:t>Saint-René</w:t>
      </w:r>
      <w:proofErr w:type="spellEnd"/>
      <w:r w:rsidR="00F61CE5" w:rsidRPr="00A4047A">
        <w:rPr>
          <w:sz w:val="24"/>
          <w:szCs w:val="24"/>
        </w:rPr>
        <w:t xml:space="preserve"> Taillandier).</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5</w:t>
      </w:r>
      <w:r w:rsidRPr="00A4047A">
        <w:rPr>
          <w:rStyle w:val="Appelnotedebasdep"/>
          <w:sz w:val="24"/>
          <w:szCs w:val="24"/>
          <w:vertAlign w:val="baseline"/>
        </w:rPr>
        <w:t>$</w:t>
      </w:r>
      <w:r w:rsidR="00F61CE5" w:rsidRPr="00A4047A">
        <w:rPr>
          <w:sz w:val="24"/>
          <w:szCs w:val="24"/>
        </w:rPr>
        <w:t xml:space="preserve"> Les propos virulents de </w:t>
      </w:r>
      <w:proofErr w:type="spellStart"/>
      <w:r w:rsidR="00F61CE5" w:rsidRPr="00A4047A">
        <w:rPr>
          <w:sz w:val="24"/>
          <w:szCs w:val="24"/>
        </w:rPr>
        <w:t>Barbey</w:t>
      </w:r>
      <w:proofErr w:type="spellEnd"/>
      <w:r w:rsidR="00F61CE5" w:rsidRPr="00A4047A">
        <w:rPr>
          <w:sz w:val="24"/>
          <w:szCs w:val="24"/>
        </w:rPr>
        <w:t xml:space="preserve"> sont connus. Il a rassemblé en 1880 ses articles, parus dans </w:t>
      </w:r>
      <w:r w:rsidR="00F61CE5" w:rsidRPr="0015372A">
        <w:rPr>
          <w:rStyle w:val="bleuital"/>
        </w:rPr>
        <w:t>Le Constitutionnel</w:t>
      </w:r>
      <w:r w:rsidR="00F61CE5" w:rsidRPr="00A4047A">
        <w:rPr>
          <w:sz w:val="24"/>
          <w:szCs w:val="24"/>
        </w:rPr>
        <w:t xml:space="preserve"> de 1873 à 1877, pour l’un des volumes les plus importants de sa critique : </w:t>
      </w:r>
      <w:r w:rsidR="00F61CE5" w:rsidRPr="0015372A">
        <w:rPr>
          <w:rStyle w:val="bleuital"/>
        </w:rPr>
        <w:t>Goethe et Diderot</w:t>
      </w:r>
      <w:r w:rsidR="00F61CE5" w:rsidRPr="00A4047A">
        <w:rPr>
          <w:sz w:val="24"/>
          <w:szCs w:val="24"/>
        </w:rPr>
        <w:t xml:space="preserve">, repris en 1913 chez </w:t>
      </w:r>
      <w:proofErr w:type="spellStart"/>
      <w:r w:rsidR="00F61CE5" w:rsidRPr="00A4047A">
        <w:rPr>
          <w:sz w:val="24"/>
          <w:szCs w:val="24"/>
        </w:rPr>
        <w:t>Lemerre</w:t>
      </w:r>
      <w:proofErr w:type="spellEnd"/>
      <w:r w:rsidR="00F61CE5" w:rsidRPr="00A4047A">
        <w:rPr>
          <w:sz w:val="24"/>
          <w:szCs w:val="24"/>
        </w:rPr>
        <w:t xml:space="preserve">. Pierre Glaudes et Catherine </w:t>
      </w:r>
      <w:proofErr w:type="spellStart"/>
      <w:r w:rsidR="00F61CE5" w:rsidRPr="00A4047A">
        <w:rPr>
          <w:sz w:val="24"/>
          <w:szCs w:val="24"/>
        </w:rPr>
        <w:t>Mayaux</w:t>
      </w:r>
      <w:proofErr w:type="spellEnd"/>
      <w:r w:rsidR="00F61CE5" w:rsidRPr="00A4047A">
        <w:rPr>
          <w:sz w:val="24"/>
          <w:szCs w:val="24"/>
        </w:rPr>
        <w:t xml:space="preserve"> dirigent la réédition des </w:t>
      </w:r>
      <w:r w:rsidR="00F61CE5" w:rsidRPr="0015372A">
        <w:rPr>
          <w:rStyle w:val="bleuital"/>
        </w:rPr>
        <w:t>Œuvres critiques, Les Œuvres et les Hommes</w:t>
      </w:r>
      <w:r w:rsidR="00F61CE5" w:rsidRPr="00A4047A">
        <w:rPr>
          <w:sz w:val="24"/>
          <w:szCs w:val="24"/>
        </w:rPr>
        <w:t xml:space="preserve">, de </w:t>
      </w:r>
      <w:proofErr w:type="spellStart"/>
      <w:r w:rsidR="00F61CE5" w:rsidRPr="00A4047A">
        <w:rPr>
          <w:sz w:val="24"/>
          <w:szCs w:val="24"/>
        </w:rPr>
        <w:t>Barbey</w:t>
      </w:r>
      <w:proofErr w:type="spellEnd"/>
      <w:r w:rsidR="00F61CE5" w:rsidRPr="00A4047A">
        <w:rPr>
          <w:sz w:val="24"/>
          <w:szCs w:val="24"/>
        </w:rPr>
        <w:t xml:space="preserve">, aux Belles-Lettres. La réédition critique du </w:t>
      </w:r>
      <w:r w:rsidR="00F61CE5" w:rsidRPr="0015372A">
        <w:rPr>
          <w:rStyle w:val="bleuital"/>
        </w:rPr>
        <w:t>Goethe et Diderot</w:t>
      </w:r>
      <w:r w:rsidR="00F61CE5" w:rsidRPr="00A4047A">
        <w:rPr>
          <w:sz w:val="24"/>
          <w:szCs w:val="24"/>
        </w:rPr>
        <w:t xml:space="preserve"> a été donnée par nos soins (à paraître, prévue dans le vol. 9).</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6</w:t>
      </w:r>
      <w:r w:rsidRPr="00A4047A">
        <w:rPr>
          <w:rStyle w:val="Appelnotedebasdep"/>
          <w:sz w:val="24"/>
          <w:szCs w:val="24"/>
          <w:vertAlign w:val="baseline"/>
        </w:rPr>
        <w:t>$</w:t>
      </w:r>
      <w:r w:rsidR="00F61CE5" w:rsidRPr="00A4047A">
        <w:rPr>
          <w:sz w:val="24"/>
          <w:szCs w:val="24"/>
        </w:rPr>
        <w:t xml:space="preserve"> Dès 1894, dans son </w:t>
      </w:r>
      <w:r w:rsidR="00F61CE5" w:rsidRPr="0015372A">
        <w:rPr>
          <w:rStyle w:val="bleuital"/>
        </w:rPr>
        <w:t>Histoire de la littérature française</w:t>
      </w:r>
      <w:r w:rsidR="00F61CE5" w:rsidRPr="00A4047A">
        <w:rPr>
          <w:sz w:val="24"/>
          <w:szCs w:val="24"/>
        </w:rPr>
        <w:t xml:space="preserve">, et encore l’année suivante dans </w:t>
      </w:r>
      <w:smartTag w:uri="urn:schemas-microsoft-com:office:smarttags" w:element="PersonName">
        <w:smartTagPr>
          <w:attr w:name="ProductID" w:val="la Pr￩face"/>
        </w:smartTagPr>
        <w:r w:rsidR="00F61CE5" w:rsidRPr="00A4047A">
          <w:rPr>
            <w:sz w:val="24"/>
            <w:szCs w:val="24"/>
          </w:rPr>
          <w:t>la Préface</w:t>
        </w:r>
      </w:smartTag>
      <w:r w:rsidR="00F61CE5" w:rsidRPr="00A4047A">
        <w:rPr>
          <w:sz w:val="24"/>
          <w:szCs w:val="24"/>
        </w:rPr>
        <w:t xml:space="preserve"> </w:t>
      </w:r>
      <w:proofErr w:type="gramStart"/>
      <w:r w:rsidR="00F61CE5" w:rsidRPr="00A4047A">
        <w:rPr>
          <w:sz w:val="24"/>
          <w:szCs w:val="24"/>
        </w:rPr>
        <w:t xml:space="preserve">de </w:t>
      </w:r>
      <w:r w:rsidR="00F61CE5" w:rsidRPr="0015372A">
        <w:rPr>
          <w:rStyle w:val="bleuital"/>
        </w:rPr>
        <w:t>Hommes</w:t>
      </w:r>
      <w:proofErr w:type="gramEnd"/>
      <w:r w:rsidR="00F61CE5" w:rsidRPr="0015372A">
        <w:rPr>
          <w:rStyle w:val="bleuital"/>
        </w:rPr>
        <w:t xml:space="preserve"> et Livres</w:t>
      </w:r>
      <w:r w:rsidR="00F61CE5" w:rsidRPr="00A4047A">
        <w:rPr>
          <w:sz w:val="24"/>
          <w:szCs w:val="24"/>
        </w:rPr>
        <w:t>.</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7</w:t>
      </w:r>
      <w:r w:rsidRPr="00A4047A">
        <w:rPr>
          <w:rStyle w:val="Appelnotedebasdep"/>
          <w:sz w:val="24"/>
          <w:szCs w:val="24"/>
          <w:vertAlign w:val="baseline"/>
        </w:rPr>
        <w:t>$</w:t>
      </w:r>
      <w:r w:rsidR="00F61CE5" w:rsidRPr="00A4047A">
        <w:rPr>
          <w:sz w:val="24"/>
          <w:szCs w:val="24"/>
        </w:rPr>
        <w:t xml:space="preserve"> Rod s’en explique, dans la première partie, chapitre III : « Si nous relevons ces taches, qui restent à la charge du caractère de </w:t>
      </w:r>
      <w:proofErr w:type="spellStart"/>
      <w:r w:rsidR="00F61CE5" w:rsidRPr="00A4047A">
        <w:rPr>
          <w:sz w:val="24"/>
          <w:szCs w:val="24"/>
        </w:rPr>
        <w:t>Gœthe</w:t>
      </w:r>
      <w:proofErr w:type="spellEnd"/>
      <w:r w:rsidR="00F61CE5" w:rsidRPr="00A4047A">
        <w:rPr>
          <w:sz w:val="24"/>
          <w:szCs w:val="24"/>
        </w:rPr>
        <w:t xml:space="preserve"> bien plus qu’elles ne ternissent son ouvrage, ce n’est point certes pour le médiocre plaisir de constater les faiblesses morales d’un grand écrivain : c’est parce que, selon la théorie même de notre auteur, théorie plus vraie pour lui que pour aucun autre, il existe un rapport constant, un lien indissoluble entre l’homme et son œuvre ; nous ne pouvons donc comprendre celle-ci que si nous savons à peu près à quoi nous en tenir sur celui-là. Les opinions que nous aurons sur </w:t>
      </w:r>
      <w:r w:rsidR="00F61CE5" w:rsidRPr="0015372A">
        <w:rPr>
          <w:rStyle w:val="bleuital"/>
        </w:rPr>
        <w:t xml:space="preserve">Werther, Wilhelm </w:t>
      </w:r>
      <w:proofErr w:type="spellStart"/>
      <w:r w:rsidR="00F61CE5" w:rsidRPr="0015372A">
        <w:rPr>
          <w:rStyle w:val="bleuital"/>
        </w:rPr>
        <w:t>Meister</w:t>
      </w:r>
      <w:proofErr w:type="spellEnd"/>
      <w:r w:rsidR="00F61CE5" w:rsidRPr="0015372A">
        <w:rPr>
          <w:rStyle w:val="bleuital"/>
        </w:rPr>
        <w:t xml:space="preserve"> </w:t>
      </w:r>
      <w:r w:rsidR="00F61CE5" w:rsidRPr="00A4047A">
        <w:rPr>
          <w:sz w:val="24"/>
          <w:szCs w:val="24"/>
        </w:rPr>
        <w:t>ou</w:t>
      </w:r>
      <w:r w:rsidR="00F61CE5" w:rsidRPr="0015372A">
        <w:rPr>
          <w:rStyle w:val="bleuital"/>
        </w:rPr>
        <w:t xml:space="preserve"> Faust, </w:t>
      </w:r>
      <w:r w:rsidR="00F61CE5" w:rsidRPr="00A4047A">
        <w:rPr>
          <w:sz w:val="24"/>
          <w:szCs w:val="24"/>
        </w:rPr>
        <w:t xml:space="preserve">dépendent en partie de celles que nous aurons sur </w:t>
      </w:r>
      <w:proofErr w:type="spellStart"/>
      <w:r w:rsidR="00F61CE5" w:rsidRPr="00A4047A">
        <w:rPr>
          <w:sz w:val="24"/>
          <w:szCs w:val="24"/>
        </w:rPr>
        <w:t>Gœthe</w:t>
      </w:r>
      <w:proofErr w:type="spellEnd"/>
      <w:r w:rsidR="00F61CE5" w:rsidRPr="00A4047A">
        <w:rPr>
          <w:sz w:val="24"/>
          <w:szCs w:val="24"/>
        </w:rPr>
        <w:t xml:space="preserve">. Une fois renseignés sur l’état d’âme que voile la belle attitude </w:t>
      </w:r>
      <w:r w:rsidR="00F61CE5" w:rsidRPr="00A4047A">
        <w:rPr>
          <w:iCs/>
          <w:sz w:val="24"/>
          <w:szCs w:val="24"/>
        </w:rPr>
        <w:t>‘</w:t>
      </w:r>
      <w:r w:rsidR="00F61CE5" w:rsidRPr="00A4047A">
        <w:rPr>
          <w:sz w:val="24"/>
          <w:szCs w:val="24"/>
        </w:rPr>
        <w:t>olympienne’, si drapée, si décorative, du poète de Weimar, nous aurons une lumière nouvelle pour éclairer son œuvre, dont nous pourrons mieux pénétrer la signification véritable. » (</w:t>
      </w:r>
      <w:r w:rsidR="00941CEC">
        <w:rPr>
          <w:sz w:val="24"/>
          <w:szCs w:val="24"/>
        </w:rPr>
        <w:t>p. </w:t>
      </w:r>
      <w:r w:rsidR="00F61CE5" w:rsidRPr="00A4047A">
        <w:rPr>
          <w:sz w:val="24"/>
          <w:szCs w:val="24"/>
        </w:rPr>
        <w:t>44, éd. Perrin)</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8</w:t>
      </w:r>
      <w:r w:rsidRPr="00A4047A">
        <w:rPr>
          <w:rStyle w:val="Appelnotedebasdep"/>
          <w:sz w:val="24"/>
          <w:szCs w:val="24"/>
          <w:vertAlign w:val="baseline"/>
        </w:rPr>
        <w:t>$</w:t>
      </w:r>
      <w:r w:rsidR="00F61CE5" w:rsidRPr="00A4047A">
        <w:rPr>
          <w:sz w:val="24"/>
          <w:szCs w:val="24"/>
        </w:rPr>
        <w:t xml:space="preserve"> Pour plus d’informations, nous renvoyons aux biographies de Firmin </w:t>
      </w:r>
      <w:proofErr w:type="spellStart"/>
      <w:r w:rsidR="00F61CE5" w:rsidRPr="00A4047A">
        <w:rPr>
          <w:sz w:val="24"/>
          <w:szCs w:val="24"/>
        </w:rPr>
        <w:t>Roz</w:t>
      </w:r>
      <w:proofErr w:type="spellEnd"/>
      <w:r w:rsidR="00F61CE5" w:rsidRPr="00A4047A">
        <w:rPr>
          <w:sz w:val="24"/>
          <w:szCs w:val="24"/>
        </w:rPr>
        <w:t xml:space="preserve">, </w:t>
      </w:r>
      <w:r w:rsidR="00F61CE5" w:rsidRPr="0015372A">
        <w:rPr>
          <w:rStyle w:val="bleuital"/>
        </w:rPr>
        <w:t>Édouard Rod</w:t>
      </w:r>
      <w:r w:rsidR="00F61CE5" w:rsidRPr="00A4047A">
        <w:rPr>
          <w:sz w:val="24"/>
          <w:szCs w:val="24"/>
        </w:rPr>
        <w:t xml:space="preserve"> (Paris, </w:t>
      </w:r>
      <w:proofErr w:type="spellStart"/>
      <w:r w:rsidR="00F61CE5" w:rsidRPr="00A4047A">
        <w:rPr>
          <w:sz w:val="24"/>
          <w:szCs w:val="24"/>
        </w:rPr>
        <w:t>Sansot</w:t>
      </w:r>
      <w:proofErr w:type="spellEnd"/>
      <w:r w:rsidR="00F61CE5" w:rsidRPr="00A4047A">
        <w:rPr>
          <w:sz w:val="24"/>
          <w:szCs w:val="24"/>
        </w:rPr>
        <w:t xml:space="preserve">, 1906), de J. </w:t>
      </w:r>
      <w:proofErr w:type="spellStart"/>
      <w:r w:rsidR="00F61CE5" w:rsidRPr="00A4047A">
        <w:rPr>
          <w:sz w:val="24"/>
          <w:szCs w:val="24"/>
        </w:rPr>
        <w:t>Rassat</w:t>
      </w:r>
      <w:proofErr w:type="spellEnd"/>
      <w:r w:rsidR="00F61CE5" w:rsidRPr="00A4047A">
        <w:rPr>
          <w:sz w:val="24"/>
          <w:szCs w:val="24"/>
        </w:rPr>
        <w:t xml:space="preserve">, </w:t>
      </w:r>
      <w:r w:rsidR="00F61CE5" w:rsidRPr="0015372A">
        <w:rPr>
          <w:rStyle w:val="bleuital"/>
        </w:rPr>
        <w:t>Édouard Rod : l’homme, le romancier, le penseur</w:t>
      </w:r>
      <w:r w:rsidR="00F61CE5" w:rsidRPr="00A4047A">
        <w:rPr>
          <w:sz w:val="24"/>
          <w:szCs w:val="24"/>
        </w:rPr>
        <w:t xml:space="preserve"> (Nice, </w:t>
      </w:r>
      <w:proofErr w:type="spellStart"/>
      <w:r w:rsidR="00F61CE5" w:rsidRPr="00A4047A">
        <w:rPr>
          <w:sz w:val="24"/>
          <w:szCs w:val="24"/>
        </w:rPr>
        <w:t>Gandini</w:t>
      </w:r>
      <w:proofErr w:type="spellEnd"/>
      <w:r w:rsidR="00F61CE5" w:rsidRPr="00A4047A">
        <w:rPr>
          <w:sz w:val="24"/>
          <w:szCs w:val="24"/>
        </w:rPr>
        <w:t xml:space="preserve">, 1911) et de Henri </w:t>
      </w:r>
      <w:proofErr w:type="spellStart"/>
      <w:r w:rsidR="00F61CE5" w:rsidRPr="00A4047A">
        <w:rPr>
          <w:sz w:val="24"/>
          <w:szCs w:val="24"/>
        </w:rPr>
        <w:t>Perrochon</w:t>
      </w:r>
      <w:proofErr w:type="spellEnd"/>
      <w:r w:rsidR="00F61CE5" w:rsidRPr="00A4047A">
        <w:rPr>
          <w:sz w:val="24"/>
          <w:szCs w:val="24"/>
        </w:rPr>
        <w:t xml:space="preserve">, </w:t>
      </w:r>
      <w:r w:rsidR="00F61CE5" w:rsidRPr="0015372A">
        <w:rPr>
          <w:rStyle w:val="bleuital"/>
        </w:rPr>
        <w:t>Édouard Rod</w:t>
      </w:r>
      <w:r w:rsidR="00F61CE5" w:rsidRPr="00A4047A">
        <w:rPr>
          <w:sz w:val="24"/>
          <w:szCs w:val="24"/>
        </w:rPr>
        <w:t xml:space="preserve"> (Neuchâtel-Paris, chez </w:t>
      </w:r>
      <w:proofErr w:type="spellStart"/>
      <w:r w:rsidR="00F61CE5" w:rsidRPr="00A4047A">
        <w:rPr>
          <w:sz w:val="24"/>
          <w:szCs w:val="24"/>
        </w:rPr>
        <w:t>Delchaux</w:t>
      </w:r>
      <w:proofErr w:type="spellEnd"/>
      <w:r w:rsidR="00F61CE5" w:rsidRPr="00A4047A">
        <w:rPr>
          <w:sz w:val="24"/>
          <w:szCs w:val="24"/>
        </w:rPr>
        <w:t xml:space="preserve">, 1957), ainsi qu’à la notice que lui consacre le </w:t>
      </w:r>
      <w:r w:rsidR="00F61CE5" w:rsidRPr="0015372A">
        <w:rPr>
          <w:rStyle w:val="bleuital"/>
        </w:rPr>
        <w:t>Dictionnaire des écrivains suisses d’expression française</w:t>
      </w:r>
      <w:r w:rsidR="00F61CE5" w:rsidRPr="00A4047A">
        <w:rPr>
          <w:sz w:val="24"/>
          <w:szCs w:val="24"/>
        </w:rPr>
        <w:t xml:space="preserve"> (Alain Nicollier et Henri</w:t>
      </w:r>
      <w:r w:rsidR="00B77E77">
        <w:rPr>
          <w:sz w:val="24"/>
          <w:szCs w:val="24"/>
        </w:rPr>
        <w:t xml:space="preserve">-Charles </w:t>
      </w:r>
      <w:proofErr w:type="spellStart"/>
      <w:r w:rsidR="00B77E77">
        <w:rPr>
          <w:sz w:val="24"/>
          <w:szCs w:val="24"/>
        </w:rPr>
        <w:t>Dahlem</w:t>
      </w:r>
      <w:proofErr w:type="spellEnd"/>
      <w:r w:rsidR="00B77E77">
        <w:rPr>
          <w:sz w:val="24"/>
          <w:szCs w:val="24"/>
        </w:rPr>
        <w:t xml:space="preserve">, 1994, vol. 2, </w:t>
      </w:r>
      <w:r w:rsidR="00941CEC">
        <w:rPr>
          <w:sz w:val="24"/>
          <w:szCs w:val="24"/>
        </w:rPr>
        <w:t>p. </w:t>
      </w:r>
      <w:r w:rsidR="00F61CE5" w:rsidRPr="00A4047A">
        <w:rPr>
          <w:sz w:val="24"/>
          <w:szCs w:val="24"/>
        </w:rPr>
        <w:t>775-</w:t>
      </w:r>
      <w:r w:rsidR="00B77E77">
        <w:rPr>
          <w:sz w:val="24"/>
          <w:szCs w:val="24"/>
        </w:rPr>
        <w:t>7</w:t>
      </w:r>
      <w:r w:rsidR="00F61CE5" w:rsidRPr="00A4047A">
        <w:rPr>
          <w:sz w:val="24"/>
          <w:szCs w:val="24"/>
        </w:rPr>
        <w:t>80).</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9</w:t>
      </w:r>
      <w:r w:rsidRPr="00A4047A">
        <w:rPr>
          <w:rStyle w:val="Appelnotedebasdep"/>
          <w:sz w:val="24"/>
          <w:szCs w:val="24"/>
          <w:vertAlign w:val="baseline"/>
        </w:rPr>
        <w:t>$</w:t>
      </w:r>
      <w:r w:rsidR="00F61CE5" w:rsidRPr="00A4047A">
        <w:rPr>
          <w:sz w:val="24"/>
          <w:szCs w:val="24"/>
        </w:rPr>
        <w:t xml:space="preserve"> Notons, entre autres, à Paris ou à Lausanne, </w:t>
      </w:r>
      <w:smartTag w:uri="urn:schemas-microsoft-com:office:smarttags" w:element="PersonName">
        <w:smartTagPr>
          <w:attr w:name="ProductID" w:val="La Course"/>
        </w:smartTagPr>
        <w:r w:rsidR="00F61CE5" w:rsidRPr="0015372A">
          <w:rPr>
            <w:rStyle w:val="bleuital"/>
          </w:rPr>
          <w:t>La Course</w:t>
        </w:r>
      </w:smartTag>
      <w:r w:rsidR="00F61CE5" w:rsidRPr="0015372A">
        <w:rPr>
          <w:rStyle w:val="bleuital"/>
        </w:rPr>
        <w:t xml:space="preserve"> à la mort</w:t>
      </w:r>
      <w:r w:rsidR="00F61CE5" w:rsidRPr="00A4047A">
        <w:rPr>
          <w:sz w:val="24"/>
          <w:szCs w:val="24"/>
        </w:rPr>
        <w:t xml:space="preserve"> (1885, publié d’abord dans </w:t>
      </w:r>
      <w:smartTag w:uri="urn:schemas-microsoft-com:office:smarttags" w:element="PersonName">
        <w:smartTagPr>
          <w:attr w:name="ProductID" w:val="la Revue"/>
        </w:smartTagPr>
        <w:r w:rsidR="00F61CE5" w:rsidRPr="00A4047A">
          <w:rPr>
            <w:sz w:val="24"/>
            <w:szCs w:val="24"/>
          </w:rPr>
          <w:t xml:space="preserve">la </w:t>
        </w:r>
        <w:r w:rsidR="00F61CE5" w:rsidRPr="0015372A">
          <w:rPr>
            <w:rStyle w:val="bleuital"/>
          </w:rPr>
          <w:t>Revue</w:t>
        </w:r>
      </w:smartTag>
      <w:r w:rsidR="00F61CE5" w:rsidRPr="0015372A">
        <w:rPr>
          <w:rStyle w:val="bleuital"/>
        </w:rPr>
        <w:t xml:space="preserve"> contemporaine</w:t>
      </w:r>
      <w:r w:rsidR="00F61CE5" w:rsidRPr="00A4047A">
        <w:rPr>
          <w:sz w:val="24"/>
          <w:szCs w:val="24"/>
        </w:rPr>
        <w:t xml:space="preserve">), </w:t>
      </w:r>
      <w:r w:rsidR="00F61CE5" w:rsidRPr="0015372A">
        <w:rPr>
          <w:rStyle w:val="bleuital"/>
        </w:rPr>
        <w:t>Le Sens de la vie</w:t>
      </w:r>
      <w:r w:rsidR="00F61CE5" w:rsidRPr="00A4047A">
        <w:rPr>
          <w:sz w:val="24"/>
          <w:szCs w:val="24"/>
        </w:rPr>
        <w:t xml:space="preserve"> (1889), </w:t>
      </w:r>
      <w:smartTag w:uri="urn:schemas-microsoft-com:office:smarttags" w:element="PersonName">
        <w:smartTagPr>
          <w:attr w:name="ProductID" w:val="La Sacrifi￩e"/>
        </w:smartTagPr>
        <w:r w:rsidR="00F61CE5" w:rsidRPr="0015372A">
          <w:rPr>
            <w:rStyle w:val="bleuital"/>
          </w:rPr>
          <w:t>La Sacrifiée</w:t>
        </w:r>
      </w:smartTag>
      <w:r w:rsidR="00F61CE5" w:rsidRPr="00A4047A">
        <w:rPr>
          <w:sz w:val="24"/>
          <w:szCs w:val="24"/>
        </w:rPr>
        <w:t xml:space="preserve"> (1892), </w:t>
      </w:r>
      <w:smartTag w:uri="urn:schemas-microsoft-com:office:smarttags" w:element="PersonName">
        <w:smartTagPr>
          <w:attr w:name="ProductID" w:val="La Vie"/>
        </w:smartTagPr>
        <w:r w:rsidR="00F61CE5" w:rsidRPr="0015372A">
          <w:rPr>
            <w:rStyle w:val="bleuital"/>
          </w:rPr>
          <w:t>La Vie</w:t>
        </w:r>
      </w:smartTag>
      <w:r w:rsidR="00F61CE5" w:rsidRPr="0015372A">
        <w:rPr>
          <w:rStyle w:val="bleuital"/>
        </w:rPr>
        <w:t xml:space="preserve"> privée de Michel Teissier</w:t>
      </w:r>
      <w:r w:rsidR="00F61CE5" w:rsidRPr="00A4047A">
        <w:rPr>
          <w:sz w:val="24"/>
          <w:szCs w:val="24"/>
        </w:rPr>
        <w:t xml:space="preserve"> (1893), </w:t>
      </w:r>
      <w:smartTag w:uri="urn:schemas-microsoft-com:office:smarttags" w:element="PersonName">
        <w:smartTagPr>
          <w:attr w:name="ProductID" w:val="La Seconde Vie"/>
        </w:smartTagPr>
        <w:smartTag w:uri="urn:schemas-microsoft-com:office:smarttags" w:element="PersonName">
          <w:smartTagPr>
            <w:attr w:name="ProductID" w:val="La Seconde"/>
          </w:smartTagPr>
          <w:r w:rsidR="00F61CE5" w:rsidRPr="0015372A">
            <w:rPr>
              <w:rStyle w:val="bleuital"/>
            </w:rPr>
            <w:t>La Seconde</w:t>
          </w:r>
        </w:smartTag>
        <w:r w:rsidR="00F61CE5" w:rsidRPr="0015372A">
          <w:rPr>
            <w:rStyle w:val="bleuital"/>
          </w:rPr>
          <w:t xml:space="preserve"> Vie</w:t>
        </w:r>
      </w:smartTag>
      <w:r w:rsidR="00F61CE5" w:rsidRPr="0015372A">
        <w:rPr>
          <w:rStyle w:val="bleuital"/>
        </w:rPr>
        <w:t xml:space="preserve"> de Michel Teissier</w:t>
      </w:r>
      <w:r w:rsidR="00F61CE5" w:rsidRPr="00A4047A">
        <w:rPr>
          <w:sz w:val="24"/>
          <w:szCs w:val="24"/>
        </w:rPr>
        <w:t xml:space="preserve"> (1894), </w:t>
      </w:r>
      <w:r w:rsidR="00F61CE5" w:rsidRPr="0015372A">
        <w:rPr>
          <w:rStyle w:val="bleuital"/>
        </w:rPr>
        <w:t>Le Dernier Refuge</w:t>
      </w:r>
      <w:r w:rsidR="00F61CE5" w:rsidRPr="00A4047A">
        <w:rPr>
          <w:sz w:val="24"/>
          <w:szCs w:val="24"/>
        </w:rPr>
        <w:t xml:space="preserve"> (1896), </w:t>
      </w:r>
      <w:r w:rsidR="00F61CE5" w:rsidRPr="0015372A">
        <w:rPr>
          <w:rStyle w:val="bleuital"/>
        </w:rPr>
        <w:t xml:space="preserve">Le Ménage du pasteur </w:t>
      </w:r>
      <w:proofErr w:type="spellStart"/>
      <w:r w:rsidR="00F61CE5" w:rsidRPr="0015372A">
        <w:rPr>
          <w:rStyle w:val="bleuital"/>
        </w:rPr>
        <w:t>Naudié</w:t>
      </w:r>
      <w:proofErr w:type="spellEnd"/>
      <w:r w:rsidR="00F61CE5" w:rsidRPr="00A4047A">
        <w:rPr>
          <w:sz w:val="24"/>
          <w:szCs w:val="24"/>
        </w:rPr>
        <w:t xml:space="preserve"> (1898), </w:t>
      </w:r>
      <w:r w:rsidR="00F61CE5" w:rsidRPr="0015372A">
        <w:rPr>
          <w:rStyle w:val="bleuital"/>
        </w:rPr>
        <w:t>Un vainqueur</w:t>
      </w:r>
      <w:r w:rsidR="00F61CE5" w:rsidRPr="00A4047A">
        <w:rPr>
          <w:sz w:val="24"/>
          <w:szCs w:val="24"/>
        </w:rPr>
        <w:t xml:space="preserve"> (1904), </w:t>
      </w:r>
      <w:r w:rsidR="00F61CE5" w:rsidRPr="0015372A">
        <w:rPr>
          <w:rStyle w:val="bleuital"/>
        </w:rPr>
        <w:t>L’Incendie</w:t>
      </w:r>
      <w:r w:rsidR="00F61CE5" w:rsidRPr="00A4047A">
        <w:rPr>
          <w:sz w:val="24"/>
          <w:szCs w:val="24"/>
        </w:rPr>
        <w:t xml:space="preserve"> (1906). Daniel </w:t>
      </w:r>
      <w:proofErr w:type="spellStart"/>
      <w:r w:rsidR="00F61CE5" w:rsidRPr="00A4047A">
        <w:rPr>
          <w:sz w:val="24"/>
          <w:szCs w:val="24"/>
        </w:rPr>
        <w:t>Maggetti</w:t>
      </w:r>
      <w:proofErr w:type="spellEnd"/>
      <w:r w:rsidR="00F61CE5" w:rsidRPr="00A4047A">
        <w:rPr>
          <w:sz w:val="24"/>
          <w:szCs w:val="24"/>
        </w:rPr>
        <w:t xml:space="preserve">, professeur à l’Université de Lausanne, a récemment publié (en 2007) aux Édition de l’Aire, à Vevey, </w:t>
      </w:r>
      <w:smartTag w:uri="urn:schemas-microsoft-com:office:smarttags" w:element="PersonName">
        <w:smartTagPr>
          <w:attr w:name="ProductID" w:val="La Course"/>
        </w:smartTagPr>
        <w:r w:rsidR="00F61CE5" w:rsidRPr="0015372A">
          <w:rPr>
            <w:rStyle w:val="bleuital"/>
          </w:rPr>
          <w:t>La Course</w:t>
        </w:r>
      </w:smartTag>
      <w:r w:rsidR="00F61CE5" w:rsidRPr="0015372A">
        <w:rPr>
          <w:rStyle w:val="bleuital"/>
        </w:rPr>
        <w:t xml:space="preserve"> à la mort</w:t>
      </w:r>
      <w:r w:rsidR="00F61CE5" w:rsidRPr="00A4047A">
        <w:rPr>
          <w:sz w:val="24"/>
          <w:szCs w:val="24"/>
        </w:rPr>
        <w:t>.</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10</w:t>
      </w:r>
      <w:r w:rsidRPr="00A4047A">
        <w:rPr>
          <w:rStyle w:val="Appelnotedebasdep"/>
          <w:sz w:val="24"/>
          <w:szCs w:val="24"/>
          <w:vertAlign w:val="baseline"/>
        </w:rPr>
        <w:t>$</w:t>
      </w:r>
      <w:r w:rsidR="00F61CE5" w:rsidRPr="00A4047A">
        <w:rPr>
          <w:sz w:val="24"/>
          <w:szCs w:val="24"/>
        </w:rPr>
        <w:t xml:space="preserve"> Les </w:t>
      </w:r>
      <w:r w:rsidR="00F61CE5" w:rsidRPr="0015372A">
        <w:rPr>
          <w:rStyle w:val="bleuital"/>
        </w:rPr>
        <w:t>Nouvelles romandes</w:t>
      </w:r>
      <w:r w:rsidR="00F61CE5" w:rsidRPr="00A4047A">
        <w:rPr>
          <w:sz w:val="24"/>
          <w:szCs w:val="24"/>
        </w:rPr>
        <w:t xml:space="preserve"> (1891), les </w:t>
      </w:r>
      <w:r w:rsidR="00F61CE5" w:rsidRPr="0015372A">
        <w:rPr>
          <w:rStyle w:val="bleuital"/>
        </w:rPr>
        <w:t>Scènes de la vie suisse</w:t>
      </w:r>
      <w:r w:rsidR="00F61CE5" w:rsidRPr="00A4047A">
        <w:rPr>
          <w:sz w:val="24"/>
          <w:szCs w:val="24"/>
        </w:rPr>
        <w:t xml:space="preserve"> (1890), les </w:t>
      </w:r>
      <w:r w:rsidR="00F61CE5" w:rsidRPr="0015372A">
        <w:rPr>
          <w:rStyle w:val="bleuital"/>
        </w:rPr>
        <w:t>Nouvelles vaudoises</w:t>
      </w:r>
      <w:r w:rsidR="00F61CE5" w:rsidRPr="00A4047A">
        <w:rPr>
          <w:sz w:val="24"/>
          <w:szCs w:val="24"/>
        </w:rPr>
        <w:t xml:space="preserve"> (1903-</w:t>
      </w:r>
      <w:r w:rsidR="00B77E77">
        <w:rPr>
          <w:sz w:val="24"/>
          <w:szCs w:val="24"/>
        </w:rPr>
        <w:t>19</w:t>
      </w:r>
      <w:r w:rsidR="00F61CE5" w:rsidRPr="00A4047A">
        <w:rPr>
          <w:sz w:val="24"/>
          <w:szCs w:val="24"/>
        </w:rPr>
        <w:t>04) marquent une maîtrise parfaite de l’art du nouvelliste.</w:t>
      </w:r>
    </w:p>
    <w:p w:rsidR="00F61CE5" w:rsidRPr="00A4047A" w:rsidRDefault="00A4047A" w:rsidP="00F61CE5">
      <w:pPr>
        <w:pStyle w:val="Notedebasdepage"/>
        <w:rPr>
          <w:sz w:val="24"/>
          <w:szCs w:val="24"/>
        </w:rPr>
      </w:pPr>
      <w:r w:rsidRPr="00A4047A">
        <w:rPr>
          <w:rStyle w:val="Appelnotedebasdep"/>
          <w:sz w:val="24"/>
          <w:szCs w:val="24"/>
          <w:vertAlign w:val="baseline"/>
        </w:rPr>
        <w:lastRenderedPageBreak/>
        <w:t>$</w:t>
      </w:r>
      <w:r>
        <w:rPr>
          <w:sz w:val="24"/>
          <w:szCs w:val="24"/>
        </w:rPr>
        <w:t>11</w:t>
      </w:r>
      <w:r w:rsidRPr="00A4047A">
        <w:rPr>
          <w:rStyle w:val="Appelnotedebasdep"/>
          <w:sz w:val="24"/>
          <w:szCs w:val="24"/>
          <w:vertAlign w:val="baseline"/>
        </w:rPr>
        <w:t>$</w:t>
      </w:r>
      <w:r w:rsidR="00F61CE5" w:rsidRPr="00A4047A">
        <w:rPr>
          <w:sz w:val="24"/>
          <w:szCs w:val="24"/>
        </w:rPr>
        <w:t xml:space="preserve"> Pourtant, Rod se sentait « Français ». Quand il évoque la culture classique de Goethe, sa connaissance des écrivains français, le critique suisse revendique les auteurs français comme siens (« les écrivains allemands, jusqu’alors dépendants des nôtres », </w:t>
      </w:r>
      <w:r w:rsidR="00941CEC">
        <w:rPr>
          <w:sz w:val="24"/>
          <w:szCs w:val="24"/>
        </w:rPr>
        <w:t>p. </w:t>
      </w:r>
      <w:r w:rsidR="00F61CE5" w:rsidRPr="00A4047A">
        <w:rPr>
          <w:sz w:val="24"/>
          <w:szCs w:val="24"/>
        </w:rPr>
        <w:t xml:space="preserve">63 Perrin). Le tropisme de </w:t>
      </w:r>
      <w:smartTag w:uri="urn:schemas-microsoft-com:office:smarttags" w:element="PersonName">
        <w:smartTagPr>
          <w:attr w:name="ProductID" w:val="la France"/>
        </w:smartTagPr>
        <w:r w:rsidR="00F61CE5" w:rsidRPr="00A4047A">
          <w:rPr>
            <w:sz w:val="24"/>
            <w:szCs w:val="24"/>
          </w:rPr>
          <w:t>la France</w:t>
        </w:r>
      </w:smartTag>
      <w:r w:rsidR="00F61CE5" w:rsidRPr="00A4047A">
        <w:rPr>
          <w:sz w:val="24"/>
          <w:szCs w:val="24"/>
        </w:rPr>
        <w:t xml:space="preserve"> était puissant à la fin du XIX</w:t>
      </w:r>
      <w:r w:rsidR="00F61CE5" w:rsidRPr="00A4047A">
        <w:rPr>
          <w:sz w:val="24"/>
          <w:szCs w:val="24"/>
          <w:vertAlign w:val="superscript"/>
        </w:rPr>
        <w:t>e</w:t>
      </w:r>
      <w:r w:rsidR="00F61CE5" w:rsidRPr="00A4047A">
        <w:rPr>
          <w:sz w:val="24"/>
          <w:szCs w:val="24"/>
        </w:rPr>
        <w:t xml:space="preserve"> siècle chez les écrivains suisses : un Ramuz se méfiera d’un tel tropisme littéraire.</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12</w:t>
      </w:r>
      <w:r w:rsidRPr="00A4047A">
        <w:rPr>
          <w:rStyle w:val="Appelnotedebasdep"/>
          <w:sz w:val="24"/>
          <w:szCs w:val="24"/>
          <w:vertAlign w:val="baseline"/>
        </w:rPr>
        <w:t>$</w:t>
      </w:r>
      <w:r w:rsidR="00F61CE5" w:rsidRPr="00A4047A">
        <w:rPr>
          <w:sz w:val="24"/>
          <w:szCs w:val="24"/>
        </w:rPr>
        <w:t xml:space="preserve"> In </w:t>
      </w:r>
      <w:r w:rsidR="00F61CE5" w:rsidRPr="0015372A">
        <w:rPr>
          <w:rStyle w:val="bleuital"/>
        </w:rPr>
        <w:t>Chroniques littéraires</w:t>
      </w:r>
      <w:r w:rsidR="00F61CE5" w:rsidRPr="00A4047A">
        <w:rPr>
          <w:sz w:val="24"/>
          <w:szCs w:val="24"/>
        </w:rPr>
        <w:t xml:space="preserve">, Paris, L’Edition d’art Piazza, 1973, </w:t>
      </w:r>
      <w:r w:rsidR="00941CEC">
        <w:rPr>
          <w:sz w:val="24"/>
          <w:szCs w:val="24"/>
        </w:rPr>
        <w:t>p. </w:t>
      </w:r>
      <w:r w:rsidR="00F61CE5" w:rsidRPr="00A4047A">
        <w:rPr>
          <w:sz w:val="24"/>
          <w:szCs w:val="24"/>
        </w:rPr>
        <w:t>115.</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13</w:t>
      </w:r>
      <w:r w:rsidRPr="00A4047A">
        <w:rPr>
          <w:rStyle w:val="Appelnotedebasdep"/>
          <w:sz w:val="24"/>
          <w:szCs w:val="24"/>
          <w:vertAlign w:val="baseline"/>
        </w:rPr>
        <w:t>$</w:t>
      </w:r>
      <w:r w:rsidR="00F61CE5" w:rsidRPr="00A4047A">
        <w:rPr>
          <w:sz w:val="24"/>
          <w:szCs w:val="24"/>
        </w:rPr>
        <w:t xml:space="preserve"> Rod se </w:t>
      </w:r>
      <w:proofErr w:type="gramStart"/>
      <w:r w:rsidR="00F61CE5" w:rsidRPr="00A4047A">
        <w:rPr>
          <w:sz w:val="24"/>
          <w:szCs w:val="24"/>
        </w:rPr>
        <w:t>livre</w:t>
      </w:r>
      <w:proofErr w:type="gramEnd"/>
      <w:r w:rsidR="00F61CE5" w:rsidRPr="00A4047A">
        <w:rPr>
          <w:sz w:val="24"/>
          <w:szCs w:val="24"/>
        </w:rPr>
        <w:t xml:space="preserve"> à des jugements sur Rousseau dès cet </w:t>
      </w:r>
      <w:r w:rsidR="00F61CE5" w:rsidRPr="0015372A">
        <w:rPr>
          <w:rStyle w:val="bleuital"/>
        </w:rPr>
        <w:t>Essai sur Goethe</w:t>
      </w:r>
      <w:r w:rsidR="00F61CE5" w:rsidRPr="00A4047A">
        <w:rPr>
          <w:sz w:val="24"/>
          <w:szCs w:val="24"/>
        </w:rPr>
        <w:t>, prouvant qu’il projetait déjà de composer un ouvrage critique sur la figure rousseauiste dès 1898 (nous renvoyons aux pages 47-48 de l’édition Perrin). Un parallèle est fait aussi avec Chateaubriand (</w:t>
      </w:r>
      <w:r w:rsidR="00941CEC">
        <w:rPr>
          <w:sz w:val="24"/>
          <w:szCs w:val="24"/>
        </w:rPr>
        <w:t>p. </w:t>
      </w:r>
      <w:r w:rsidR="00F61CE5" w:rsidRPr="00A4047A">
        <w:rPr>
          <w:sz w:val="24"/>
          <w:szCs w:val="24"/>
        </w:rPr>
        <w:t>50-51 éd. Perrin) : on peut supposer que si la mort ne l’avait emporté brusquement, Chateaubriand aurait été la prochaine grande figure d’écrivain étudiée par Rod.</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14</w:t>
      </w:r>
      <w:r w:rsidRPr="00A4047A">
        <w:rPr>
          <w:rStyle w:val="Appelnotedebasdep"/>
          <w:sz w:val="24"/>
          <w:szCs w:val="24"/>
          <w:vertAlign w:val="baseline"/>
        </w:rPr>
        <w:t>$</w:t>
      </w:r>
      <w:r w:rsidR="00F61CE5" w:rsidRPr="00A4047A">
        <w:rPr>
          <w:sz w:val="24"/>
          <w:szCs w:val="24"/>
        </w:rPr>
        <w:t xml:space="preserve"> Citons : </w:t>
      </w:r>
      <w:r w:rsidR="00F61CE5" w:rsidRPr="0015372A">
        <w:rPr>
          <w:rStyle w:val="bleuital"/>
        </w:rPr>
        <w:t>Stendhal</w:t>
      </w:r>
      <w:r w:rsidR="00F61CE5" w:rsidRPr="00A4047A">
        <w:rPr>
          <w:sz w:val="24"/>
          <w:szCs w:val="24"/>
        </w:rPr>
        <w:t xml:space="preserve"> (Hachette, 1892), </w:t>
      </w:r>
      <w:r w:rsidR="00F61CE5" w:rsidRPr="0015372A">
        <w:rPr>
          <w:rStyle w:val="bleuital"/>
        </w:rPr>
        <w:t>Les Idées morales du temps pré</w:t>
      </w:r>
      <w:bookmarkStart w:id="0" w:name="_GoBack"/>
      <w:bookmarkEnd w:id="0"/>
      <w:r w:rsidR="00F61CE5" w:rsidRPr="0015372A">
        <w:rPr>
          <w:rStyle w:val="bleuital"/>
        </w:rPr>
        <w:t>sent</w:t>
      </w:r>
      <w:r w:rsidR="00F61CE5" w:rsidRPr="00A4047A">
        <w:rPr>
          <w:sz w:val="24"/>
          <w:szCs w:val="24"/>
        </w:rPr>
        <w:t xml:space="preserve"> (Perrin, 1897), </w:t>
      </w:r>
      <w:r w:rsidR="00F61CE5" w:rsidRPr="0015372A">
        <w:rPr>
          <w:rStyle w:val="bleuital"/>
        </w:rPr>
        <w:t>L’Affaire Jean-Jacques Rousseau</w:t>
      </w:r>
      <w:r w:rsidR="00F61CE5" w:rsidRPr="00A4047A">
        <w:rPr>
          <w:sz w:val="24"/>
          <w:szCs w:val="24"/>
        </w:rPr>
        <w:t xml:space="preserve"> (Perrin, 1906).</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15</w:t>
      </w:r>
      <w:r w:rsidRPr="00A4047A">
        <w:rPr>
          <w:rStyle w:val="Appelnotedebasdep"/>
          <w:sz w:val="24"/>
          <w:szCs w:val="24"/>
          <w:vertAlign w:val="baseline"/>
        </w:rPr>
        <w:t>$</w:t>
      </w:r>
      <w:r w:rsidR="00F61CE5" w:rsidRPr="00A4047A">
        <w:rPr>
          <w:sz w:val="24"/>
          <w:szCs w:val="24"/>
        </w:rPr>
        <w:t xml:space="preserve"> Partie I : </w:t>
      </w:r>
      <w:r w:rsidR="00F61CE5" w:rsidRPr="0015372A">
        <w:rPr>
          <w:rStyle w:val="bleuital"/>
        </w:rPr>
        <w:t>Poésie et Vérité</w:t>
      </w:r>
      <w:r w:rsidR="00F61CE5" w:rsidRPr="00A4047A">
        <w:rPr>
          <w:sz w:val="24"/>
          <w:szCs w:val="24"/>
        </w:rPr>
        <w:t xml:space="preserve">. Partie II : </w:t>
      </w:r>
      <w:proofErr w:type="spellStart"/>
      <w:r w:rsidR="00F61CE5" w:rsidRPr="0015372A">
        <w:rPr>
          <w:rStyle w:val="bleuital"/>
        </w:rPr>
        <w:t>Goetz</w:t>
      </w:r>
      <w:proofErr w:type="spellEnd"/>
      <w:r w:rsidR="00F61CE5" w:rsidRPr="00A4047A">
        <w:rPr>
          <w:sz w:val="24"/>
          <w:szCs w:val="24"/>
        </w:rPr>
        <w:t xml:space="preserve"> </w:t>
      </w:r>
      <w:r w:rsidR="00F61CE5" w:rsidRPr="0015372A">
        <w:rPr>
          <w:rStyle w:val="bleuital"/>
        </w:rPr>
        <w:t>de Berlichingen</w:t>
      </w:r>
      <w:r w:rsidR="00F61CE5" w:rsidRPr="00A4047A">
        <w:rPr>
          <w:sz w:val="24"/>
          <w:szCs w:val="24"/>
        </w:rPr>
        <w:t xml:space="preserve">. Partie III : </w:t>
      </w:r>
      <w:r w:rsidR="00F61CE5" w:rsidRPr="0015372A">
        <w:rPr>
          <w:rStyle w:val="bleuital"/>
        </w:rPr>
        <w:t>Werther</w:t>
      </w:r>
      <w:r w:rsidR="00F61CE5" w:rsidRPr="00A4047A">
        <w:rPr>
          <w:sz w:val="24"/>
          <w:szCs w:val="24"/>
        </w:rPr>
        <w:t xml:space="preserve">. Partie IV : les poésies. Partie V : </w:t>
      </w:r>
      <w:r w:rsidR="00F61CE5" w:rsidRPr="0015372A">
        <w:rPr>
          <w:rStyle w:val="bleuital"/>
        </w:rPr>
        <w:t>Les Affinités électives</w:t>
      </w:r>
      <w:r w:rsidR="00F61CE5" w:rsidRPr="00A4047A">
        <w:rPr>
          <w:sz w:val="24"/>
          <w:szCs w:val="24"/>
        </w:rPr>
        <w:t xml:space="preserve">. Partie VI : </w:t>
      </w:r>
      <w:r w:rsidR="00F61CE5" w:rsidRPr="0015372A">
        <w:rPr>
          <w:rStyle w:val="bleuital"/>
        </w:rPr>
        <w:t xml:space="preserve">Faust I </w:t>
      </w:r>
      <w:r w:rsidR="00F61CE5" w:rsidRPr="00A4047A">
        <w:rPr>
          <w:sz w:val="24"/>
          <w:szCs w:val="24"/>
        </w:rPr>
        <w:t>et</w:t>
      </w:r>
      <w:r w:rsidR="00F61CE5" w:rsidRPr="0015372A">
        <w:rPr>
          <w:rStyle w:val="bleuital"/>
        </w:rPr>
        <w:t xml:space="preserve"> II</w:t>
      </w:r>
      <w:r w:rsidR="00F61CE5" w:rsidRPr="00A4047A">
        <w:rPr>
          <w:sz w:val="24"/>
          <w:szCs w:val="24"/>
        </w:rPr>
        <w:t>. (</w:t>
      </w:r>
      <w:proofErr w:type="gramStart"/>
      <w:r w:rsidR="00F61CE5" w:rsidRPr="00A4047A">
        <w:rPr>
          <w:sz w:val="24"/>
          <w:szCs w:val="24"/>
        </w:rPr>
        <w:t>sont</w:t>
      </w:r>
      <w:proofErr w:type="gramEnd"/>
      <w:r w:rsidR="00F61CE5" w:rsidRPr="00A4047A">
        <w:rPr>
          <w:sz w:val="24"/>
          <w:szCs w:val="24"/>
        </w:rPr>
        <w:t xml:space="preserve"> passées totalement sous silence les œuvres scientifiques de Goethe).</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16</w:t>
      </w:r>
      <w:r w:rsidRPr="00A4047A">
        <w:rPr>
          <w:rStyle w:val="Appelnotedebasdep"/>
          <w:sz w:val="24"/>
          <w:szCs w:val="24"/>
          <w:vertAlign w:val="baseline"/>
        </w:rPr>
        <w:t>$</w:t>
      </w:r>
      <w:r w:rsidR="00F61CE5" w:rsidRPr="00A4047A">
        <w:rPr>
          <w:sz w:val="24"/>
          <w:szCs w:val="24"/>
        </w:rPr>
        <w:t xml:space="preserve"> « Notre but est autre : il nous a semblé que le moment était venu de relire les œuvres capitales de Goethe, de les relire en s’aidant des documents principaux qui les éclairent, de les relire avec un </w:t>
      </w:r>
      <w:r w:rsidR="00F61CE5" w:rsidRPr="0015372A">
        <w:rPr>
          <w:rStyle w:val="bleuital"/>
        </w:rPr>
        <w:t>esprit de critique</w:t>
      </w:r>
      <w:r w:rsidR="00F61CE5" w:rsidRPr="00A4047A">
        <w:rPr>
          <w:sz w:val="24"/>
          <w:szCs w:val="24"/>
        </w:rPr>
        <w:t> : c’est-à-dire en cherchant à se dégager autant que possible des jugements portés sur elles : à comprendre leur signification par rapport à leur auteur et par rapport à nous-mêmes ; à mesurer leur importance dans le mouvement littéraire qui les a suivies. » (</w:t>
      </w:r>
      <w:r w:rsidR="00941CEC">
        <w:rPr>
          <w:sz w:val="24"/>
          <w:szCs w:val="24"/>
        </w:rPr>
        <w:t>p. </w:t>
      </w:r>
      <w:r w:rsidR="00F61CE5" w:rsidRPr="00A4047A">
        <w:rPr>
          <w:sz w:val="24"/>
          <w:szCs w:val="24"/>
        </w:rPr>
        <w:t>6, éd. Perrin)</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17</w:t>
      </w:r>
      <w:r w:rsidRPr="00A4047A">
        <w:rPr>
          <w:rStyle w:val="Appelnotedebasdep"/>
          <w:sz w:val="24"/>
          <w:szCs w:val="24"/>
          <w:vertAlign w:val="baseline"/>
        </w:rPr>
        <w:t>$</w:t>
      </w:r>
      <w:r w:rsidR="00F61CE5" w:rsidRPr="00A4047A">
        <w:rPr>
          <w:sz w:val="24"/>
          <w:szCs w:val="24"/>
        </w:rPr>
        <w:t xml:space="preserve"> Rod le fait pour </w:t>
      </w:r>
      <w:proofErr w:type="spellStart"/>
      <w:r w:rsidR="00F61CE5" w:rsidRPr="0015372A">
        <w:rPr>
          <w:rStyle w:val="bleuital"/>
        </w:rPr>
        <w:t>Goetz</w:t>
      </w:r>
      <w:proofErr w:type="spellEnd"/>
      <w:r w:rsidR="00F61CE5" w:rsidRPr="00A4047A">
        <w:rPr>
          <w:sz w:val="24"/>
          <w:szCs w:val="24"/>
        </w:rPr>
        <w:t xml:space="preserve"> </w:t>
      </w:r>
      <w:r w:rsidR="00F61CE5" w:rsidRPr="0015372A">
        <w:rPr>
          <w:rStyle w:val="bleuital"/>
        </w:rPr>
        <w:t xml:space="preserve">de Berlichingen </w:t>
      </w:r>
      <w:r w:rsidR="00F61CE5" w:rsidRPr="00A4047A">
        <w:rPr>
          <w:sz w:val="24"/>
          <w:szCs w:val="24"/>
        </w:rPr>
        <w:t xml:space="preserve">où il voit Goethe se dédoubler en deux personnages : « Il a donc créé le personnage de </w:t>
      </w:r>
      <w:proofErr w:type="spellStart"/>
      <w:r w:rsidR="00F61CE5" w:rsidRPr="00A4047A">
        <w:rPr>
          <w:sz w:val="24"/>
          <w:szCs w:val="24"/>
        </w:rPr>
        <w:t>Weislingen</w:t>
      </w:r>
      <w:proofErr w:type="spellEnd"/>
      <w:r w:rsidR="00F61CE5" w:rsidRPr="00A4047A">
        <w:rPr>
          <w:sz w:val="24"/>
          <w:szCs w:val="24"/>
        </w:rPr>
        <w:t xml:space="preserve">, pour servir à la fois de complément et de repoussoir à </w:t>
      </w:r>
      <w:proofErr w:type="spellStart"/>
      <w:r w:rsidR="00F61CE5" w:rsidRPr="00A4047A">
        <w:rPr>
          <w:sz w:val="24"/>
          <w:szCs w:val="24"/>
        </w:rPr>
        <w:t>Goetz</w:t>
      </w:r>
      <w:proofErr w:type="spellEnd"/>
      <w:r w:rsidR="00F61CE5" w:rsidRPr="00A4047A">
        <w:rPr>
          <w:sz w:val="24"/>
          <w:szCs w:val="24"/>
        </w:rPr>
        <w:t> ; et il a pu, ainsi, manifester les faces opposées de son âme, se mettre tout entier dans son œuvre » (</w:t>
      </w:r>
      <w:r w:rsidR="00941CEC">
        <w:rPr>
          <w:sz w:val="24"/>
          <w:szCs w:val="24"/>
        </w:rPr>
        <w:t>p. </w:t>
      </w:r>
      <w:r w:rsidR="00F61CE5" w:rsidRPr="00A4047A">
        <w:rPr>
          <w:sz w:val="24"/>
          <w:szCs w:val="24"/>
        </w:rPr>
        <w:t>88, éd. Perrin). Le critique surprend un tel dédoublement de Goethe dans ses personnages partout où il le peut.</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18</w:t>
      </w:r>
      <w:r w:rsidRPr="00A4047A">
        <w:rPr>
          <w:rStyle w:val="Appelnotedebasdep"/>
          <w:sz w:val="24"/>
          <w:szCs w:val="24"/>
          <w:vertAlign w:val="baseline"/>
        </w:rPr>
        <w:t>$</w:t>
      </w:r>
      <w:r w:rsidR="00F61CE5" w:rsidRPr="00A4047A">
        <w:rPr>
          <w:sz w:val="24"/>
          <w:szCs w:val="24"/>
        </w:rPr>
        <w:t xml:space="preserve"> « Les opinions que nous aurons sur </w:t>
      </w:r>
      <w:r w:rsidR="00F61CE5" w:rsidRPr="0015372A">
        <w:rPr>
          <w:rStyle w:val="bleuital"/>
        </w:rPr>
        <w:t xml:space="preserve">Werther, Wilhelm </w:t>
      </w:r>
      <w:proofErr w:type="spellStart"/>
      <w:r w:rsidR="00F61CE5" w:rsidRPr="0015372A">
        <w:rPr>
          <w:rStyle w:val="bleuital"/>
        </w:rPr>
        <w:t>Meister</w:t>
      </w:r>
      <w:proofErr w:type="spellEnd"/>
      <w:r w:rsidR="00F61CE5" w:rsidRPr="0015372A">
        <w:rPr>
          <w:rStyle w:val="bleuital"/>
        </w:rPr>
        <w:t xml:space="preserve"> </w:t>
      </w:r>
      <w:r w:rsidR="00F61CE5" w:rsidRPr="00A4047A">
        <w:rPr>
          <w:sz w:val="24"/>
          <w:szCs w:val="24"/>
        </w:rPr>
        <w:t>ou</w:t>
      </w:r>
      <w:r w:rsidR="00F61CE5" w:rsidRPr="0015372A">
        <w:rPr>
          <w:rStyle w:val="bleuital"/>
        </w:rPr>
        <w:t xml:space="preserve"> Faust</w:t>
      </w:r>
      <w:r w:rsidR="00F61CE5" w:rsidRPr="00A4047A">
        <w:rPr>
          <w:sz w:val="24"/>
          <w:szCs w:val="24"/>
        </w:rPr>
        <w:t>, dépendent en partie de celles que nous aurons sur Goethe. Une fois renseignés sur l’état d’âme […]. » (</w:t>
      </w:r>
      <w:proofErr w:type="gramStart"/>
      <w:r w:rsidR="00F61CE5" w:rsidRPr="0015372A">
        <w:rPr>
          <w:rStyle w:val="bleuital"/>
        </w:rPr>
        <w:t>o</w:t>
      </w:r>
      <w:r w:rsidR="00941CEC" w:rsidRPr="0015372A">
        <w:rPr>
          <w:rStyle w:val="bleuital"/>
        </w:rPr>
        <w:t>p</w:t>
      </w:r>
      <w:proofErr w:type="gramEnd"/>
      <w:r w:rsidR="00941CEC" w:rsidRPr="0015372A">
        <w:rPr>
          <w:rStyle w:val="bleuital"/>
        </w:rPr>
        <w:t>. </w:t>
      </w:r>
      <w:proofErr w:type="spellStart"/>
      <w:r w:rsidR="00F61CE5" w:rsidRPr="0015372A">
        <w:rPr>
          <w:rStyle w:val="bleuital"/>
        </w:rPr>
        <w:t>cit</w:t>
      </w:r>
      <w:proofErr w:type="spellEnd"/>
      <w:r w:rsidR="00F61CE5" w:rsidRPr="00A4047A">
        <w:rPr>
          <w:sz w:val="24"/>
          <w:szCs w:val="24"/>
        </w:rPr>
        <w:t xml:space="preserve">. note 7, </w:t>
      </w:r>
      <w:r w:rsidR="00941CEC">
        <w:rPr>
          <w:sz w:val="24"/>
          <w:szCs w:val="24"/>
        </w:rPr>
        <w:t>p. </w:t>
      </w:r>
      <w:r w:rsidR="00F61CE5" w:rsidRPr="00A4047A">
        <w:rPr>
          <w:sz w:val="24"/>
          <w:szCs w:val="24"/>
        </w:rPr>
        <w:t>44, éd. Perrin)</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19</w:t>
      </w:r>
      <w:r w:rsidRPr="00A4047A">
        <w:rPr>
          <w:rStyle w:val="Appelnotedebasdep"/>
          <w:sz w:val="24"/>
          <w:szCs w:val="24"/>
          <w:vertAlign w:val="baseline"/>
        </w:rPr>
        <w:t>$</w:t>
      </w:r>
      <w:r w:rsidR="00F61CE5" w:rsidRPr="00A4047A">
        <w:rPr>
          <w:sz w:val="24"/>
          <w:szCs w:val="24"/>
        </w:rPr>
        <w:t xml:space="preserve"> « Mais il y a une </w:t>
      </w:r>
      <w:r w:rsidR="00F61CE5" w:rsidRPr="0015372A">
        <w:rPr>
          <w:rStyle w:val="bleuital"/>
        </w:rPr>
        <w:t>unité</w:t>
      </w:r>
      <w:r w:rsidR="00F61CE5" w:rsidRPr="00A4047A">
        <w:rPr>
          <w:sz w:val="24"/>
          <w:szCs w:val="24"/>
        </w:rPr>
        <w:t xml:space="preserve"> supérieure aux trois unités d’Aristote, et plus indispensable […] : c’est celle que je voudrais appeler pour un instant l’</w:t>
      </w:r>
      <w:r w:rsidR="00F61CE5" w:rsidRPr="0015372A">
        <w:rPr>
          <w:rStyle w:val="bleuital"/>
        </w:rPr>
        <w:t>unité d’intention</w:t>
      </w:r>
      <w:r w:rsidR="00F61CE5" w:rsidRPr="00A4047A">
        <w:rPr>
          <w:sz w:val="24"/>
          <w:szCs w:val="24"/>
        </w:rPr>
        <w:t>. Or, celle-ci manque complètement dans la première œuvre de Goethe [</w:t>
      </w:r>
      <w:proofErr w:type="spellStart"/>
      <w:r w:rsidR="00F61CE5" w:rsidRPr="0015372A">
        <w:rPr>
          <w:rStyle w:val="bleuital"/>
        </w:rPr>
        <w:t>Goetz</w:t>
      </w:r>
      <w:proofErr w:type="spellEnd"/>
      <w:r w:rsidR="00F61CE5" w:rsidRPr="00A4047A">
        <w:rPr>
          <w:sz w:val="24"/>
          <w:szCs w:val="24"/>
        </w:rPr>
        <w:t>] […]. Le poète se trouve pris entre le besoin qu’il a de s’exprimer lui-même à travers les personnages historiques et sa ferme volonté de respecter les données authentiques qu’il croit posséder. La figure d’Adélaïde, produit capricieux de sa fantaisie, achève de bouleverser l’équilibre qu’il avait cru établir entre le premier acte ; en sorte que le résultat final de ses efforts n’est que le triomphe de l’incohérence. » (</w:t>
      </w:r>
      <w:r w:rsidR="00941CEC">
        <w:rPr>
          <w:sz w:val="24"/>
          <w:szCs w:val="24"/>
        </w:rPr>
        <w:t>p. </w:t>
      </w:r>
      <w:r w:rsidR="00F61CE5" w:rsidRPr="00A4047A">
        <w:rPr>
          <w:sz w:val="24"/>
          <w:szCs w:val="24"/>
        </w:rPr>
        <w:t>98, Perrin).</w:t>
      </w:r>
    </w:p>
    <w:p w:rsidR="00F61CE5" w:rsidRPr="00A4047A" w:rsidRDefault="00A4047A" w:rsidP="00F61CE5">
      <w:pPr>
        <w:pStyle w:val="Notedebasdepage"/>
        <w:rPr>
          <w:sz w:val="24"/>
          <w:szCs w:val="24"/>
          <w:lang w:val="en-GB"/>
        </w:rPr>
      </w:pPr>
      <w:r w:rsidRPr="00A4047A">
        <w:rPr>
          <w:rStyle w:val="Appelnotedebasdep"/>
          <w:sz w:val="24"/>
          <w:szCs w:val="24"/>
          <w:vertAlign w:val="baseline"/>
        </w:rPr>
        <w:t>$</w:t>
      </w:r>
      <w:r>
        <w:rPr>
          <w:sz w:val="24"/>
          <w:szCs w:val="24"/>
        </w:rPr>
        <w:t>20</w:t>
      </w:r>
      <w:r w:rsidRPr="00A4047A">
        <w:rPr>
          <w:rStyle w:val="Appelnotedebasdep"/>
          <w:sz w:val="24"/>
          <w:szCs w:val="24"/>
          <w:vertAlign w:val="baseline"/>
        </w:rPr>
        <w:t>$</w:t>
      </w:r>
      <w:r w:rsidR="00F61CE5" w:rsidRPr="00A4047A">
        <w:rPr>
          <w:sz w:val="24"/>
          <w:szCs w:val="24"/>
        </w:rPr>
        <w:t xml:space="preserve"> « […] s’il pouvait engager quelques esprits indépendants à considérer sans parti-pris l’œuvre de Goethe, à le goûter sans le subir, à l’admirer sans extravaguer, il aurait rempli le but que je me suis proposé » (</w:t>
      </w:r>
      <w:r w:rsidR="00941CEC">
        <w:rPr>
          <w:sz w:val="24"/>
          <w:szCs w:val="24"/>
        </w:rPr>
        <w:t>p. </w:t>
      </w:r>
      <w:r w:rsidR="00F61CE5" w:rsidRPr="00A4047A">
        <w:rPr>
          <w:sz w:val="24"/>
          <w:szCs w:val="24"/>
        </w:rPr>
        <w:t xml:space="preserve">2, éd. </w:t>
      </w:r>
      <w:r w:rsidR="00F61CE5" w:rsidRPr="00A4047A">
        <w:rPr>
          <w:sz w:val="24"/>
          <w:szCs w:val="24"/>
          <w:lang w:val="en-GB"/>
        </w:rPr>
        <w:t>Perrin).</w:t>
      </w:r>
    </w:p>
    <w:p w:rsidR="00F61CE5" w:rsidRPr="00A4047A" w:rsidRDefault="00A4047A" w:rsidP="00F61CE5">
      <w:pPr>
        <w:pStyle w:val="Notedebasdepage"/>
        <w:rPr>
          <w:sz w:val="24"/>
          <w:szCs w:val="24"/>
          <w:lang w:val="de-DE"/>
        </w:rPr>
      </w:pPr>
      <w:r w:rsidRPr="0015372A">
        <w:rPr>
          <w:rStyle w:val="Appelnotedebasdep"/>
          <w:sz w:val="24"/>
          <w:szCs w:val="24"/>
          <w:vertAlign w:val="baseline"/>
          <w:lang w:val="en-US"/>
        </w:rPr>
        <w:t>$</w:t>
      </w:r>
      <w:r w:rsidRPr="0015372A">
        <w:rPr>
          <w:sz w:val="24"/>
          <w:szCs w:val="24"/>
          <w:lang w:val="en-US"/>
        </w:rPr>
        <w:t>21</w:t>
      </w:r>
      <w:r w:rsidRPr="0015372A">
        <w:rPr>
          <w:rStyle w:val="Appelnotedebasdep"/>
          <w:sz w:val="24"/>
          <w:szCs w:val="24"/>
          <w:vertAlign w:val="baseline"/>
          <w:lang w:val="en-US"/>
        </w:rPr>
        <w:t>$</w:t>
      </w:r>
      <w:r w:rsidR="00F61CE5" w:rsidRPr="00A4047A">
        <w:rPr>
          <w:sz w:val="24"/>
          <w:szCs w:val="24"/>
          <w:lang w:val="en-GB"/>
        </w:rPr>
        <w:t xml:space="preserve"> </w:t>
      </w:r>
      <w:proofErr w:type="spellStart"/>
      <w:r w:rsidR="00F61CE5" w:rsidRPr="00A4047A">
        <w:rPr>
          <w:sz w:val="24"/>
          <w:szCs w:val="24"/>
          <w:lang w:val="en-GB"/>
        </w:rPr>
        <w:t>Bossat</w:t>
      </w:r>
      <w:proofErr w:type="spellEnd"/>
      <w:r w:rsidR="00F61CE5" w:rsidRPr="00A4047A">
        <w:rPr>
          <w:sz w:val="24"/>
          <w:szCs w:val="24"/>
          <w:lang w:val="en-GB"/>
        </w:rPr>
        <w:t xml:space="preserve"> (</w:t>
      </w:r>
      <w:r w:rsidR="00F61CE5" w:rsidRPr="0015372A">
        <w:rPr>
          <w:rStyle w:val="bleuital"/>
          <w:lang w:val="en-US"/>
        </w:rPr>
        <w:t>Goethe et Schiller</w:t>
      </w:r>
      <w:r w:rsidR="00F61CE5" w:rsidRPr="00A4047A">
        <w:rPr>
          <w:sz w:val="24"/>
          <w:szCs w:val="24"/>
          <w:lang w:val="en-GB"/>
        </w:rPr>
        <w:t>, 4</w:t>
      </w:r>
      <w:r w:rsidR="00F61CE5" w:rsidRPr="00A4047A">
        <w:rPr>
          <w:sz w:val="24"/>
          <w:szCs w:val="24"/>
          <w:vertAlign w:val="superscript"/>
          <w:lang w:val="en-GB"/>
        </w:rPr>
        <w:t>e</w:t>
      </w:r>
      <w:r w:rsidR="00F61CE5" w:rsidRPr="00A4047A">
        <w:rPr>
          <w:sz w:val="24"/>
          <w:szCs w:val="24"/>
          <w:lang w:val="en-GB"/>
        </w:rPr>
        <w:t xml:space="preserve"> </w:t>
      </w:r>
      <w:proofErr w:type="spellStart"/>
      <w:r w:rsidR="00F61CE5" w:rsidRPr="00A4047A">
        <w:rPr>
          <w:sz w:val="24"/>
          <w:szCs w:val="24"/>
          <w:lang w:val="en-GB"/>
        </w:rPr>
        <w:t>éd</w:t>
      </w:r>
      <w:proofErr w:type="spellEnd"/>
      <w:r w:rsidR="00F61CE5" w:rsidRPr="00A4047A">
        <w:rPr>
          <w:sz w:val="24"/>
          <w:szCs w:val="24"/>
          <w:lang w:val="en-GB"/>
        </w:rPr>
        <w:t xml:space="preserve">., Paris, 1826), Ch. </w:t>
      </w:r>
      <w:proofErr w:type="spellStart"/>
      <w:r w:rsidR="00F61CE5" w:rsidRPr="00A4047A">
        <w:rPr>
          <w:sz w:val="24"/>
          <w:szCs w:val="24"/>
          <w:lang w:val="en-GB"/>
        </w:rPr>
        <w:t>Kestner</w:t>
      </w:r>
      <w:proofErr w:type="spellEnd"/>
      <w:r w:rsidR="00F61CE5" w:rsidRPr="00A4047A">
        <w:rPr>
          <w:sz w:val="24"/>
          <w:szCs w:val="24"/>
          <w:lang w:val="en-GB"/>
        </w:rPr>
        <w:t xml:space="preserve"> (</w:t>
      </w:r>
      <w:r w:rsidR="00F61CE5" w:rsidRPr="0015372A">
        <w:rPr>
          <w:rStyle w:val="bleuital"/>
          <w:lang w:val="en-US"/>
        </w:rPr>
        <w:t xml:space="preserve">Gœthe und Werther. </w:t>
      </w:r>
      <w:r w:rsidR="00F61CE5" w:rsidRPr="0015372A">
        <w:rPr>
          <w:rStyle w:val="bleuital"/>
        </w:rPr>
        <w:t xml:space="preserve">Briefe </w:t>
      </w:r>
      <w:proofErr w:type="spellStart"/>
      <w:r w:rsidR="00F61CE5" w:rsidRPr="0015372A">
        <w:rPr>
          <w:rStyle w:val="bleuital"/>
        </w:rPr>
        <w:t>Gœthens</w:t>
      </w:r>
      <w:proofErr w:type="spellEnd"/>
      <w:r w:rsidR="00F61CE5" w:rsidRPr="0015372A">
        <w:rPr>
          <w:rStyle w:val="bleuital"/>
        </w:rPr>
        <w:t xml:space="preserve"> aus seiner </w:t>
      </w:r>
      <w:proofErr w:type="spellStart"/>
      <w:r w:rsidR="00F61CE5" w:rsidRPr="0015372A">
        <w:rPr>
          <w:rStyle w:val="bleuital"/>
        </w:rPr>
        <w:t>Jugendzei</w:t>
      </w:r>
      <w:proofErr w:type="spellEnd"/>
      <w:r w:rsidR="00F61CE5" w:rsidRPr="0015372A">
        <w:rPr>
          <w:rStyle w:val="bleuital"/>
        </w:rPr>
        <w:t>,</w:t>
      </w:r>
      <w:r w:rsidR="00F61CE5" w:rsidRPr="00A4047A">
        <w:rPr>
          <w:sz w:val="24"/>
          <w:szCs w:val="24"/>
          <w:lang w:val="de-DE"/>
        </w:rPr>
        <w:t>, 1854), George Henry Lewes (</w:t>
      </w:r>
      <w:smartTag w:uri="urn:schemas-microsoft-com:office:smarttags" w:element="PersonName">
        <w:smartTagPr>
          <w:attr w:name="ProductID" w:val="La Vie"/>
        </w:smartTagPr>
        <w:r w:rsidR="00F61CE5" w:rsidRPr="0015372A">
          <w:rPr>
            <w:rStyle w:val="bleuital"/>
          </w:rPr>
          <w:t xml:space="preserve">La </w:t>
        </w:r>
        <w:proofErr w:type="spellStart"/>
        <w:r w:rsidR="00F61CE5" w:rsidRPr="0015372A">
          <w:rPr>
            <w:rStyle w:val="bleuital"/>
          </w:rPr>
          <w:t>Vie</w:t>
        </w:r>
      </w:smartTag>
      <w:proofErr w:type="spellEnd"/>
      <w:r w:rsidR="00F61CE5" w:rsidRPr="0015372A">
        <w:rPr>
          <w:rStyle w:val="bleuital"/>
        </w:rPr>
        <w:t xml:space="preserve"> de Goethe</w:t>
      </w:r>
      <w:r w:rsidR="00F61CE5" w:rsidRPr="00A4047A">
        <w:rPr>
          <w:sz w:val="24"/>
          <w:szCs w:val="24"/>
          <w:lang w:val="de-DE"/>
        </w:rPr>
        <w:t xml:space="preserve">, 1855), Johann Heinrich Joseph </w:t>
      </w:r>
      <w:proofErr w:type="spellStart"/>
      <w:r w:rsidR="00F61CE5" w:rsidRPr="00A4047A">
        <w:rPr>
          <w:sz w:val="24"/>
          <w:szCs w:val="24"/>
          <w:lang w:val="de-DE"/>
        </w:rPr>
        <w:t>Düntzer</w:t>
      </w:r>
      <w:proofErr w:type="spellEnd"/>
      <w:r w:rsidR="00F61CE5" w:rsidRPr="00A4047A">
        <w:rPr>
          <w:sz w:val="24"/>
          <w:szCs w:val="24"/>
          <w:lang w:val="de-DE"/>
        </w:rPr>
        <w:t xml:space="preserve"> (</w:t>
      </w:r>
      <w:r w:rsidR="00F61CE5" w:rsidRPr="0015372A">
        <w:rPr>
          <w:rStyle w:val="bleuital"/>
        </w:rPr>
        <w:t>Schiller et Goethe</w:t>
      </w:r>
      <w:r w:rsidR="00F61CE5" w:rsidRPr="00A4047A">
        <w:rPr>
          <w:sz w:val="24"/>
          <w:szCs w:val="24"/>
          <w:lang w:val="de-DE"/>
        </w:rPr>
        <w:t xml:space="preserve">, 1859, </w:t>
      </w:r>
      <w:r w:rsidR="00F61CE5" w:rsidRPr="0015372A">
        <w:rPr>
          <w:rStyle w:val="bleuital"/>
        </w:rPr>
        <w:t>Charlotte von Stein</w:t>
      </w:r>
      <w:r w:rsidR="00F61CE5" w:rsidRPr="00A4047A">
        <w:rPr>
          <w:sz w:val="24"/>
          <w:szCs w:val="24"/>
          <w:lang w:val="de-DE"/>
        </w:rPr>
        <w:t xml:space="preserve">, 1874, </w:t>
      </w:r>
      <w:r w:rsidR="00F61CE5" w:rsidRPr="0015372A">
        <w:rPr>
          <w:rStyle w:val="bleuital"/>
        </w:rPr>
        <w:t xml:space="preserve">Charlotte von Stein und Corona </w:t>
      </w:r>
      <w:proofErr w:type="spellStart"/>
      <w:r w:rsidR="00F61CE5" w:rsidRPr="0015372A">
        <w:rPr>
          <w:rStyle w:val="bleuital"/>
        </w:rPr>
        <w:t>Schöter</w:t>
      </w:r>
      <w:proofErr w:type="spellEnd"/>
      <w:r w:rsidR="00F61CE5" w:rsidRPr="00A4047A">
        <w:rPr>
          <w:sz w:val="24"/>
          <w:szCs w:val="24"/>
          <w:lang w:val="de-DE"/>
        </w:rPr>
        <w:t xml:space="preserve">, 1876), Ernest </w:t>
      </w:r>
      <w:proofErr w:type="spellStart"/>
      <w:r w:rsidR="00F61CE5" w:rsidRPr="00A4047A">
        <w:rPr>
          <w:sz w:val="24"/>
          <w:szCs w:val="24"/>
          <w:lang w:val="de-DE"/>
        </w:rPr>
        <w:t>Caro</w:t>
      </w:r>
      <w:proofErr w:type="spellEnd"/>
      <w:r w:rsidR="00F61CE5" w:rsidRPr="00A4047A">
        <w:rPr>
          <w:sz w:val="24"/>
          <w:szCs w:val="24"/>
          <w:lang w:val="de-DE"/>
        </w:rPr>
        <w:t xml:space="preserve"> (</w:t>
      </w:r>
      <w:r w:rsidR="00F61CE5" w:rsidRPr="0015372A">
        <w:rPr>
          <w:rStyle w:val="bleuital"/>
        </w:rPr>
        <w:t xml:space="preserve">Les </w:t>
      </w:r>
      <w:proofErr w:type="spellStart"/>
      <w:r w:rsidR="00F61CE5" w:rsidRPr="0015372A">
        <w:rPr>
          <w:rStyle w:val="bleuital"/>
        </w:rPr>
        <w:t>Idées</w:t>
      </w:r>
      <w:proofErr w:type="spellEnd"/>
      <w:r w:rsidR="00F61CE5" w:rsidRPr="0015372A">
        <w:rPr>
          <w:rStyle w:val="bleuital"/>
        </w:rPr>
        <w:t xml:space="preserve"> </w:t>
      </w:r>
      <w:proofErr w:type="spellStart"/>
      <w:r w:rsidR="00F61CE5" w:rsidRPr="0015372A">
        <w:rPr>
          <w:rStyle w:val="bleuital"/>
        </w:rPr>
        <w:t>scientifiques</w:t>
      </w:r>
      <w:proofErr w:type="spellEnd"/>
      <w:r w:rsidR="00F61CE5" w:rsidRPr="0015372A">
        <w:rPr>
          <w:rStyle w:val="bleuital"/>
        </w:rPr>
        <w:t xml:space="preserve"> de Goethe</w:t>
      </w:r>
      <w:r w:rsidR="00F61CE5" w:rsidRPr="00A4047A">
        <w:rPr>
          <w:sz w:val="24"/>
          <w:szCs w:val="24"/>
          <w:lang w:val="de-DE"/>
        </w:rPr>
        <w:t xml:space="preserve">, </w:t>
      </w:r>
      <w:r w:rsidR="00F61CE5" w:rsidRPr="0015372A">
        <w:rPr>
          <w:rStyle w:val="bleuital"/>
        </w:rPr>
        <w:t xml:space="preserve">Revue des </w:t>
      </w:r>
      <w:proofErr w:type="spellStart"/>
      <w:r w:rsidR="00F61CE5" w:rsidRPr="0015372A">
        <w:rPr>
          <w:rStyle w:val="bleuital"/>
        </w:rPr>
        <w:t>Deux</w:t>
      </w:r>
      <w:proofErr w:type="spellEnd"/>
      <w:r w:rsidR="00F61CE5" w:rsidRPr="0015372A">
        <w:rPr>
          <w:rStyle w:val="bleuital"/>
        </w:rPr>
        <w:t xml:space="preserve"> Mondes</w:t>
      </w:r>
      <w:r w:rsidR="00F61CE5" w:rsidRPr="00A4047A">
        <w:rPr>
          <w:sz w:val="24"/>
          <w:szCs w:val="24"/>
          <w:lang w:val="de-DE"/>
        </w:rPr>
        <w:t xml:space="preserve">, 1865), Alfred </w:t>
      </w:r>
      <w:proofErr w:type="spellStart"/>
      <w:r w:rsidR="00F61CE5" w:rsidRPr="00A4047A">
        <w:rPr>
          <w:sz w:val="24"/>
          <w:szCs w:val="24"/>
          <w:lang w:val="de-DE"/>
        </w:rPr>
        <w:t>Mézières</w:t>
      </w:r>
      <w:proofErr w:type="spellEnd"/>
      <w:r w:rsidR="00F61CE5" w:rsidRPr="00A4047A">
        <w:rPr>
          <w:sz w:val="24"/>
          <w:szCs w:val="24"/>
          <w:lang w:val="de-DE"/>
        </w:rPr>
        <w:t xml:space="preserve"> (</w:t>
      </w:r>
      <w:r w:rsidR="00F61CE5" w:rsidRPr="0015372A">
        <w:rPr>
          <w:rStyle w:val="bleuital"/>
        </w:rPr>
        <w:t xml:space="preserve">Les </w:t>
      </w:r>
      <w:proofErr w:type="spellStart"/>
      <w:r w:rsidR="00F61CE5" w:rsidRPr="0015372A">
        <w:rPr>
          <w:rStyle w:val="bleuital"/>
        </w:rPr>
        <w:t>Œuvres</w:t>
      </w:r>
      <w:proofErr w:type="spellEnd"/>
      <w:r w:rsidR="00F61CE5" w:rsidRPr="0015372A">
        <w:rPr>
          <w:rStyle w:val="bleuital"/>
        </w:rPr>
        <w:t xml:space="preserve"> </w:t>
      </w:r>
      <w:proofErr w:type="spellStart"/>
      <w:r w:rsidR="00F61CE5" w:rsidRPr="0015372A">
        <w:rPr>
          <w:rStyle w:val="bleuital"/>
        </w:rPr>
        <w:t>expliquées</w:t>
      </w:r>
      <w:proofErr w:type="spellEnd"/>
      <w:r w:rsidR="00F61CE5" w:rsidRPr="0015372A">
        <w:rPr>
          <w:rStyle w:val="bleuital"/>
        </w:rPr>
        <w:t xml:space="preserve"> par la </w:t>
      </w:r>
      <w:proofErr w:type="spellStart"/>
      <w:r w:rsidR="00F61CE5" w:rsidRPr="0015372A">
        <w:rPr>
          <w:rStyle w:val="bleuital"/>
        </w:rPr>
        <w:t>vie</w:t>
      </w:r>
      <w:proofErr w:type="spellEnd"/>
      <w:r w:rsidR="00F61CE5" w:rsidRPr="0015372A">
        <w:rPr>
          <w:rStyle w:val="bleuital"/>
        </w:rPr>
        <w:t xml:space="preserve">, </w:t>
      </w:r>
      <w:r w:rsidR="00F61CE5" w:rsidRPr="00A4047A">
        <w:rPr>
          <w:sz w:val="24"/>
          <w:szCs w:val="24"/>
          <w:lang w:val="de-DE"/>
        </w:rPr>
        <w:t xml:space="preserve">1873), Michael </w:t>
      </w:r>
      <w:proofErr w:type="spellStart"/>
      <w:r w:rsidR="00F61CE5" w:rsidRPr="00A4047A">
        <w:rPr>
          <w:sz w:val="24"/>
          <w:szCs w:val="24"/>
          <w:lang w:val="de-DE"/>
        </w:rPr>
        <w:t>Bernays</w:t>
      </w:r>
      <w:proofErr w:type="spellEnd"/>
      <w:r w:rsidR="00F61CE5" w:rsidRPr="00A4047A">
        <w:rPr>
          <w:sz w:val="24"/>
          <w:szCs w:val="24"/>
          <w:lang w:val="de-DE"/>
        </w:rPr>
        <w:t xml:space="preserve"> (</w:t>
      </w:r>
      <w:r w:rsidR="00F61CE5" w:rsidRPr="0015372A">
        <w:rPr>
          <w:rStyle w:val="bleuital"/>
        </w:rPr>
        <w:t>Der Junge Goethe</w:t>
      </w:r>
      <w:r w:rsidR="00F61CE5" w:rsidRPr="00A4047A">
        <w:rPr>
          <w:sz w:val="24"/>
          <w:szCs w:val="24"/>
          <w:lang w:val="de-DE"/>
        </w:rPr>
        <w:t>, 1875), Alexander Baumgartner (</w:t>
      </w:r>
      <w:r w:rsidR="00F61CE5" w:rsidRPr="0015372A">
        <w:rPr>
          <w:rStyle w:val="bleuital"/>
        </w:rPr>
        <w:t>Goethe, sein Leben und seine Werke</w:t>
      </w:r>
      <w:r w:rsidR="00F61CE5" w:rsidRPr="00A4047A">
        <w:rPr>
          <w:sz w:val="24"/>
          <w:szCs w:val="24"/>
          <w:lang w:val="de-DE"/>
        </w:rPr>
        <w:t xml:space="preserve">, 1886), Gustav Von </w:t>
      </w:r>
      <w:proofErr w:type="spellStart"/>
      <w:r w:rsidR="00F61CE5" w:rsidRPr="00A4047A">
        <w:rPr>
          <w:sz w:val="24"/>
          <w:szCs w:val="24"/>
          <w:lang w:val="de-DE"/>
        </w:rPr>
        <w:t>Loeper</w:t>
      </w:r>
      <w:proofErr w:type="spellEnd"/>
      <w:r w:rsidR="00F61CE5" w:rsidRPr="00A4047A">
        <w:rPr>
          <w:sz w:val="24"/>
          <w:szCs w:val="24"/>
          <w:lang w:val="de-DE"/>
        </w:rPr>
        <w:t xml:space="preserve"> (</w:t>
      </w:r>
      <w:proofErr w:type="spellStart"/>
      <w:r w:rsidR="00F61CE5" w:rsidRPr="0015372A">
        <w:rPr>
          <w:rStyle w:val="bleuital"/>
        </w:rPr>
        <w:t>Goethe’s</w:t>
      </w:r>
      <w:proofErr w:type="spellEnd"/>
      <w:r w:rsidR="00F61CE5" w:rsidRPr="0015372A">
        <w:rPr>
          <w:rStyle w:val="bleuital"/>
        </w:rPr>
        <w:t xml:space="preserve"> Werke</w:t>
      </w:r>
      <w:r w:rsidR="00F61CE5" w:rsidRPr="00A4047A">
        <w:rPr>
          <w:sz w:val="24"/>
          <w:szCs w:val="24"/>
          <w:lang w:val="de-DE"/>
        </w:rPr>
        <w:t xml:space="preserve">, </w:t>
      </w:r>
      <w:proofErr w:type="spellStart"/>
      <w:r w:rsidR="00F61CE5" w:rsidRPr="00A4047A">
        <w:rPr>
          <w:sz w:val="24"/>
          <w:szCs w:val="24"/>
          <w:lang w:val="de-DE"/>
        </w:rPr>
        <w:t>éd</w:t>
      </w:r>
      <w:proofErr w:type="spellEnd"/>
      <w:r w:rsidR="00F61CE5" w:rsidRPr="00A4047A">
        <w:rPr>
          <w:sz w:val="24"/>
          <w:szCs w:val="24"/>
          <w:lang w:val="de-DE"/>
        </w:rPr>
        <w:t xml:space="preserve">. </w:t>
      </w:r>
      <w:proofErr w:type="spellStart"/>
      <w:proofErr w:type="gramStart"/>
      <w:r w:rsidR="00F61CE5" w:rsidRPr="00A4047A">
        <w:rPr>
          <w:sz w:val="24"/>
          <w:szCs w:val="24"/>
          <w:lang w:val="en-GB"/>
        </w:rPr>
        <w:t>Humpel</w:t>
      </w:r>
      <w:proofErr w:type="spellEnd"/>
      <w:r w:rsidR="00F61CE5" w:rsidRPr="00A4047A">
        <w:rPr>
          <w:sz w:val="24"/>
          <w:szCs w:val="24"/>
          <w:lang w:val="en-GB"/>
        </w:rPr>
        <w:t xml:space="preserve">, 1886), Straus, </w:t>
      </w:r>
      <w:proofErr w:type="spellStart"/>
      <w:r w:rsidR="00F61CE5" w:rsidRPr="00A4047A">
        <w:rPr>
          <w:sz w:val="24"/>
          <w:szCs w:val="24"/>
          <w:lang w:val="en-GB"/>
        </w:rPr>
        <w:t>Barrès</w:t>
      </w:r>
      <w:proofErr w:type="spellEnd"/>
      <w:r w:rsidR="00F61CE5" w:rsidRPr="00A4047A">
        <w:rPr>
          <w:sz w:val="24"/>
          <w:szCs w:val="24"/>
          <w:lang w:val="en-GB"/>
        </w:rPr>
        <w:t xml:space="preserve">, Ernest </w:t>
      </w:r>
      <w:proofErr w:type="spellStart"/>
      <w:r w:rsidR="00F61CE5" w:rsidRPr="00A4047A">
        <w:rPr>
          <w:sz w:val="24"/>
          <w:szCs w:val="24"/>
          <w:lang w:val="en-GB"/>
        </w:rPr>
        <w:t>Gnad</w:t>
      </w:r>
      <w:proofErr w:type="spellEnd"/>
      <w:r w:rsidR="00F61CE5" w:rsidRPr="00A4047A">
        <w:rPr>
          <w:sz w:val="24"/>
          <w:szCs w:val="24"/>
          <w:lang w:val="en-GB"/>
        </w:rPr>
        <w:t xml:space="preserve"> (</w:t>
      </w:r>
      <w:r w:rsidR="00F61CE5" w:rsidRPr="0015372A">
        <w:rPr>
          <w:rStyle w:val="bleuital"/>
        </w:rPr>
        <w:t xml:space="preserve">Literarische Essays, </w:t>
      </w:r>
      <w:proofErr w:type="spellStart"/>
      <w:r w:rsidR="00F61CE5" w:rsidRPr="00A4047A">
        <w:rPr>
          <w:sz w:val="24"/>
          <w:szCs w:val="24"/>
          <w:lang w:val="de-DE"/>
        </w:rPr>
        <w:lastRenderedPageBreak/>
        <w:t>Vienne</w:t>
      </w:r>
      <w:proofErr w:type="spellEnd"/>
      <w:r w:rsidR="00F61CE5" w:rsidRPr="00A4047A">
        <w:rPr>
          <w:sz w:val="24"/>
          <w:szCs w:val="24"/>
          <w:lang w:val="de-DE"/>
        </w:rPr>
        <w:t>, 1891).</w:t>
      </w:r>
      <w:proofErr w:type="gramEnd"/>
      <w:r w:rsidR="00F61CE5" w:rsidRPr="00A4047A">
        <w:rPr>
          <w:sz w:val="24"/>
          <w:szCs w:val="24"/>
          <w:lang w:val="en-GB"/>
        </w:rPr>
        <w:t xml:space="preserve"> </w:t>
      </w:r>
      <w:proofErr w:type="gramStart"/>
      <w:r w:rsidR="00F61CE5" w:rsidRPr="00A4047A">
        <w:rPr>
          <w:sz w:val="24"/>
          <w:szCs w:val="24"/>
          <w:lang w:val="en-GB"/>
        </w:rPr>
        <w:t>Richard Moritz Meyer (</w:t>
      </w:r>
      <w:r w:rsidR="00F61CE5" w:rsidRPr="0015372A">
        <w:rPr>
          <w:rStyle w:val="bleuital"/>
        </w:rPr>
        <w:t>Goethe</w:t>
      </w:r>
      <w:r w:rsidR="00F61CE5" w:rsidRPr="00A4047A">
        <w:rPr>
          <w:sz w:val="24"/>
          <w:szCs w:val="24"/>
          <w:lang w:val="en-GB"/>
        </w:rPr>
        <w:t>, 1894), Erich Schmidt (</w:t>
      </w:r>
      <w:proofErr w:type="spellStart"/>
      <w:r w:rsidR="00F61CE5" w:rsidRPr="0015372A">
        <w:rPr>
          <w:rStyle w:val="bleuital"/>
        </w:rPr>
        <w:t>Goethe’s</w:t>
      </w:r>
      <w:proofErr w:type="spellEnd"/>
      <w:r w:rsidR="00F61CE5" w:rsidRPr="0015372A">
        <w:rPr>
          <w:rStyle w:val="bleuital"/>
        </w:rPr>
        <w:t xml:space="preserve"> Faust in </w:t>
      </w:r>
      <w:proofErr w:type="spellStart"/>
      <w:r w:rsidR="00F61CE5" w:rsidRPr="0015372A">
        <w:rPr>
          <w:rStyle w:val="bleuital"/>
        </w:rPr>
        <w:t>ursprunglicher</w:t>
      </w:r>
      <w:proofErr w:type="spellEnd"/>
      <w:r w:rsidR="00F61CE5" w:rsidRPr="0015372A">
        <w:rPr>
          <w:rStyle w:val="bleuital"/>
        </w:rPr>
        <w:t xml:space="preserve"> Gestalt, </w:t>
      </w:r>
      <w:r w:rsidR="00F61CE5" w:rsidRPr="00A4047A">
        <w:rPr>
          <w:sz w:val="24"/>
          <w:szCs w:val="24"/>
          <w:lang w:val="de-DE"/>
        </w:rPr>
        <w:t>3</w:t>
      </w:r>
      <w:r w:rsidR="00F61CE5" w:rsidRPr="00A4047A">
        <w:rPr>
          <w:sz w:val="24"/>
          <w:szCs w:val="24"/>
          <w:vertAlign w:val="superscript"/>
          <w:lang w:val="de-DE"/>
        </w:rPr>
        <w:t>ter</w:t>
      </w:r>
      <w:r w:rsidR="00F61CE5" w:rsidRPr="00A4047A">
        <w:rPr>
          <w:sz w:val="24"/>
          <w:szCs w:val="24"/>
          <w:lang w:val="de-DE"/>
        </w:rPr>
        <w:t>. Abdruck, Weimar, 1894), Karl Heinemann (</w:t>
      </w:r>
      <w:r w:rsidR="00F61CE5" w:rsidRPr="0015372A">
        <w:rPr>
          <w:rStyle w:val="bleuital"/>
        </w:rPr>
        <w:t>Goethe</w:t>
      </w:r>
      <w:r w:rsidR="00F61CE5" w:rsidRPr="00A4047A">
        <w:rPr>
          <w:sz w:val="24"/>
          <w:szCs w:val="24"/>
          <w:lang w:val="de-DE"/>
        </w:rPr>
        <w:t xml:space="preserve">, 1895), Albert </w:t>
      </w:r>
      <w:proofErr w:type="spellStart"/>
      <w:r w:rsidR="00F61CE5" w:rsidRPr="00A4047A">
        <w:rPr>
          <w:sz w:val="24"/>
          <w:szCs w:val="24"/>
          <w:lang w:val="de-DE"/>
        </w:rPr>
        <w:t>Bielchowsky</w:t>
      </w:r>
      <w:proofErr w:type="spellEnd"/>
      <w:r w:rsidR="00F61CE5" w:rsidRPr="00A4047A">
        <w:rPr>
          <w:sz w:val="24"/>
          <w:szCs w:val="24"/>
          <w:lang w:val="de-DE"/>
        </w:rPr>
        <w:t xml:space="preserve"> (</w:t>
      </w:r>
      <w:r w:rsidR="00F61CE5" w:rsidRPr="0015372A">
        <w:rPr>
          <w:rStyle w:val="bleuital"/>
        </w:rPr>
        <w:t>Goethe.</w:t>
      </w:r>
      <w:proofErr w:type="gramEnd"/>
      <w:r w:rsidR="00F61CE5" w:rsidRPr="0015372A">
        <w:rPr>
          <w:rStyle w:val="bleuital"/>
        </w:rPr>
        <w:t xml:space="preserve"> Sein Leben und sein </w:t>
      </w:r>
      <w:proofErr w:type="spellStart"/>
      <w:r w:rsidR="00F61CE5" w:rsidRPr="0015372A">
        <w:rPr>
          <w:rStyle w:val="bleuital"/>
        </w:rPr>
        <w:t>werke</w:t>
      </w:r>
      <w:proofErr w:type="spellEnd"/>
      <w:r w:rsidR="00F61CE5" w:rsidRPr="00A4047A">
        <w:rPr>
          <w:sz w:val="24"/>
          <w:szCs w:val="24"/>
          <w:lang w:val="de-DE"/>
        </w:rPr>
        <w:t>, 1895-1903), Hermann Grimm (</w:t>
      </w:r>
      <w:proofErr w:type="spellStart"/>
      <w:r w:rsidR="00F61CE5" w:rsidRPr="00A4047A">
        <w:rPr>
          <w:sz w:val="24"/>
          <w:szCs w:val="24"/>
          <w:lang w:val="de-DE"/>
        </w:rPr>
        <w:t>conférences</w:t>
      </w:r>
      <w:proofErr w:type="spellEnd"/>
      <w:r w:rsidR="00F61CE5" w:rsidRPr="00A4047A">
        <w:rPr>
          <w:sz w:val="24"/>
          <w:szCs w:val="24"/>
          <w:lang w:val="de-DE"/>
        </w:rPr>
        <w:t xml:space="preserve"> </w:t>
      </w:r>
      <w:proofErr w:type="spellStart"/>
      <w:r w:rsidR="00F61CE5" w:rsidRPr="00A4047A">
        <w:rPr>
          <w:sz w:val="24"/>
          <w:szCs w:val="24"/>
          <w:lang w:val="de-DE"/>
        </w:rPr>
        <w:t>tenues</w:t>
      </w:r>
      <w:proofErr w:type="spellEnd"/>
      <w:r w:rsidR="00F61CE5" w:rsidRPr="00A4047A">
        <w:rPr>
          <w:sz w:val="24"/>
          <w:szCs w:val="24"/>
          <w:lang w:val="de-DE"/>
        </w:rPr>
        <w:t xml:space="preserve"> à </w:t>
      </w:r>
      <w:proofErr w:type="spellStart"/>
      <w:r w:rsidR="00F61CE5" w:rsidRPr="00A4047A">
        <w:rPr>
          <w:sz w:val="24"/>
          <w:szCs w:val="24"/>
          <w:lang w:val="de-DE"/>
        </w:rPr>
        <w:t>l’Université</w:t>
      </w:r>
      <w:proofErr w:type="spellEnd"/>
      <w:r w:rsidR="00F61CE5" w:rsidRPr="00A4047A">
        <w:rPr>
          <w:sz w:val="24"/>
          <w:szCs w:val="24"/>
          <w:lang w:val="de-DE"/>
        </w:rPr>
        <w:t xml:space="preserve"> de Berlin </w:t>
      </w:r>
      <w:proofErr w:type="spellStart"/>
      <w:r w:rsidR="00F61CE5" w:rsidRPr="00A4047A">
        <w:rPr>
          <w:sz w:val="24"/>
          <w:szCs w:val="24"/>
          <w:lang w:val="de-DE"/>
        </w:rPr>
        <w:t>dans</w:t>
      </w:r>
      <w:proofErr w:type="spellEnd"/>
      <w:r w:rsidR="00F61CE5" w:rsidRPr="00A4047A">
        <w:rPr>
          <w:sz w:val="24"/>
          <w:szCs w:val="24"/>
          <w:lang w:val="de-DE"/>
        </w:rPr>
        <w:t xml:space="preserve"> la </w:t>
      </w:r>
      <w:proofErr w:type="spellStart"/>
      <w:r w:rsidR="00F61CE5" w:rsidRPr="00A4047A">
        <w:rPr>
          <w:sz w:val="24"/>
          <w:szCs w:val="24"/>
          <w:lang w:val="de-DE"/>
        </w:rPr>
        <w:t>décennie</w:t>
      </w:r>
      <w:proofErr w:type="spellEnd"/>
      <w:r w:rsidR="00F61CE5" w:rsidRPr="00A4047A">
        <w:rPr>
          <w:sz w:val="24"/>
          <w:szCs w:val="24"/>
          <w:lang w:val="de-DE"/>
        </w:rPr>
        <w:t xml:space="preserve"> 1880, </w:t>
      </w:r>
      <w:proofErr w:type="spellStart"/>
      <w:r w:rsidR="00F61CE5" w:rsidRPr="00A4047A">
        <w:rPr>
          <w:sz w:val="24"/>
          <w:szCs w:val="24"/>
          <w:lang w:val="de-DE"/>
        </w:rPr>
        <w:t>rassemblées</w:t>
      </w:r>
      <w:proofErr w:type="spellEnd"/>
      <w:r w:rsidR="00F61CE5" w:rsidRPr="00A4047A">
        <w:rPr>
          <w:sz w:val="24"/>
          <w:szCs w:val="24"/>
          <w:lang w:val="de-DE"/>
        </w:rPr>
        <w:t xml:space="preserve"> </w:t>
      </w:r>
      <w:proofErr w:type="spellStart"/>
      <w:r w:rsidR="00F61CE5" w:rsidRPr="00A4047A">
        <w:rPr>
          <w:sz w:val="24"/>
          <w:szCs w:val="24"/>
          <w:lang w:val="de-DE"/>
        </w:rPr>
        <w:t>dans</w:t>
      </w:r>
      <w:proofErr w:type="spellEnd"/>
      <w:r w:rsidR="00F61CE5" w:rsidRPr="00A4047A">
        <w:rPr>
          <w:sz w:val="24"/>
          <w:szCs w:val="24"/>
          <w:lang w:val="de-DE"/>
        </w:rPr>
        <w:t xml:space="preserve"> </w:t>
      </w:r>
      <w:r w:rsidR="00F61CE5" w:rsidRPr="0015372A">
        <w:rPr>
          <w:rStyle w:val="bleuital"/>
        </w:rPr>
        <w:t xml:space="preserve">Goethe et </w:t>
      </w:r>
      <w:proofErr w:type="spellStart"/>
      <w:r w:rsidR="00F61CE5" w:rsidRPr="0015372A">
        <w:rPr>
          <w:rStyle w:val="bleuital"/>
        </w:rPr>
        <w:t>son</w:t>
      </w:r>
      <w:proofErr w:type="spellEnd"/>
      <w:r w:rsidR="00F61CE5" w:rsidRPr="0015372A">
        <w:rPr>
          <w:rStyle w:val="bleuital"/>
        </w:rPr>
        <w:t xml:space="preserve"> </w:t>
      </w:r>
      <w:proofErr w:type="spellStart"/>
      <w:r w:rsidR="00F61CE5" w:rsidRPr="0015372A">
        <w:rPr>
          <w:rStyle w:val="bleuital"/>
        </w:rPr>
        <w:t>temps</w:t>
      </w:r>
      <w:proofErr w:type="spellEnd"/>
      <w:r w:rsidR="00F61CE5" w:rsidRPr="00A4047A">
        <w:rPr>
          <w:sz w:val="24"/>
          <w:szCs w:val="24"/>
          <w:lang w:val="de-DE"/>
        </w:rPr>
        <w:t xml:space="preserve">, </w:t>
      </w:r>
      <w:proofErr w:type="spellStart"/>
      <w:r w:rsidR="00F61CE5" w:rsidRPr="00A4047A">
        <w:rPr>
          <w:sz w:val="24"/>
          <w:szCs w:val="24"/>
          <w:lang w:val="de-DE"/>
        </w:rPr>
        <w:t>publié</w:t>
      </w:r>
      <w:proofErr w:type="spellEnd"/>
      <w:r w:rsidR="00F61CE5" w:rsidRPr="00A4047A">
        <w:rPr>
          <w:sz w:val="24"/>
          <w:szCs w:val="24"/>
          <w:lang w:val="de-DE"/>
        </w:rPr>
        <w:t xml:space="preserve"> de </w:t>
      </w:r>
      <w:proofErr w:type="spellStart"/>
      <w:r w:rsidR="00F61CE5" w:rsidRPr="00A4047A">
        <w:rPr>
          <w:sz w:val="24"/>
          <w:szCs w:val="24"/>
          <w:lang w:val="de-DE"/>
        </w:rPr>
        <w:t>manière</w:t>
      </w:r>
      <w:proofErr w:type="spellEnd"/>
      <w:r w:rsidR="00F61CE5" w:rsidRPr="00A4047A">
        <w:rPr>
          <w:sz w:val="24"/>
          <w:szCs w:val="24"/>
          <w:lang w:val="de-DE"/>
        </w:rPr>
        <w:t xml:space="preserve"> posthume, </w:t>
      </w:r>
      <w:proofErr w:type="spellStart"/>
      <w:r w:rsidR="00F61CE5" w:rsidRPr="00A4047A">
        <w:rPr>
          <w:sz w:val="24"/>
          <w:szCs w:val="24"/>
          <w:lang w:val="de-DE"/>
        </w:rPr>
        <w:t>Payot</w:t>
      </w:r>
      <w:proofErr w:type="spellEnd"/>
      <w:r w:rsidR="00F61CE5" w:rsidRPr="00A4047A">
        <w:rPr>
          <w:sz w:val="24"/>
          <w:szCs w:val="24"/>
          <w:lang w:val="de-DE"/>
        </w:rPr>
        <w:t xml:space="preserve">, 1937 ; </w:t>
      </w:r>
      <w:r w:rsidR="00F61CE5" w:rsidRPr="0015372A">
        <w:rPr>
          <w:rStyle w:val="bleuital"/>
        </w:rPr>
        <w:t xml:space="preserve">Goethe en </w:t>
      </w:r>
      <w:proofErr w:type="spellStart"/>
      <w:r w:rsidR="00F61CE5" w:rsidRPr="0015372A">
        <w:rPr>
          <w:rStyle w:val="bleuital"/>
        </w:rPr>
        <w:t>Italie</w:t>
      </w:r>
      <w:proofErr w:type="spellEnd"/>
      <w:r w:rsidR="00F61CE5" w:rsidRPr="00A4047A">
        <w:rPr>
          <w:sz w:val="24"/>
          <w:szCs w:val="24"/>
          <w:lang w:val="de-DE"/>
        </w:rPr>
        <w:t xml:space="preserve">, 1861), Théophile </w:t>
      </w:r>
      <w:proofErr w:type="spellStart"/>
      <w:r w:rsidR="00F61CE5" w:rsidRPr="00A4047A">
        <w:rPr>
          <w:sz w:val="24"/>
          <w:szCs w:val="24"/>
          <w:lang w:val="de-DE"/>
        </w:rPr>
        <w:t>Cart</w:t>
      </w:r>
      <w:proofErr w:type="spellEnd"/>
      <w:r w:rsidR="00F61CE5" w:rsidRPr="00A4047A">
        <w:rPr>
          <w:sz w:val="24"/>
          <w:szCs w:val="24"/>
          <w:lang w:val="de-DE"/>
        </w:rPr>
        <w:t xml:space="preserve"> (</w:t>
      </w:r>
      <w:r w:rsidR="00F61CE5" w:rsidRPr="0015372A">
        <w:rPr>
          <w:rStyle w:val="bleuital"/>
        </w:rPr>
        <w:t xml:space="preserve">Goethe en </w:t>
      </w:r>
      <w:proofErr w:type="spellStart"/>
      <w:r w:rsidR="00F61CE5" w:rsidRPr="0015372A">
        <w:rPr>
          <w:rStyle w:val="bleuital"/>
        </w:rPr>
        <w:t>Italie</w:t>
      </w:r>
      <w:proofErr w:type="spellEnd"/>
      <w:r w:rsidR="00F61CE5" w:rsidRPr="00A4047A">
        <w:rPr>
          <w:sz w:val="24"/>
          <w:szCs w:val="24"/>
          <w:lang w:val="de-DE"/>
        </w:rPr>
        <w:t xml:space="preserve">, Paris, 1881), Ernest </w:t>
      </w:r>
      <w:proofErr w:type="spellStart"/>
      <w:r w:rsidR="00F61CE5" w:rsidRPr="00A4047A">
        <w:rPr>
          <w:sz w:val="24"/>
          <w:szCs w:val="24"/>
          <w:lang w:val="de-DE"/>
        </w:rPr>
        <w:t>Faligan</w:t>
      </w:r>
      <w:proofErr w:type="spellEnd"/>
      <w:r w:rsidR="00F61CE5" w:rsidRPr="00A4047A">
        <w:rPr>
          <w:sz w:val="24"/>
          <w:szCs w:val="24"/>
          <w:lang w:val="de-DE"/>
        </w:rPr>
        <w:t xml:space="preserve"> (</w:t>
      </w:r>
      <w:proofErr w:type="spellStart"/>
      <w:r w:rsidR="00F61CE5" w:rsidRPr="00A4047A">
        <w:rPr>
          <w:sz w:val="24"/>
          <w:szCs w:val="24"/>
          <w:lang w:val="de-DE"/>
        </w:rPr>
        <w:t>Histoire</w:t>
      </w:r>
      <w:proofErr w:type="spellEnd"/>
      <w:r w:rsidR="00F61CE5" w:rsidRPr="00A4047A">
        <w:rPr>
          <w:sz w:val="24"/>
          <w:szCs w:val="24"/>
          <w:lang w:val="de-DE"/>
        </w:rPr>
        <w:t xml:space="preserve"> de la </w:t>
      </w:r>
      <w:proofErr w:type="spellStart"/>
      <w:r w:rsidR="00F61CE5" w:rsidRPr="00A4047A">
        <w:rPr>
          <w:sz w:val="24"/>
          <w:szCs w:val="24"/>
          <w:lang w:val="de-DE"/>
        </w:rPr>
        <w:t>légende</w:t>
      </w:r>
      <w:proofErr w:type="spellEnd"/>
      <w:r w:rsidR="00F61CE5" w:rsidRPr="00A4047A">
        <w:rPr>
          <w:sz w:val="24"/>
          <w:szCs w:val="24"/>
          <w:lang w:val="de-DE"/>
        </w:rPr>
        <w:t xml:space="preserve"> de Faust, 1888), Kuno Fischer (</w:t>
      </w:r>
      <w:proofErr w:type="spellStart"/>
      <w:r w:rsidR="00F61CE5" w:rsidRPr="0015372A">
        <w:rPr>
          <w:rStyle w:val="bleuital"/>
        </w:rPr>
        <w:t>Goethe’s</w:t>
      </w:r>
      <w:proofErr w:type="spellEnd"/>
      <w:r w:rsidR="00F61CE5" w:rsidRPr="0015372A">
        <w:rPr>
          <w:rStyle w:val="bleuital"/>
        </w:rPr>
        <w:t xml:space="preserve"> Tasse,</w:t>
      </w:r>
      <w:r w:rsidR="00F61CE5" w:rsidRPr="00A4047A">
        <w:rPr>
          <w:sz w:val="24"/>
          <w:szCs w:val="24"/>
          <w:lang w:val="de-DE"/>
        </w:rPr>
        <w:t xml:space="preserve"> 1890, </w:t>
      </w:r>
      <w:proofErr w:type="spellStart"/>
      <w:r w:rsidR="00F61CE5" w:rsidRPr="0015372A">
        <w:rPr>
          <w:rStyle w:val="bleuital"/>
        </w:rPr>
        <w:t>Goethe's</w:t>
      </w:r>
      <w:proofErr w:type="spellEnd"/>
      <w:r w:rsidR="00F61CE5" w:rsidRPr="0015372A">
        <w:rPr>
          <w:rStyle w:val="bleuital"/>
        </w:rPr>
        <w:t xml:space="preserve"> Faust nach seiner Entstehung, Idee </w:t>
      </w:r>
      <w:proofErr w:type="spellStart"/>
      <w:r w:rsidR="00F61CE5" w:rsidRPr="0015372A">
        <w:rPr>
          <w:rStyle w:val="bleuital"/>
        </w:rPr>
        <w:t>and</w:t>
      </w:r>
      <w:proofErr w:type="spellEnd"/>
      <w:r w:rsidR="00F61CE5" w:rsidRPr="0015372A">
        <w:rPr>
          <w:rStyle w:val="bleuital"/>
        </w:rPr>
        <w:t xml:space="preserve"> </w:t>
      </w:r>
      <w:proofErr w:type="spellStart"/>
      <w:r w:rsidR="00F61CE5" w:rsidRPr="0015372A">
        <w:rPr>
          <w:rStyle w:val="bleuital"/>
        </w:rPr>
        <w:t>Composition</w:t>
      </w:r>
      <w:proofErr w:type="spellEnd"/>
      <w:r w:rsidR="00F61CE5" w:rsidRPr="00A4047A">
        <w:rPr>
          <w:sz w:val="24"/>
          <w:szCs w:val="24"/>
          <w:lang w:val="de-DE"/>
        </w:rPr>
        <w:t>, 3</w:t>
      </w:r>
      <w:r w:rsidR="00F61CE5" w:rsidRPr="00A4047A">
        <w:rPr>
          <w:sz w:val="24"/>
          <w:szCs w:val="24"/>
          <w:vertAlign w:val="superscript"/>
          <w:lang w:val="de-DE"/>
        </w:rPr>
        <w:t>e</w:t>
      </w:r>
      <w:r w:rsidR="00F61CE5" w:rsidRPr="00A4047A">
        <w:rPr>
          <w:sz w:val="24"/>
          <w:szCs w:val="24"/>
          <w:lang w:val="de-DE"/>
        </w:rPr>
        <w:t xml:space="preserve"> </w:t>
      </w:r>
      <w:proofErr w:type="spellStart"/>
      <w:r w:rsidR="00F61CE5" w:rsidRPr="00A4047A">
        <w:rPr>
          <w:sz w:val="24"/>
          <w:szCs w:val="24"/>
          <w:lang w:val="de-DE"/>
        </w:rPr>
        <w:t>éd</w:t>
      </w:r>
      <w:proofErr w:type="spellEnd"/>
      <w:r w:rsidR="00F61CE5" w:rsidRPr="00A4047A">
        <w:rPr>
          <w:sz w:val="24"/>
          <w:szCs w:val="24"/>
          <w:lang w:val="de-DE"/>
        </w:rPr>
        <w:t xml:space="preserve"> Stuttgart, 1893), F. Kern (</w:t>
      </w:r>
      <w:proofErr w:type="spellStart"/>
      <w:r w:rsidR="00F61CE5" w:rsidRPr="0015372A">
        <w:rPr>
          <w:rStyle w:val="bleuital"/>
        </w:rPr>
        <w:t>Goethe’s</w:t>
      </w:r>
      <w:proofErr w:type="spellEnd"/>
      <w:r w:rsidR="00F61CE5" w:rsidRPr="0015372A">
        <w:rPr>
          <w:rStyle w:val="bleuital"/>
        </w:rPr>
        <w:t xml:space="preserve"> Tasso und Kuno Fischer, </w:t>
      </w:r>
      <w:r w:rsidR="00F61CE5" w:rsidRPr="00A4047A">
        <w:rPr>
          <w:iCs/>
          <w:sz w:val="24"/>
          <w:szCs w:val="24"/>
          <w:lang w:val="de-DE"/>
        </w:rPr>
        <w:t>Berlin, 1892)</w:t>
      </w:r>
      <w:r w:rsidR="00F61CE5" w:rsidRPr="00A4047A">
        <w:rPr>
          <w:sz w:val="24"/>
          <w:szCs w:val="24"/>
          <w:lang w:val="de-DE"/>
        </w:rPr>
        <w:t>, W. Buchner (</w:t>
      </w:r>
      <w:r w:rsidR="00F61CE5" w:rsidRPr="0015372A">
        <w:rPr>
          <w:rStyle w:val="bleuital"/>
        </w:rPr>
        <w:t xml:space="preserve">Selbsterlebtes in </w:t>
      </w:r>
      <w:proofErr w:type="spellStart"/>
      <w:r w:rsidR="00F61CE5" w:rsidRPr="0015372A">
        <w:rPr>
          <w:rStyle w:val="bleuital"/>
        </w:rPr>
        <w:t>Gœthe’s</w:t>
      </w:r>
      <w:proofErr w:type="spellEnd"/>
      <w:r w:rsidR="00F61CE5" w:rsidRPr="0015372A">
        <w:rPr>
          <w:rStyle w:val="bleuital"/>
        </w:rPr>
        <w:t xml:space="preserve"> Tasso, </w:t>
      </w:r>
      <w:r w:rsidR="00F61CE5" w:rsidRPr="00A4047A">
        <w:rPr>
          <w:sz w:val="24"/>
          <w:szCs w:val="24"/>
          <w:lang w:val="de-DE"/>
        </w:rPr>
        <w:t xml:space="preserve">in </w:t>
      </w:r>
      <w:r w:rsidR="00F61CE5" w:rsidRPr="0015372A">
        <w:rPr>
          <w:rStyle w:val="bleuital"/>
        </w:rPr>
        <w:t xml:space="preserve">Goethe-Jahrbuch, </w:t>
      </w:r>
      <w:r w:rsidR="00F61CE5" w:rsidRPr="00A4047A">
        <w:rPr>
          <w:sz w:val="24"/>
          <w:szCs w:val="24"/>
          <w:lang w:val="de-DE"/>
        </w:rPr>
        <w:t>1894), ), Édouard Dowden (</w:t>
      </w:r>
      <w:r w:rsidR="00F61CE5" w:rsidRPr="0015372A">
        <w:rPr>
          <w:rStyle w:val="bleuital"/>
        </w:rPr>
        <w:t xml:space="preserve">New Studies in </w:t>
      </w:r>
      <w:proofErr w:type="spellStart"/>
      <w:r w:rsidR="00F61CE5" w:rsidRPr="0015372A">
        <w:rPr>
          <w:rStyle w:val="bleuital"/>
        </w:rPr>
        <w:t>litterature</w:t>
      </w:r>
      <w:proofErr w:type="spellEnd"/>
      <w:r w:rsidR="00F61CE5" w:rsidRPr="00A4047A">
        <w:rPr>
          <w:sz w:val="24"/>
          <w:szCs w:val="24"/>
          <w:lang w:val="de-DE"/>
        </w:rPr>
        <w:t>, 1895).</w:t>
      </w:r>
    </w:p>
    <w:p w:rsidR="00F61CE5" w:rsidRPr="00A4047A" w:rsidRDefault="00A4047A" w:rsidP="00F61CE5">
      <w:pPr>
        <w:pStyle w:val="Notedebasdepage"/>
        <w:rPr>
          <w:sz w:val="24"/>
          <w:szCs w:val="24"/>
        </w:rPr>
      </w:pPr>
      <w:r w:rsidRPr="00A4047A">
        <w:rPr>
          <w:rStyle w:val="Appelnotedebasdep"/>
          <w:sz w:val="24"/>
          <w:szCs w:val="24"/>
          <w:vertAlign w:val="baseline"/>
        </w:rPr>
        <w:t>$</w:t>
      </w:r>
      <w:r>
        <w:rPr>
          <w:sz w:val="24"/>
          <w:szCs w:val="24"/>
        </w:rPr>
        <w:t>22</w:t>
      </w:r>
      <w:r w:rsidRPr="00A4047A">
        <w:rPr>
          <w:rStyle w:val="Appelnotedebasdep"/>
          <w:sz w:val="24"/>
          <w:szCs w:val="24"/>
          <w:vertAlign w:val="baseline"/>
        </w:rPr>
        <w:t>$</w:t>
      </w:r>
      <w:r w:rsidR="00F61CE5" w:rsidRPr="00A4047A">
        <w:rPr>
          <w:sz w:val="24"/>
          <w:szCs w:val="24"/>
        </w:rPr>
        <w:t xml:space="preserve"> </w:t>
      </w:r>
      <w:r w:rsidR="00941CEC">
        <w:rPr>
          <w:sz w:val="24"/>
          <w:szCs w:val="24"/>
        </w:rPr>
        <w:t>P. </w:t>
      </w:r>
      <w:r w:rsidR="00F61CE5" w:rsidRPr="00A4047A">
        <w:rPr>
          <w:sz w:val="24"/>
          <w:szCs w:val="24"/>
        </w:rPr>
        <w:t xml:space="preserve">286, éd. Perrin. </w:t>
      </w:r>
    </w:p>
    <w:p w:rsidR="002E43BD" w:rsidRPr="00A4047A" w:rsidRDefault="00A4047A">
      <w:pPr>
        <w:rPr>
          <w:sz w:val="24"/>
        </w:rPr>
      </w:pPr>
      <w:r w:rsidRPr="00A4047A">
        <w:rPr>
          <w:rStyle w:val="Appelnotedebasdep"/>
          <w:sz w:val="24"/>
          <w:vertAlign w:val="baseline"/>
        </w:rPr>
        <w:t>$</w:t>
      </w:r>
      <w:r>
        <w:rPr>
          <w:sz w:val="24"/>
        </w:rPr>
        <w:t>23</w:t>
      </w:r>
      <w:r w:rsidRPr="00A4047A">
        <w:rPr>
          <w:rStyle w:val="Appelnotedebasdep"/>
          <w:sz w:val="24"/>
          <w:vertAlign w:val="baseline"/>
        </w:rPr>
        <w:t>$</w:t>
      </w:r>
      <w:r w:rsidR="00F61CE5" w:rsidRPr="00A4047A">
        <w:rPr>
          <w:sz w:val="24"/>
        </w:rPr>
        <w:t xml:space="preserve"> Rod nourrissait des liens d’amitié avec Perrin, à qui</w:t>
      </w:r>
      <w:r>
        <w:rPr>
          <w:sz w:val="24"/>
        </w:rPr>
        <w:t xml:space="preserve"> il dédie d’ailleurs l’ouvrage.</w:t>
      </w:r>
    </w:p>
    <w:sectPr w:rsidR="002E43BD" w:rsidRPr="00A404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E5"/>
    <w:rsid w:val="0015372A"/>
    <w:rsid w:val="002E43BD"/>
    <w:rsid w:val="00941CEC"/>
    <w:rsid w:val="00A4047A"/>
    <w:rsid w:val="00B77E77"/>
    <w:rsid w:val="00B961BF"/>
    <w:rsid w:val="00D01CCD"/>
    <w:rsid w:val="00D5781A"/>
    <w:rsid w:val="00E20B05"/>
    <w:rsid w:val="00F61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61CE5"/>
    <w:pPr>
      <w:widowControl w:val="0"/>
      <w:autoSpaceDN w:val="0"/>
      <w:adjustRightInd w:val="0"/>
      <w:spacing w:after="0" w:line="360" w:lineRule="auto"/>
      <w:jc w:val="both"/>
    </w:pPr>
    <w:rPr>
      <w:rFonts w:ascii="Times New Roman" w:eastAsia="Times New Roman" w:hAnsi="Times New Roman" w:cs="Times New Roman"/>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aliases w:val="Citationrouge"/>
    <w:basedOn w:val="Normal"/>
    <w:next w:val="Normal"/>
    <w:link w:val="CitationCar"/>
    <w:uiPriority w:val="29"/>
    <w:qFormat/>
    <w:rsid w:val="00D01CCD"/>
    <w:pPr>
      <w:suppressAutoHyphens/>
      <w:autoSpaceDN/>
      <w:adjustRightInd/>
      <w:spacing w:line="240" w:lineRule="auto"/>
      <w:jc w:val="left"/>
    </w:pPr>
    <w:rPr>
      <w:rFonts w:asciiTheme="minorHAnsi" w:eastAsia="SimSun" w:hAnsiTheme="minorHAnsi" w:cs="Mangal"/>
      <w:iCs/>
      <w:color w:val="FF0000"/>
      <w:kern w:val="1"/>
      <w:szCs w:val="21"/>
      <w:lang w:eastAsia="hi-IN" w:bidi="hi-IN"/>
    </w:rPr>
  </w:style>
  <w:style w:type="character" w:customStyle="1" w:styleId="CitationCar">
    <w:name w:val="Citation Car"/>
    <w:aliases w:val="Citationrouge Car"/>
    <w:basedOn w:val="Policepardfaut"/>
    <w:link w:val="Citation"/>
    <w:uiPriority w:val="29"/>
    <w:rsid w:val="00D01CCD"/>
    <w:rPr>
      <w:rFonts w:eastAsia="SimSun" w:cs="Mangal"/>
      <w:iCs/>
      <w:color w:val="FF0000"/>
      <w:kern w:val="1"/>
      <w:szCs w:val="21"/>
      <w:lang w:eastAsia="hi-IN" w:bidi="hi-IN"/>
    </w:rPr>
  </w:style>
  <w:style w:type="paragraph" w:customStyle="1" w:styleId="StyleGras">
    <w:name w:val="Style Gras"/>
    <w:basedOn w:val="Corpsdetexte"/>
    <w:rsid w:val="00E20B05"/>
    <w:pPr>
      <w:widowControl w:val="0"/>
      <w:tabs>
        <w:tab w:val="left" w:pos="851"/>
        <w:tab w:val="left" w:pos="1680"/>
        <w:tab w:val="left" w:pos="2440"/>
        <w:tab w:val="left" w:pos="3160"/>
        <w:tab w:val="left" w:pos="5898"/>
        <w:tab w:val="left" w:pos="8057"/>
      </w:tabs>
      <w:suppressAutoHyphens/>
      <w:autoSpaceDN w:val="0"/>
      <w:adjustRightInd w:val="0"/>
      <w:spacing w:after="100" w:line="240" w:lineRule="auto"/>
      <w:ind w:left="1134"/>
      <w:jc w:val="both"/>
    </w:pPr>
    <w:rPr>
      <w:rFonts w:ascii="Times New Roman" w:eastAsia="Times New Roman" w:hAnsi="Times New Roman" w:cs="Times New Roman"/>
      <w:b/>
      <w:bCs/>
      <w:sz w:val="20"/>
      <w:szCs w:val="24"/>
      <w:lang w:eastAsia="fr-FR"/>
    </w:rPr>
  </w:style>
  <w:style w:type="paragraph" w:styleId="Corpsdetexte">
    <w:name w:val="Body Text"/>
    <w:basedOn w:val="Normal"/>
    <w:link w:val="CorpsdetexteCar"/>
    <w:uiPriority w:val="99"/>
    <w:semiHidden/>
    <w:unhideWhenUsed/>
    <w:rsid w:val="00E20B05"/>
    <w:pPr>
      <w:widowControl/>
      <w:autoSpaceDN/>
      <w:adjustRightInd/>
      <w:spacing w:after="120" w:line="276" w:lineRule="auto"/>
      <w:jc w:val="left"/>
    </w:pPr>
    <w:rPr>
      <w:rFonts w:asciiTheme="minorHAnsi" w:eastAsiaTheme="minorHAnsi" w:hAnsiTheme="minorHAnsi" w:cstheme="minorBidi"/>
      <w:szCs w:val="22"/>
      <w:lang w:eastAsia="en-US"/>
    </w:rPr>
  </w:style>
  <w:style w:type="character" w:customStyle="1" w:styleId="CorpsdetexteCar">
    <w:name w:val="Corps de texte Car"/>
    <w:basedOn w:val="Policepardfaut"/>
    <w:link w:val="Corpsdetexte"/>
    <w:uiPriority w:val="99"/>
    <w:semiHidden/>
    <w:rsid w:val="00E20B05"/>
  </w:style>
  <w:style w:type="paragraph" w:styleId="Notedebasdepage">
    <w:name w:val="footnote text"/>
    <w:basedOn w:val="Normal"/>
    <w:link w:val="NotedebasdepageCar"/>
    <w:autoRedefine/>
    <w:semiHidden/>
    <w:rsid w:val="00F61CE5"/>
    <w:pPr>
      <w:tabs>
        <w:tab w:val="left" w:pos="709"/>
        <w:tab w:val="left" w:pos="2127"/>
      </w:tabs>
      <w:spacing w:after="20" w:line="240" w:lineRule="auto"/>
      <w:ind w:left="470" w:hanging="357"/>
    </w:pPr>
    <w:rPr>
      <w:sz w:val="18"/>
      <w:szCs w:val="20"/>
      <w:lang w:val="fr-CH"/>
    </w:rPr>
  </w:style>
  <w:style w:type="character" w:customStyle="1" w:styleId="NotedebasdepageCar">
    <w:name w:val="Note de bas de page Car"/>
    <w:basedOn w:val="Policepardfaut"/>
    <w:link w:val="Notedebasdepage"/>
    <w:semiHidden/>
    <w:rsid w:val="00F61CE5"/>
    <w:rPr>
      <w:rFonts w:ascii="Times New Roman" w:eastAsia="Times New Roman" w:hAnsi="Times New Roman" w:cs="Times New Roman"/>
      <w:sz w:val="18"/>
      <w:szCs w:val="20"/>
      <w:lang w:val="fr-CH" w:eastAsia="fr-FR"/>
    </w:rPr>
  </w:style>
  <w:style w:type="character" w:styleId="Appelnotedebasdep">
    <w:name w:val="footnote reference"/>
    <w:basedOn w:val="Policepardfaut"/>
    <w:semiHidden/>
    <w:rsid w:val="00F61CE5"/>
    <w:rPr>
      <w:vertAlign w:val="superscript"/>
    </w:rPr>
  </w:style>
  <w:style w:type="character" w:customStyle="1" w:styleId="bleuital">
    <w:name w:val="bleu ital"/>
    <w:basedOn w:val="Policepardfaut"/>
    <w:rsid w:val="0015372A"/>
    <w:rPr>
      <w:rFonts w:ascii="Times New Roman" w:hAnsi="Times New Roman"/>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F61CE5"/>
    <w:pPr>
      <w:widowControl w:val="0"/>
      <w:autoSpaceDN w:val="0"/>
      <w:adjustRightInd w:val="0"/>
      <w:spacing w:after="0" w:line="360" w:lineRule="auto"/>
      <w:jc w:val="both"/>
    </w:pPr>
    <w:rPr>
      <w:rFonts w:ascii="Times New Roman" w:eastAsia="Times New Roman" w:hAnsi="Times New Roman" w:cs="Times New Roman"/>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aliases w:val="Citationrouge"/>
    <w:basedOn w:val="Normal"/>
    <w:next w:val="Normal"/>
    <w:link w:val="CitationCar"/>
    <w:uiPriority w:val="29"/>
    <w:qFormat/>
    <w:rsid w:val="00D01CCD"/>
    <w:pPr>
      <w:suppressAutoHyphens/>
      <w:autoSpaceDN/>
      <w:adjustRightInd/>
      <w:spacing w:line="240" w:lineRule="auto"/>
      <w:jc w:val="left"/>
    </w:pPr>
    <w:rPr>
      <w:rFonts w:asciiTheme="minorHAnsi" w:eastAsia="SimSun" w:hAnsiTheme="minorHAnsi" w:cs="Mangal"/>
      <w:iCs/>
      <w:color w:val="FF0000"/>
      <w:kern w:val="1"/>
      <w:szCs w:val="21"/>
      <w:lang w:eastAsia="hi-IN" w:bidi="hi-IN"/>
    </w:rPr>
  </w:style>
  <w:style w:type="character" w:customStyle="1" w:styleId="CitationCar">
    <w:name w:val="Citation Car"/>
    <w:aliases w:val="Citationrouge Car"/>
    <w:basedOn w:val="Policepardfaut"/>
    <w:link w:val="Citation"/>
    <w:uiPriority w:val="29"/>
    <w:rsid w:val="00D01CCD"/>
    <w:rPr>
      <w:rFonts w:eastAsia="SimSun" w:cs="Mangal"/>
      <w:iCs/>
      <w:color w:val="FF0000"/>
      <w:kern w:val="1"/>
      <w:szCs w:val="21"/>
      <w:lang w:eastAsia="hi-IN" w:bidi="hi-IN"/>
    </w:rPr>
  </w:style>
  <w:style w:type="paragraph" w:customStyle="1" w:styleId="StyleGras">
    <w:name w:val="Style Gras"/>
    <w:basedOn w:val="Corpsdetexte"/>
    <w:rsid w:val="00E20B05"/>
    <w:pPr>
      <w:widowControl w:val="0"/>
      <w:tabs>
        <w:tab w:val="left" w:pos="851"/>
        <w:tab w:val="left" w:pos="1680"/>
        <w:tab w:val="left" w:pos="2440"/>
        <w:tab w:val="left" w:pos="3160"/>
        <w:tab w:val="left" w:pos="5898"/>
        <w:tab w:val="left" w:pos="8057"/>
      </w:tabs>
      <w:suppressAutoHyphens/>
      <w:autoSpaceDN w:val="0"/>
      <w:adjustRightInd w:val="0"/>
      <w:spacing w:after="100" w:line="240" w:lineRule="auto"/>
      <w:ind w:left="1134"/>
      <w:jc w:val="both"/>
    </w:pPr>
    <w:rPr>
      <w:rFonts w:ascii="Times New Roman" w:eastAsia="Times New Roman" w:hAnsi="Times New Roman" w:cs="Times New Roman"/>
      <w:b/>
      <w:bCs/>
      <w:sz w:val="20"/>
      <w:szCs w:val="24"/>
      <w:lang w:eastAsia="fr-FR"/>
    </w:rPr>
  </w:style>
  <w:style w:type="paragraph" w:styleId="Corpsdetexte">
    <w:name w:val="Body Text"/>
    <w:basedOn w:val="Normal"/>
    <w:link w:val="CorpsdetexteCar"/>
    <w:uiPriority w:val="99"/>
    <w:semiHidden/>
    <w:unhideWhenUsed/>
    <w:rsid w:val="00E20B05"/>
    <w:pPr>
      <w:widowControl/>
      <w:autoSpaceDN/>
      <w:adjustRightInd/>
      <w:spacing w:after="120" w:line="276" w:lineRule="auto"/>
      <w:jc w:val="left"/>
    </w:pPr>
    <w:rPr>
      <w:rFonts w:asciiTheme="minorHAnsi" w:eastAsiaTheme="minorHAnsi" w:hAnsiTheme="minorHAnsi" w:cstheme="minorBidi"/>
      <w:szCs w:val="22"/>
      <w:lang w:eastAsia="en-US"/>
    </w:rPr>
  </w:style>
  <w:style w:type="character" w:customStyle="1" w:styleId="CorpsdetexteCar">
    <w:name w:val="Corps de texte Car"/>
    <w:basedOn w:val="Policepardfaut"/>
    <w:link w:val="Corpsdetexte"/>
    <w:uiPriority w:val="99"/>
    <w:semiHidden/>
    <w:rsid w:val="00E20B05"/>
  </w:style>
  <w:style w:type="paragraph" w:styleId="Notedebasdepage">
    <w:name w:val="footnote text"/>
    <w:basedOn w:val="Normal"/>
    <w:link w:val="NotedebasdepageCar"/>
    <w:autoRedefine/>
    <w:semiHidden/>
    <w:rsid w:val="00F61CE5"/>
    <w:pPr>
      <w:tabs>
        <w:tab w:val="left" w:pos="709"/>
        <w:tab w:val="left" w:pos="2127"/>
      </w:tabs>
      <w:spacing w:after="20" w:line="240" w:lineRule="auto"/>
      <w:ind w:left="470" w:hanging="357"/>
    </w:pPr>
    <w:rPr>
      <w:sz w:val="18"/>
      <w:szCs w:val="20"/>
      <w:lang w:val="fr-CH"/>
    </w:rPr>
  </w:style>
  <w:style w:type="character" w:customStyle="1" w:styleId="NotedebasdepageCar">
    <w:name w:val="Note de bas de page Car"/>
    <w:basedOn w:val="Policepardfaut"/>
    <w:link w:val="Notedebasdepage"/>
    <w:semiHidden/>
    <w:rsid w:val="00F61CE5"/>
    <w:rPr>
      <w:rFonts w:ascii="Times New Roman" w:eastAsia="Times New Roman" w:hAnsi="Times New Roman" w:cs="Times New Roman"/>
      <w:sz w:val="18"/>
      <w:szCs w:val="20"/>
      <w:lang w:val="fr-CH" w:eastAsia="fr-FR"/>
    </w:rPr>
  </w:style>
  <w:style w:type="character" w:styleId="Appelnotedebasdep">
    <w:name w:val="footnote reference"/>
    <w:basedOn w:val="Policepardfaut"/>
    <w:semiHidden/>
    <w:rsid w:val="00F61CE5"/>
    <w:rPr>
      <w:vertAlign w:val="superscript"/>
    </w:rPr>
  </w:style>
  <w:style w:type="character" w:customStyle="1" w:styleId="bleuital">
    <w:name w:val="bleu ital"/>
    <w:basedOn w:val="Policepardfaut"/>
    <w:rsid w:val="0015372A"/>
    <w:rPr>
      <w:rFonts w:ascii="Times New Roman" w:hAnsi="Times New Roman"/>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1275</Words>
  <Characters>7015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Universite Paris4 Sorbonne</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Pascale LANGLOIS</dc:creator>
  <cp:keywords/>
  <dc:description/>
  <cp:lastModifiedBy>Pascale LANGLOIS</cp:lastModifiedBy>
  <cp:revision>3</cp:revision>
  <dcterms:created xsi:type="dcterms:W3CDTF">2012-06-12T07:29:00Z</dcterms:created>
  <dcterms:modified xsi:type="dcterms:W3CDTF">2012-06-12T07:31:00Z</dcterms:modified>
</cp:coreProperties>
</file>