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/>
      </w:r>
    </w:p>
    <w:p>
      <w:pPr>
        <w:spacing w:after="360" w:before="0"/>
        <w:jc w:val="center"/>
      </w:pPr>
      <w:r>
        <w:rPr>
          <w:rFonts w:ascii="Times New Roman" w:cs="Times New Roman" w:eastAsia="Times New Roman" w:hAnsi="Times New Roman"/>
          <w:color w:val="5A6774"/>
          <w:sz w:val="28"/>
          <w:szCs w:val="28"/>
        </w:rPr>
        <w:t xml:space="preserve">АВТОРСКИЙ ПЕДАГОГИЧЕСКИЙ ПРОЕКТ</w:t>
      </w:r>
    </w:p>
    <w:p>
      <w:pPr>
        <w:spacing w:after="2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03D7A"/>
          <w:sz w:val="40"/>
          <w:szCs w:val="40"/>
        </w:rPr>
        <w:t xml:space="preserve">ЦИФРОВАЯ ОБРАЗОВАТЕЛЬНАЯ СРЕДА ПРЕДМЕТА ОБЗР</w:t>
      </w:r>
    </w:p>
    <w:p>
      <w:pPr>
        <w:spacing w:after="1800" w:before="0"/>
        <w:jc w:val="center"/>
      </w:pPr>
      <w:r>
        <w:rPr>
          <w:rFonts w:ascii="Times New Roman" w:cs="Times New Roman" w:eastAsia="Times New Roman" w:hAnsi="Times New Roman"/>
          <w:i/>
          <w:iCs/>
          <w:sz w:val="30"/>
          <w:szCs w:val="30"/>
        </w:rPr>
        <w:t xml:space="preserve">Открытый источник проверенного контента для ученика, родителя и коллеги</w:t>
      </w:r>
    </w:p>
    <w:p>
      <w:pPr>
        <w:spacing w:after="60" w:before="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Дёмин Александр Юрьевич</w:t>
      </w:r>
    </w:p>
    <w:p>
      <w:pPr>
        <w:spacing w:after="4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преподаватель-организатор основ безопасности и защиты Родины</w:t>
      </w:r>
    </w:p>
    <w:p>
      <w:pPr>
        <w:spacing w:after="220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МБОУ СШ № 2 г. Лысково Нижегородской области</w:t>
      </w:r>
    </w:p>
    <w:p>
      <w:pPr>
        <w:spacing w:after="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2026</w:t>
      </w:r>
    </w:p>
    <w:p>
      <w:pPr>
        <w:pStyle w:val="Heading1"/>
        <w:keepNext/>
        <w:pageBreakBefore/>
        <w:spacing w:after="200" w:before="0"/>
      </w:pPr>
      <w:r>
        <w:rPr>
          <w:rFonts w:ascii="Times New Roman" w:cs="Times New Roman" w:eastAsia="Times New Roman" w:hAnsi="Times New Roman"/>
          <w:b/>
          <w:bCs/>
          <w:color w:val="003D7A"/>
          <w:sz w:val="32"/>
          <w:szCs w:val="32"/>
        </w:rPr>
        <w:t xml:space="preserve">1. Общая характеристика проекта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представляет собой образовательный сайт преподавателя-организатора ОБЗР, созданный как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рабочая среда предмета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а не как визитная карточка педагога. Он решает практическую задачу: у курса «Начальная военная подготовка» нет единого учебника, а проверенные материалы по предмету разбросаны и не имеют постоянного адреса. Сайт собирает такие материалы в одном месте и делает их доступными трём группам пользователей — ученику, родителю и коллеге-педагогу.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работает с сентября 2025 года, и на нём проходят реальные уроки. К октябрю 2026 года он объединяет электронный учебник начальной военной подготовки (НВП), тренажёры с самопроверкой, методическую копилку для учителей, раздел для семьи, раздел об использовании искусственного интеллекта и описание внеурочной деятельности. Доступ открытый, регистрация не требуется.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71"/>
      </w:tblGrid>
      <w:tr>
        <w:trPr>
          <w:tblHeader/>
        </w:trPr>
        <w:tc>
          <w:tcPr>
            <w:tcW w:type="dxa" w:w="5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Показатель</w:t>
            </w:r>
          </w:p>
        </w:tc>
        <w:tc>
          <w:tcPr>
            <w:tcW w:type="dxa" w:w="38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Значение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Разделов сайта</w:t>
            </w:r>
          </w:p>
        </w:tc>
        <w:tc>
          <w:tcPr>
            <w:tcW w:type="dxa" w:w="38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Страниц</w:t>
            </w:r>
          </w:p>
        </w:tc>
        <w:tc>
          <w:tcPr>
            <w:tcW w:type="dxa" w:w="38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195 (и более 100 файлов материалов)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Тренажёров с самопроверкой</w:t>
            </w:r>
          </w:p>
        </w:tc>
        <w:tc>
          <w:tcPr>
            <w:tcW w:type="dxa" w:w="38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31 (18 по НВП и 13 по безопасности жизнедеятельности)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Уроков в путеводителях двух курсов</w:t>
            </w:r>
          </w:p>
        </w:tc>
        <w:tc>
          <w:tcPr>
            <w:tcW w:type="dxa" w:w="38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136 (по 68 на каждый курс)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Параграфов электронного учебника НВП</w:t>
            </w:r>
          </w:p>
        </w:tc>
        <w:tc>
          <w:tcPr>
            <w:tcW w:type="dxa" w:w="38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68 из 68 (октябрь 2026 года)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Конспектов / презентаций / контрольных / наглядных пособий</w:t>
            </w:r>
          </w:p>
        </w:tc>
        <w:tc>
          <w:tcPr>
            <w:tcW w:type="dxa" w:w="38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24 / 8 / 5 / 9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Вопросов в разделе для родителей</w:t>
            </w:r>
          </w:p>
        </w:tc>
        <w:tc>
          <w:tcPr>
            <w:tcW w:type="dxa" w:w="38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32</w:t>
            </w:r>
          </w:p>
        </w:tc>
      </w:tr>
      <w:tr>
        <w:trPr>
          <w:cantSplit/>
        </w:trPr>
        <w:tc>
          <w:tcPr>
            <w:tcW w:type="dxa" w:w="52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Публикаций с сертификатами</w:t>
            </w:r>
          </w:p>
        </w:tc>
        <w:tc>
          <w:tcPr>
            <w:tcW w:type="dxa" w:w="38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8</w:t>
            </w:r>
          </w:p>
        </w:tc>
      </w:tr>
    </w:tbl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color w:val="003D7A"/>
          <w:sz w:val="32"/>
          <w:szCs w:val="32"/>
        </w:rPr>
        <w:t xml:space="preserve">2. Условия формирования опыта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вырос из повседневной практики, и этим он отличается от разработки «с нуля».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Профессиональная подготовка.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Профессиональная переподготовка по программе учителя основ безопасности жизнедеятельности (2023) и пять курсов повышения квалификации в 2023–2025 годах, среди них курсы по основам военной подготовки в школе, по методике преподавания ОБЗР и практико-ориентированное обучение ОБЗР в НИРО.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Методическая база.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Я преподаю ОБЗР в 8–11 классах. С 2026/27 учебного года в предмете два курса — начальная военная подготовка (НВП) и безопасность жизнедеятельности (БЖ), по 68 уроков каждый. Для них составлены рабочие программы и календарно-тематические планы. Авторские конспекты, тренажёры и задания накапливались ещё до проекта; сайт собрал их в систему.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Профессиональное сообщество.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Материалы опубликованы на образовательных порталах «Инфоурок», «Педагог РФ» и «Солнечный свет»: восемь публикаций подтверждены сертификатами. Школа участвует в Юнармии, в работе отряда юных инспекторов движения, в игре «Зарница 2.0» — всё это отражено на сайте.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Организационные условия.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Сайт ведётся без рекламы. Данные учеников собираются в российском сервисе форм и на сайте не публикуются.</w:t>
      </w:r>
    </w:p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color w:val="003D7A"/>
          <w:sz w:val="32"/>
          <w:szCs w:val="32"/>
        </w:rPr>
        <w:t xml:space="preserve">3. Актуальность и проблема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Проект отвечает на запрос трёх групп пользователей.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Ученик.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Единого учебника по начальной военной подготовке нет. Школьник, которому нужно прочитать параграф или повторить тему, идёт в интернет. Но по вопросам безопасности недостоверный материал не просто бесполезен — он опасен: неточный алгоритм первой помощи или ошибочное описание порядка действий при чрезвычайной ситуации может обернуться реальным вредом.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Родитель.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Он не знает, чего ждать от нового предмета, как оценивается ребёнок, что брать на учебные сборы, как помочь дома. Эти вопросы приходят учителю в личные сообщения и повторяются из года в год.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Коллега.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Учитель, особенно в небольшой школе, готовит каждый урок заново. Чужие материалы разрознены, как правило, без ключей и критериев оценивания, а у авторских разработок обычно нет открытого адреса: педагог из соседней школы ими воспользоваться не может.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Так возникает противоречие: потребность в проверенном контенте по двум курсам предмета — и отсутствие единого открытого источника, где ученик, родитель и учитель могли бы его найти. Сайт — предлагаемое решение этого противоречия.</w:t>
      </w:r>
    </w:p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color w:val="003D7A"/>
          <w:sz w:val="32"/>
          <w:szCs w:val="32"/>
        </w:rPr>
        <w:t xml:space="preserve">4. Теоретическое обоснование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решения три теоретические опоры, и каждая воплощена в конкретном элементе сайта.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300"/>
        <w:gridCol w:w="4371"/>
      </w:tblGrid>
      <w:tr>
        <w:trPr>
          <w:tblHeader/>
        </w:trP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Подход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Авторы</w:t>
            </w:r>
          </w:p>
        </w:tc>
        <w:tc>
          <w:tcPr>
            <w:tcW w:type="dxa" w:w="43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Как реализован на сайте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Деятельностный подход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заложен в ФГОС</w:t>
            </w:r>
          </w:p>
        </w:tc>
        <w:tc>
          <w:tcPr>
            <w:tcW w:type="dxa" w:w="43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Ученик не только читает, но и действует: тренажёр, задание, ситуационная задача после каждого параграфа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Перевёрнутый класс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Дж. Бергманн, А. Сэмс</w:t>
            </w:r>
          </w:p>
        </w:tc>
        <w:tc>
          <w:tcPr>
            <w:tcW w:type="dxa" w:w="43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Теорию (параграф примерно на 15 минут) ученик читает дома; урок остаётся для практики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Формирующее оценивание</w:t>
            </w:r>
          </w:p>
        </w:tc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П. Блэк, Д. Уильям</w:t>
            </w:r>
          </w:p>
        </w:tc>
        <w:tc>
          <w:tcPr>
            <w:tcW w:type="dxa" w:w="43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Самопроверка на странице; обратная связь учителю о затруднениях</w:t>
            </w:r>
          </w:p>
        </w:tc>
      </w:tr>
    </w:tbl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предмета, половина содержания которого — практические навыки (первая помощь, строевая и огневая подготовка, действия в чрезвычайных ситуациях), модель «перевёрнутого класса» принципиальна: она освобождает урочное время для того, что нельзя освоить по тексту. Нормативную основу проекта составляют ФГОС основного общего образования, федеральная рабочая программа ОБЗР и Федеральный закон «О персональных данных», определяющий порядок работы с данными обучающихся.</w:t>
      </w:r>
    </w:p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color w:val="003D7A"/>
          <w:sz w:val="32"/>
          <w:szCs w:val="32"/>
        </w:rPr>
        <w:t xml:space="preserve">5. Цель и задачи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Цель проекта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создать открытую проверенную цифровую среду предмета ОБЗР для ученика, родителя и коллеги.</w:t>
      </w:r>
    </w:p>
    <w:p>
      <w:pPr>
        <w:keepNext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достижения цели решаются пять задач: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выстроить маршрут ученика: параграф — самопроверка — задание — вопрос учителю;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заполнить пробел — создать электронное пособие к 68 урокам курса НВП;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научить честному и безопасному использованию искусственного интеллекта;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дать коллегам готовую методическую копилку, а семье — ответы на вопросы и возможность связи;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организовать всю работу без обработки персональных данных учеников в открытом доступе.</w:t>
      </w:r>
    </w:p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color w:val="003D7A"/>
          <w:sz w:val="32"/>
          <w:szCs w:val="32"/>
        </w:rPr>
        <w:t xml:space="preserve">6. Ведущая идея и принципы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Ведущая идея проекта сформулирована так: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«один источник — три адресата»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. Ученик находит, что читать и как проверить себя. Родитель находит, как помочь ребёнку и чего ждать от предмета. Коллега находит, что взять на урок прямо сейчас.</w:t>
      </w:r>
    </w:p>
    <w:p>
      <w:pPr>
        <w:keepNext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Любое решение на сайте подчиняется четырём принципам.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Открыто.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Доступ без регистрации, материалы можно скачать и использовать.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Проверено.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По первой помощи, чрезвычайным ситуациям и оружию — только учебник и официальные алгоритмы, а не пересказ из случайных источников.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Без фамилий.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Ученик работает на сайте по личному коду, фамилия не нужна.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Искусственный интеллект — честно.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 понятными правилами и отметкой об использовании.</w:t>
      </w:r>
    </w:p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color w:val="003D7A"/>
          <w:sz w:val="32"/>
          <w:szCs w:val="32"/>
        </w:rPr>
        <w:t xml:space="preserve">7. Содержание и организация деятельности</w:t>
      </w:r>
    </w:p>
    <w:p>
      <w:pPr>
        <w:pStyle w:val="Heading2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7.1. Устройство сайта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состоит из десяти разделов; каждый адресован определённой группе пользователей. Навигация единая, вёрстка адаптивная — материалами удобно пользоваться и с компьютера, и с телефона.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4771"/>
      </w:tblGrid>
      <w:tr>
        <w:trPr>
          <w:tblHeader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Раздел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Для кого</w:t>
            </w:r>
          </w:p>
        </w:tc>
        <w:tc>
          <w:tcPr>
            <w:tcW w:type="dxa" w:w="47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1"/>
                <w:szCs w:val="21"/>
              </w:rPr>
              <w:t xml:space="preserve">Что внутри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Главная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  <w:tc>
          <w:tcPr>
            <w:tcW w:type="dxa" w:w="47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Новости, быстрый доступ к разделам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 себе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коллеги, комиссия</w:t>
            </w:r>
          </w:p>
        </w:tc>
        <w:tc>
          <w:tcPr>
            <w:tcW w:type="dxa" w:w="47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Сведения о педагоге, образование, повышение квалификации, награды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Портфолио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коллеги, комиссия</w:t>
            </w:r>
          </w:p>
        </w:tc>
        <w:tc>
          <w:tcPr>
            <w:tcW w:type="dxa" w:w="47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Результаты освоения предмета, достижения учеников, методическая активность, документы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Ученикам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ученик</w:t>
            </w:r>
          </w:p>
        </w:tc>
        <w:tc>
          <w:tcPr>
            <w:tcW w:type="dxa" w:w="47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Электронный учебник НВП, путеводитель «БЖ: к уроку», тренажёры, задания, ситуационные задачи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Родителям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родитель</w:t>
            </w:r>
          </w:p>
        </w:tc>
        <w:tc>
          <w:tcPr>
            <w:tcW w:type="dxa" w:w="47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Вопросы и ответы, как помочь ребёнку дома, подготовка к сборам, оценивание, форма связи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Коллегам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коллега</w:t>
            </w:r>
          </w:p>
        </w:tc>
        <w:tc>
          <w:tcPr>
            <w:tcW w:type="dxa" w:w="47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Конспекты, презентации, контрольные работы, наглядные пособия, программы, готовые промпты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ИИ-проекты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  <w:tc>
          <w:tcPr>
            <w:tcW w:type="dxa" w:w="47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Правила использования ИИ, ИИ-тренер, практикум «Поймай ошибку ИИ», творческие проекты (литературные, визуальные, музыкальные)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Активности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  <w:tc>
          <w:tcPr>
            <w:tcW w:type="dxa" w:w="47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Юнармия, ЮИД, «Зарница 2.0», олимпиады, учебные сборы, новости и медиаархив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Контакты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  <w:tc>
          <w:tcPr>
            <w:tcW w:type="dxa" w:w="47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Связь с учителем, форма обратной связи</w:t>
            </w:r>
          </w:p>
        </w:tc>
      </w:tr>
      <w:tr>
        <w:trPr>
          <w:cantSplit/>
        </w:trPr>
        <w:tc>
          <w:tcPr>
            <w:tcW w:type="dxa" w:w="23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Отзыв о сайте</w:t>
            </w:r>
          </w:p>
        </w:tc>
        <w:tc>
          <w:tcPr>
            <w:tcW w:type="dxa" w:w="20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все</w:t>
            </w:r>
          </w:p>
        </w:tc>
        <w:tc>
          <w:tcPr>
            <w:tcW w:type="dxa" w:w="47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2"/>
                <w:szCs w:val="22"/>
              </w:rPr>
              <w:t xml:space="preserve">Анкета для пользователей</w:t>
            </w:r>
          </w:p>
        </w:tc>
      </w:tr>
    </w:tbl>
    <w:p>
      <w:pPr>
        <w:pStyle w:val="Heading2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7.2. Маршрут ученика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Ученик выбирает класс и находит нужный урок по календарю, читает параграф примерно за 15 минут, тут же проверяет себя на странице, выполняет задание и при необходимости задаёт вопрос учителю.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самопроверки подготовлено 31 тренажёр четырёх типов: тест, расстановка в правильном порядке, сопоставление и ситуация «что делать». Проверка происходит на странице, результат нигде не сохраняется — это сознательное решение в пользу приватности. Есть также ситуационные задачи с архивом разборов без фамилий.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Задания учитель получает по личному коду из пяти цифр: фамилия не нужна. Карточку с кодом ученик получает после письменного согласия родителей; без согласия задания выполняются без форм.</w:t>
      </w:r>
    </w:p>
    <w:p>
      <w:pPr>
        <w:pStyle w:val="Heading2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7.3. Электронный учебник начальной военной подготовки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Центральная часть раздела для учеников — электронный учебник НВП. Единого учебника по этому курсу нет, и сайт заполняет пробел: к каждому из 68 уроков написан параграф. Он написан по модели «перевёрнутого класса» — для чтения дома и подготовки к практике на уроке.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Работа идёт по календарю уроков. К октябрю 2026 года опубликованы все 68 параграфов: 21 для 8 класса, 13 для 9, 24 для 10 и 10 для 11 класса. Календарь уроков остаётся ориентиром: ученик видит, на какой урок класса опирается параграф, и может прочитать его заранее.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Рядом размещён путеводитель «БЖ: к уроку»: 68 уроков курса безопасности жизнедеятельности, у каждого указан параграф учебника и, когда он готов, тренажёр или задача. Тексты печатных учебников БЖ на сайте не воспроизводятся: страница указывает, где читать, и тем самым не нарушает авторских прав.</w:t>
      </w:r>
    </w:p>
    <w:p>
      <w:pPr>
        <w:pStyle w:val="Heading2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7.4. Искусственный интеллект — честно и безопасно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Школьники всё равно пользуются нейросетями; запрет лишь делает это скрытым. Поэтому задача — научить пользоваться ими честно. Страница «ИИ для учёбы» формулирует правила: искусственному интеллекту можно поручить объяснить тему, проверить решение, задать вопрос; нельзя выдавать чужой текст за свой и вводить персональные данные.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практики есть ИИ-тренер — готовые запросы к любой теме урока — и практикум «Поймай ошибку ИИ». Главное правило: по первой помощи, чрезвычайным ситуациям и оружию верить только учебнику и официальным алгоритмам. В форме задания ученик отвечает, использовался ли ИИ, и честный ответ ценится выше красивого. Рекомендуются ресурсы, доступные в России.</w:t>
      </w:r>
    </w:p>
    <w:p>
      <w:pPr>
        <w:pStyle w:val="Heading2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7.5. Творчество с искусственным интеллектом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«ИИ-проекты» для учеников включает не только учебные материалы, но и творческую часть. Это литературные проекты (в их числе роман «Цифровой Фантом»); визуальные проекты — инфографика и плакаты для кабинета ОБЗР по пожарной безопасности, эвакуации, первой помощи, кибербезопасности и правилам дорожного движения; музыкальные проекты — пять песен, созданных с помощью нейросетей.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Смысл этой части — показать школьнику, что искусственный интеллект может быть не только средством «сделать за него», но и инструментом творчества, в котором замысел, отбор и ответственность остаются за человеком. Поэтому в карточке каждого проекта указаны автор, использованные инструменты и условие ссылки на источник, а тексты на инфографике, номера служб и порядок действий перед публикацией проверяет преподаватель. Творческий раздел не заменяет учебный материал, а дополняет его.</w:t>
      </w:r>
    </w:p>
    <w:p>
      <w:pPr>
        <w:pStyle w:val="Heading2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7.6. Методическая копилка для коллег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учителей собрана готовая копилка: 24 конспекта уроков, 8 презентаций, 5 контрольных работ и 9 наглядных пособий (инфографика, плакаты, схемы). Конспект можно скачать в двух форматах, с хронометражем; контрольные работы снабжены критериями оценивания. Здесь же размещены рабочие программы, календарно-тематические планы и готовые промпты для составления конспекта, планирования и тестов — чтобы коллега мог подготовить собственный материал за несколько минут.</w:t>
      </w:r>
    </w:p>
    <w:p>
      <w:pPr>
        <w:pStyle w:val="Heading2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7.7. Раздел для семьи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Раздел для родителей отвечает на вопросы, которые иначе приходят в личные сообщения. В нём 32 вопроса в пяти категориях: как помочь ребёнку дома, как готовиться к учебным сборам, как оценивается предмет (теория — 40 %, практика — 30 %, сборы — 20 %, проекты — 10 %). Для связи есть форма обратной связи; срок ответа — сутки–двое.</w:t>
      </w:r>
    </w:p>
    <w:p>
      <w:pPr>
        <w:pStyle w:val="Heading2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7.8. Жизнь предмета открыто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показывает не только уроки, но и живую практику предмета: юнармейский отряд, отряд юных инспекторов движения, игру «Зарница 2.0», олимпиады, учебные сборы десятиклассников, сотрудничество с МЧС, военкоматом и ГИБДД. Новости и медиаархив ведутся с 2025 года. Фамилии и сканы грамот публикуются только по письменному согласию родителей, без согласия — обезличенно.</w:t>
      </w:r>
    </w:p>
    <w:p>
      <w:pPr>
        <w:pStyle w:val="Heading2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7.9. Авторская разработка на площадке сайта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сайте размещён учебно-методический комплекс «Цифровой Фантом»: книга для подростков, методическое приложение на девять занятий, раздаточные материалы с ключами и памятка для родителей. Это самостоятельный проект с собственной методикой «от инструктажа к доверию»; здесь он назван как доказательство того, что площадка пригодна для размещения авторской разработки «под ключ».</w:t>
      </w:r>
    </w:p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color w:val="003D7A"/>
          <w:sz w:val="32"/>
          <w:szCs w:val="32"/>
        </w:rPr>
        <w:t xml:space="preserve">8. Диапазон вклада и новизна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Диапазон вклада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это десять разделов, 195 страниц, 31 тренажёр и 136 уроков двух курсов, описанных в путеводителях.</w:t>
      </w:r>
    </w:p>
    <w:p>
      <w:pPr>
        <w:keepNext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Новизна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проекта не в том, что у учителя есть сайт. Типичный сайт педагога — визитка и портфолио. В данном проекте: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рабочая среда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, на которой идут уроки, а не витрина достижений;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вместо набора файлов для скачивания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маршрут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от параграфа к тренажёру и заданию;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вместо одного адресата —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три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: ученик, родитель и коллега;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учеников обрабатываются </w:t>
      </w: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без фамилий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— по личному коду.</w:t>
      </w:r>
    </w:p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color w:val="003D7A"/>
          <w:sz w:val="32"/>
          <w:szCs w:val="32"/>
        </w:rPr>
        <w:t xml:space="preserve">9. Результативность</w:t>
      </w:r>
    </w:p>
    <w:p>
      <w:pPr>
        <w:pStyle w:val="Heading2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9.1. Как измеряется эффект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Эффект среды оценивается отдельно по каждому адресату.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Ученик: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сдача заданий по личному коду. Результаты тренажёров сохраняются только на устройстве самого ученика — это сознательное решение о приватности.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Родитель: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вопросы, поступающие через форму, и новые вопросы для раздела вопросов и ответов.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Коллега:</w:t>
      </w:r>
      <w:r>
        <w:rPr>
          <w:rFonts w:ascii="Times New Roman" w:cs="Times New Roman" w:eastAsia="Times New Roman" w:hAnsi="Times New Roman"/>
          <w:sz w:val="28"/>
          <w:szCs w:val="28"/>
        </w:rPr>
        <w:t xml:space="preserve"> скачивания материалов, переходы на страницы, отзывы на методическом объединении.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Используются счётчик посещаемости сайта, форма «Отзыв о сайте» и анкета «Была ли тема полезной».</w:t>
      </w:r>
    </w:p>
    <w:p>
      <w:pPr>
        <w:pStyle w:val="Heading2"/>
        <w:keepNext/>
        <w:spacing w:after="140" w:before="280"/>
      </w:pPr>
      <w:r>
        <w:rPr>
          <w:rFonts w:ascii="Times New Roman" w:cs="Times New Roman" w:eastAsia="Times New Roman" w:hAnsi="Times New Roman"/>
          <w:b/>
          <w:bCs/>
          <w:color w:val="003D7A"/>
          <w:sz w:val="28"/>
          <w:szCs w:val="28"/>
        </w:rPr>
        <w:t xml:space="preserve">9.2. Что есть на сегодня</w:t>
      </w:r>
    </w:p>
    <w:p>
      <w:pPr>
        <w:keepNext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Результаты освоения предмета обучающимися, которых я обучаю, за три года:</w:t>
      </w:r>
    </w:p>
    <w:tbl>
      <w:tblPr>
        <w:tblW w:type="dxa" w:w="907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00"/>
        <w:gridCol w:w="2400"/>
        <w:gridCol w:w="2171"/>
      </w:tblGrid>
      <w:tr>
        <w:trPr>
          <w:tblHeader/>
        </w:trP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Учебный год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Обучающихся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Доля «4» и «5», %</w:t>
            </w:r>
          </w:p>
        </w:tc>
        <w:tc>
          <w:tcPr>
            <w:tcW w:type="dxa" w:w="21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003D7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3"/>
                <w:szCs w:val="23"/>
              </w:rPr>
              <w:t xml:space="preserve">Успеваемость, %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2023–2024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238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91,2</w:t>
            </w:r>
          </w:p>
        </w:tc>
        <w:tc>
          <w:tcPr>
            <w:tcW w:type="dxa" w:w="21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2024–2025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209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90,9</w:t>
            </w:r>
          </w:p>
        </w:tc>
        <w:tc>
          <w:tcPr>
            <w:tcW w:type="dxa" w:w="21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shd w:fill="F6F8FB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2025–2026</w:t>
            </w:r>
          </w:p>
        </w:tc>
        <w:tc>
          <w:tcPr>
            <w:tcW w:type="dxa" w:w="21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190</w:t>
            </w:r>
          </w:p>
        </w:tc>
        <w:tc>
          <w:tcPr>
            <w:tcW w:type="dxa" w:w="2400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97,4</w:t>
            </w:r>
          </w:p>
        </w:tc>
        <w:tc>
          <w:tcPr>
            <w:tcW w:type="dxa" w:w="2171"/>
            <w:tcBorders>
              <w:top w:val="single" w:color="B8C4D2" w:sz="4"/>
              <w:left w:val="single" w:color="B8C4D2" w:sz="4"/>
              <w:bottom w:val="single" w:color="B8C4D2" w:sz="4"/>
              <w:right w:val="single" w:color="B8C4D2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top"/>
          </w:tcPr>
          <w:p>
            <w:pPr>
              <w:spacing w:after="0" w:line="252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4"/>
                <w:szCs w:val="24"/>
              </w:rPr>
              <w:t xml:space="preserve">100</w:t>
            </w:r>
          </w:p>
        </w:tc>
      </w:tr>
    </w:tbl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Причинную связь этих показателей с проектом я не утверждаю: это общий результат работы по предмету. Сайт работает с сентября 2025 года, а электронный учебник НВП опубликован полностью только к октябрю 2026 года, поэтому основным фактором динамики за период наблюдения он быть не мог.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самой среды — посещаемость, число сданных заданий, вопросы от семей, использование материалов коллегами — накапливаются в течение учебного года. Я сознательно не привожу цифр, которые не могу подтвердить; содержательные выводы о влиянии среды станут возможны по итогам 2026/27 учебного года.</w:t>
      </w:r>
    </w:p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color w:val="003D7A"/>
          <w:sz w:val="32"/>
          <w:szCs w:val="32"/>
        </w:rPr>
        <w:t xml:space="preserve">10. Транслируемость и тиражируемость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Опыт передаётся несколькими способами: открытый сайт без регистрации, выступление на методическом объединении, публикации (восемь публикаций с сертификатами на трёх образовательных порталах). Материалы размещены в открытых форматах (PDF и Word), поэтому любой учитель может скачать конспект, контрольную работу или программу и адаптировать их под свой класс.</w:t>
      </w:r>
    </w:p>
    <w:p>
      <w:pPr>
        <w:keepNext w:val="false"/>
        <w:spacing w:after="120" w:line="312"/>
        <w:ind w:firstLine="709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Условие применения предельно простое: коллеге не нужна специальная подготовка и не нужно ничего создавать самому — достаточно открыть нужную страницу. Передача комплекта материалов коллегам района через методическое объединение — ближайшая задача проекта.</w:t>
      </w:r>
    </w:p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color w:val="003D7A"/>
          <w:sz w:val="32"/>
          <w:szCs w:val="32"/>
        </w:rPr>
        <w:t xml:space="preserve">11. Трудности, риски и перспективы</w:t>
      </w:r>
    </w:p>
    <w:p>
      <w:pPr>
        <w:keepNext/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Трудности и способы их преодоления.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Электронный учебник НВП опубликован полностью (68 параграфов), но опыт работы с ним в классе только накапливается. Эта трудность решается обратной связью: после параграфа ученик выполняет задание и рефлексию в Яндекс Форме, а ответы позволяют уточнять материал.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Данные устаревают — например, телефоны служб и нормативные ссылки. Их сверка проводится перед каждым учебным годом.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Сайт веду я один. Поэтому наполнение идёт последовательно, по календарю уроков, а новый материал добавляется отдельными блоками, без переделки всего сайта.</w:t>
      </w:r>
    </w:p>
    <w:p>
      <w:pPr>
        <w:keepNext/>
        <w:spacing w:after="120" w:line="312"/>
        <w:jc w:val="both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Перспективы.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полностью наполнить электронный учебник НВП в 2026/27 учебном году — для всех четырёх классов;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запустить анкеты обратной связи и рубрику «Вы спросили — отвечаем»;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передать материалы коллегам района через методическое объединение и собрать их отзывы.</w:t>
      </w:r>
    </w:p>
    <w:p>
      <w:pPr>
        <w:pStyle w:val="Heading1"/>
        <w:keepNext/>
        <w:spacing w:after="200" w:before="320"/>
      </w:pPr>
      <w:r>
        <w:rPr>
          <w:rFonts w:ascii="Times New Roman" w:cs="Times New Roman" w:eastAsia="Times New Roman" w:hAnsi="Times New Roman"/>
          <w:b/>
          <w:bCs/>
          <w:color w:val="003D7A"/>
          <w:sz w:val="32"/>
          <w:szCs w:val="32"/>
        </w:rPr>
        <w:t xml:space="preserve">12. Литература и нормативные документы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Федеральный государственный образовательный стандарт основного общего образования (приказ Минпросвещения России от 31.05.2021 № 287).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Федеральная рабочая программа основного общего образования «Основы безопасности и защиты Родины».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Бергманн Дж., Сэмс А. Перевёрнутый класс. — М.: Интеллектуальная литература, 2017.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Black P., Wiliam D. Inside the Black Box. — London: King’s College, 1998.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Основы безопасности жизнедеятельности. 8–9 классы / под ред. Ю. С. Шойгу. — М.: Просвещение, 2022.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Федеральный закон от 27.07.2006 № 152-ФЗ «О персональных данных».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134" w:right="1134" w:bottom="1134" w:left="1701" w:header="708" w:footer="708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5A6774"/>
        <w:sz w:val="22"/>
        <w:szCs w:val="22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cs="Times New Roman" w:eastAsia="Times New Roman" w:hAnsi="Times New Roman"/>
        <w:color w:val="5A6774"/>
        <w:sz w:val="20"/>
        <w:szCs w:val="20"/>
      </w:rPr>
      <w:t xml:space="preserve">Дёмин А.Ю. · Цифровая образовательная среда предмета ОБЗР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0"/>
      <w:outlineLvl w:val="0"/>
    </w:pPr>
    <w:rPr>
      <w:rFonts w:ascii="Times New Roman" w:cs="Times New Roman" w:eastAsia="Times New Roman" w:hAnsi="Times New Roman"/>
      <w:b/>
      <w:bCs/>
      <w:color w:val="003D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Times New Roman" w:cs="Times New Roman" w:eastAsia="Times New Roman" w:hAnsi="Times New Roman"/>
      <w:b/>
      <w:bCs/>
      <w:color w:val="003D7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Цифровая образовательная среда предмета ОБЗР</dc:title>
  <dc:creator>Дёмин А.Ю.</dc:creator>
  <cp:lastModifiedBy>Un-named</cp:lastModifiedBy>
  <cp:revision>1</cp:revision>
  <dcterms:created xsi:type="dcterms:W3CDTF">2026-10-15T19:54:00.555Z</dcterms:created>
  <dcterms:modified xsi:type="dcterms:W3CDTF">2026-10-15T19:54:00.557Z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