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122531189" w:displacedByCustomXml="next"/>
    <w:sdt>
      <w:sdtPr>
        <w:id w:val="-1617518208"/>
        <w:docPartObj>
          <w:docPartGallery w:val="Cover Pages"/>
          <w:docPartUnique/>
        </w:docPartObj>
      </w:sdtPr>
      <w:sdtEndPr/>
      <w:sdtContent>
        <w:p w14:paraId="79C37299" w14:textId="1C158209" w:rsidR="00FD57D0" w:rsidRDefault="00FD57D0">
          <w:r>
            <w:rPr>
              <w:noProof/>
            </w:rPr>
            <mc:AlternateContent>
              <mc:Choice Requires="wps">
                <w:drawing>
                  <wp:anchor distT="0" distB="0" distL="114300" distR="114300" simplePos="0" relativeHeight="251661312" behindDoc="0" locked="0" layoutInCell="1" allowOverlap="1" wp14:anchorId="002A4759" wp14:editId="01894A28">
                    <wp:simplePos x="0" y="0"/>
                    <wp:positionH relativeFrom="column">
                      <wp:posOffset>219075</wp:posOffset>
                    </wp:positionH>
                    <wp:positionV relativeFrom="paragraph">
                      <wp:posOffset>381000</wp:posOffset>
                    </wp:positionV>
                    <wp:extent cx="4371975" cy="8343900"/>
                    <wp:effectExtent l="0" t="0" r="28575" b="19050"/>
                    <wp:wrapNone/>
                    <wp:docPr id="3" name="Text Box 3"/>
                    <wp:cNvGraphicFramePr/>
                    <a:graphic xmlns:a="http://schemas.openxmlformats.org/drawingml/2006/main">
                      <a:graphicData uri="http://schemas.microsoft.com/office/word/2010/wordprocessingShape">
                        <wps:wsp>
                          <wps:cNvSpPr txBox="1"/>
                          <wps:spPr>
                            <a:xfrm>
                              <a:off x="0" y="0"/>
                              <a:ext cx="4371975" cy="8343900"/>
                            </a:xfrm>
                            <a:prstGeom prst="rect">
                              <a:avLst/>
                            </a:prstGeom>
                            <a:solidFill>
                              <a:schemeClr val="lt1"/>
                            </a:solidFill>
                            <a:ln w="6350">
                              <a:solidFill>
                                <a:prstClr val="black"/>
                              </a:solidFill>
                            </a:ln>
                          </wps:spPr>
                          <wps:txbx>
                            <w:txbxContent>
                              <w:p w14:paraId="3C15656A" w14:textId="6E90EC1B" w:rsidR="00FD57D0" w:rsidRPr="00EA0B84" w:rsidRDefault="00FD57D0" w:rsidP="00FD57D0">
                                <w:pPr>
                                  <w:jc w:val="center"/>
                                  <w:rPr>
                                    <w:b/>
                                    <w:bCs/>
                                    <w:sz w:val="72"/>
                                    <w:szCs w:val="72"/>
                                  </w:rPr>
                                </w:pPr>
                                <w:r w:rsidRPr="00EA0B84">
                                  <w:rPr>
                                    <w:b/>
                                    <w:bCs/>
                                    <w:sz w:val="72"/>
                                    <w:szCs w:val="72"/>
                                  </w:rPr>
                                  <w:t>Orange County Community Health Assessment and Improvement Plan</w:t>
                                </w:r>
                              </w:p>
                              <w:p w14:paraId="7CF32AEF" w14:textId="73F81FF9" w:rsidR="00EA0B84" w:rsidRPr="00EA0B84" w:rsidRDefault="00FD57D0" w:rsidP="00EA0B84">
                                <w:pPr>
                                  <w:jc w:val="center"/>
                                  <w:rPr>
                                    <w:b/>
                                    <w:bCs/>
                                    <w:sz w:val="72"/>
                                    <w:szCs w:val="72"/>
                                  </w:rPr>
                                </w:pPr>
                                <w:r w:rsidRPr="00EA0B84">
                                  <w:rPr>
                                    <w:b/>
                                    <w:bCs/>
                                    <w:sz w:val="72"/>
                                    <w:szCs w:val="72"/>
                                  </w:rPr>
                                  <w:t>20</w:t>
                                </w:r>
                                <w:r w:rsidR="00A83D6B">
                                  <w:rPr>
                                    <w:b/>
                                    <w:bCs/>
                                    <w:sz w:val="72"/>
                                    <w:szCs w:val="72"/>
                                  </w:rPr>
                                  <w:t>25</w:t>
                                </w:r>
                                <w:r w:rsidRPr="00EA0B84">
                                  <w:rPr>
                                    <w:b/>
                                    <w:bCs/>
                                    <w:sz w:val="72"/>
                                    <w:szCs w:val="72"/>
                                  </w:rPr>
                                  <w:t>-20</w:t>
                                </w:r>
                                <w:r w:rsidR="00A83D6B">
                                  <w:rPr>
                                    <w:b/>
                                    <w:bCs/>
                                    <w:sz w:val="72"/>
                                    <w:szCs w:val="72"/>
                                  </w:rPr>
                                  <w:t>30</w:t>
                                </w:r>
                              </w:p>
                              <w:p w14:paraId="38AFC4BF" w14:textId="77777777" w:rsidR="00EA0B84" w:rsidRDefault="00EA0B84" w:rsidP="00EA0B84">
                                <w:pPr>
                                  <w:jc w:val="center"/>
                                  <w:rPr>
                                    <w:sz w:val="72"/>
                                    <w:szCs w:val="72"/>
                                  </w:rPr>
                                </w:pPr>
                              </w:p>
                              <w:p w14:paraId="70A25BA9" w14:textId="5A52E712" w:rsidR="00EA0B84" w:rsidRPr="00EA0B84" w:rsidRDefault="00EA0B84" w:rsidP="00EA0B84">
                                <w:pPr>
                                  <w:jc w:val="center"/>
                                  <w:rPr>
                                    <w:i/>
                                    <w:iCs/>
                                    <w:sz w:val="56"/>
                                    <w:szCs w:val="56"/>
                                  </w:rPr>
                                </w:pPr>
                                <w:r w:rsidRPr="00EA0B84">
                                  <w:rPr>
                                    <w:i/>
                                    <w:iCs/>
                                    <w:sz w:val="56"/>
                                    <w:szCs w:val="56"/>
                                  </w:rPr>
                                  <w:t xml:space="preserve">Our shared vision and health promotion strategic plan to address the most pressing health issues of </w:t>
                                </w:r>
                                <w:r w:rsidR="00A83D6B">
                                  <w:rPr>
                                    <w:i/>
                                    <w:iCs/>
                                    <w:sz w:val="56"/>
                                    <w:szCs w:val="56"/>
                                  </w:rPr>
                                  <w:t>Orange County</w:t>
                                </w:r>
                                <w:r w:rsidRPr="00EA0B84">
                                  <w:rPr>
                                    <w:i/>
                                    <w:iCs/>
                                    <w:sz w:val="56"/>
                                    <w:szCs w:val="56"/>
                                  </w:rPr>
                                  <w:t xml:space="preserve"> residents</w:t>
                                </w:r>
                              </w:p>
                              <w:p w14:paraId="1FA35A0F" w14:textId="10EF91B7" w:rsidR="00EA0B84" w:rsidRPr="00EA0B84" w:rsidRDefault="00EA0B84" w:rsidP="00EA0B84">
                                <w:pPr>
                                  <w:jc w:val="center"/>
                                </w:pPr>
                              </w:p>
                              <w:p w14:paraId="66140033" w14:textId="374C43D5" w:rsidR="00B95837" w:rsidRPr="00B95837" w:rsidRDefault="00B95837" w:rsidP="00B95837">
                                <w:pPr>
                                  <w:jc w:val="center"/>
                                </w:pPr>
                                <w:r w:rsidRPr="00B95837">
                                  <w:rPr>
                                    <w:noProof/>
                                  </w:rPr>
                                  <w:drawing>
                                    <wp:inline distT="0" distB="0" distL="0" distR="0" wp14:anchorId="76423C66" wp14:editId="10C0078B">
                                      <wp:extent cx="2461895" cy="2063851"/>
                                      <wp:effectExtent l="0" t="0" r="0" b="0"/>
                                      <wp:docPr id="1998350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72356" cy="2072620"/>
                                              </a:xfrm>
                                              <a:prstGeom prst="rect">
                                                <a:avLst/>
                                              </a:prstGeom>
                                              <a:noFill/>
                                              <a:ln>
                                                <a:noFill/>
                                              </a:ln>
                                            </pic:spPr>
                                          </pic:pic>
                                        </a:graphicData>
                                      </a:graphic>
                                    </wp:inline>
                                  </w:drawing>
                                </w:r>
                              </w:p>
                              <w:p w14:paraId="58C2A812" w14:textId="22FB12B9" w:rsidR="00EA0B84" w:rsidRDefault="00EA0B84" w:rsidP="00EA0B84">
                                <w:pPr>
                                  <w:jc w:val="center"/>
                                </w:pPr>
                              </w:p>
                              <w:p w14:paraId="0196E8FF" w14:textId="747EC246" w:rsidR="00EA0B84" w:rsidRPr="00FD57D0" w:rsidRDefault="00EA0B84" w:rsidP="00FD57D0">
                                <w:pPr>
                                  <w:jc w:val="center"/>
                                  <w:rPr>
                                    <w:sz w:val="72"/>
                                    <w:szCs w:val="7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02A4759" id="_x0000_t202" coordsize="21600,21600" o:spt="202" path="m,l,21600r21600,l21600,xe">
                    <v:stroke joinstyle="miter"/>
                    <v:path gradientshapeok="t" o:connecttype="rect"/>
                  </v:shapetype>
                  <v:shape id="Text Box 3" o:spid="_x0000_s1026" type="#_x0000_t202" style="position:absolute;margin-left:17.25pt;margin-top:30pt;width:344.25pt;height:657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" fillcolor="white [3201]" strokeweight=".5pt">
                    <v:textbox>
                      <w:txbxContent>
                        <w:p w14:paraId="3C15656A" w14:textId="6E90EC1B" w:rsidR="00FD57D0" w:rsidRPr="00EA0B84" w:rsidRDefault="00FD57D0" w:rsidP="00FD57D0">
                          <w:pPr>
                            <w:jc w:val="center"/>
                            <w:rPr>
                              <w:b/>
                              <w:bCs/>
                              <w:sz w:val="72"/>
                              <w:szCs w:val="72"/>
                            </w:rPr>
                          </w:pPr>
                          <w:r w:rsidRPr="00EA0B84">
                            <w:rPr>
                              <w:b/>
                              <w:bCs/>
                              <w:sz w:val="72"/>
                              <w:szCs w:val="72"/>
                            </w:rPr>
                            <w:t>Orange County Community Health Assessment and Improvement Plan</w:t>
                          </w:r>
                        </w:p>
                        <w:p w14:paraId="7CF32AEF" w14:textId="73F81FF9" w:rsidR="00EA0B84" w:rsidRPr="00EA0B84" w:rsidRDefault="00FD57D0" w:rsidP="00EA0B84">
                          <w:pPr>
                            <w:jc w:val="center"/>
                            <w:rPr>
                              <w:b/>
                              <w:bCs/>
                              <w:sz w:val="72"/>
                              <w:szCs w:val="72"/>
                            </w:rPr>
                          </w:pPr>
                          <w:r w:rsidRPr="00EA0B84">
                            <w:rPr>
                              <w:b/>
                              <w:bCs/>
                              <w:sz w:val="72"/>
                              <w:szCs w:val="72"/>
                            </w:rPr>
                            <w:t>20</w:t>
                          </w:r>
                          <w:r w:rsidR="00A83D6B">
                            <w:rPr>
                              <w:b/>
                              <w:bCs/>
                              <w:sz w:val="72"/>
                              <w:szCs w:val="72"/>
                            </w:rPr>
                            <w:t>25</w:t>
                          </w:r>
                          <w:r w:rsidRPr="00EA0B84">
                            <w:rPr>
                              <w:b/>
                              <w:bCs/>
                              <w:sz w:val="72"/>
                              <w:szCs w:val="72"/>
                            </w:rPr>
                            <w:t>-20</w:t>
                          </w:r>
                          <w:r w:rsidR="00A83D6B">
                            <w:rPr>
                              <w:b/>
                              <w:bCs/>
                              <w:sz w:val="72"/>
                              <w:szCs w:val="72"/>
                            </w:rPr>
                            <w:t>30</w:t>
                          </w:r>
                        </w:p>
                        <w:p w14:paraId="38AFC4BF" w14:textId="77777777" w:rsidR="00EA0B84" w:rsidRDefault="00EA0B84" w:rsidP="00EA0B84">
                          <w:pPr>
                            <w:jc w:val="center"/>
                            <w:rPr>
                              <w:sz w:val="72"/>
                              <w:szCs w:val="72"/>
                            </w:rPr>
                          </w:pPr>
                        </w:p>
                        <w:p w14:paraId="70A25BA9" w14:textId="5A52E712" w:rsidR="00EA0B84" w:rsidRPr="00EA0B84" w:rsidRDefault="00EA0B84" w:rsidP="00EA0B84">
                          <w:pPr>
                            <w:jc w:val="center"/>
                            <w:rPr>
                              <w:i/>
                              <w:iCs/>
                              <w:sz w:val="56"/>
                              <w:szCs w:val="56"/>
                            </w:rPr>
                          </w:pPr>
                          <w:r w:rsidRPr="00EA0B84">
                            <w:rPr>
                              <w:i/>
                              <w:iCs/>
                              <w:sz w:val="56"/>
                              <w:szCs w:val="56"/>
                            </w:rPr>
                            <w:t xml:space="preserve">Our shared vision and health promotion strategic plan to address the most pressing health issues of </w:t>
                          </w:r>
                          <w:r w:rsidR="00A83D6B">
                            <w:rPr>
                              <w:i/>
                              <w:iCs/>
                              <w:sz w:val="56"/>
                              <w:szCs w:val="56"/>
                            </w:rPr>
                            <w:t>Orange County</w:t>
                          </w:r>
                          <w:r w:rsidRPr="00EA0B84">
                            <w:rPr>
                              <w:i/>
                              <w:iCs/>
                              <w:sz w:val="56"/>
                              <w:szCs w:val="56"/>
                            </w:rPr>
                            <w:t xml:space="preserve"> residents</w:t>
                          </w:r>
                        </w:p>
                        <w:p w14:paraId="1FA35A0F" w14:textId="10EF91B7" w:rsidR="00EA0B84" w:rsidRPr="00EA0B84" w:rsidRDefault="00EA0B84" w:rsidP="00EA0B84">
                          <w:pPr>
                            <w:jc w:val="center"/>
                          </w:pPr>
                        </w:p>
                        <w:p w14:paraId="66140033" w14:textId="374C43D5" w:rsidR="00B95837" w:rsidRPr="00B95837" w:rsidRDefault="00B95837" w:rsidP="00B95837">
                          <w:pPr>
                            <w:jc w:val="center"/>
                          </w:pPr>
                          <w:r w:rsidRPr="00B95837">
                            <w:rPr>
                              <w:noProof/>
                            </w:rPr>
                            <w:drawing>
                              <wp:inline distT="0" distB="0" distL="0" distR="0" wp14:anchorId="76423C66" wp14:editId="10C0078B">
                                <wp:extent cx="2461895" cy="2063851"/>
                                <wp:effectExtent l="0" t="0" r="0" b="0"/>
                                <wp:docPr id="1998350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72356" cy="2072620"/>
                                        </a:xfrm>
                                        <a:prstGeom prst="rect">
                                          <a:avLst/>
                                        </a:prstGeom>
                                        <a:noFill/>
                                        <a:ln>
                                          <a:noFill/>
                                        </a:ln>
                                      </pic:spPr>
                                    </pic:pic>
                                  </a:graphicData>
                                </a:graphic>
                              </wp:inline>
                            </w:drawing>
                          </w:r>
                        </w:p>
                        <w:p w14:paraId="58C2A812" w14:textId="22FB12B9" w:rsidR="00EA0B84" w:rsidRDefault="00EA0B84" w:rsidP="00EA0B84">
                          <w:pPr>
                            <w:jc w:val="center"/>
                          </w:pPr>
                        </w:p>
                        <w:p w14:paraId="0196E8FF" w14:textId="747EC246" w:rsidR="00EA0B84" w:rsidRPr="00FD57D0" w:rsidRDefault="00EA0B84" w:rsidP="00FD57D0">
                          <w:pPr>
                            <w:jc w:val="center"/>
                            <w:rPr>
                              <w:sz w:val="72"/>
                              <w:szCs w:val="72"/>
                            </w:rPr>
                          </w:pPr>
                        </w:p>
                      </w:txbxContent>
                    </v:textbox>
                  </v:shape>
                </w:pict>
              </mc:Fallback>
            </mc:AlternateContent>
          </w:r>
          <w:r>
            <w:rPr>
              <w:noProof/>
            </w:rPr>
            <mc:AlternateContent>
              <mc:Choice Requires="wps">
                <w:drawing>
                  <wp:anchor distT="0" distB="0" distL="114300" distR="114300" simplePos="0" relativeHeight="251659264" behindDoc="0" locked="0" layoutInCell="1" allowOverlap="1" wp14:anchorId="3DAEA6AB" wp14:editId="190E62C8">
                    <wp:simplePos x="0" y="0"/>
                    <mc:AlternateContent>
                      <mc:Choice Requires="wp14">
                        <wp:positionH relativeFrom="page">
                          <wp14:pctPosHOffset>2000</wp14:pctPosHOffset>
                        </wp:positionH>
                      </mc:Choice>
                      <mc:Fallback>
                        <wp:positionH relativeFrom="page">
                          <wp:posOffset>154940</wp:posOffset>
                        </wp:positionH>
                      </mc:Fallback>
                    </mc:AlternateContent>
                    <mc:AlternateContent>
                      <mc:Choice Requires="wp14">
                        <wp:positionV relativeFrom="page">
                          <wp14:pctPosVOffset>2000</wp14:pctPosVOffset>
                        </wp:positionV>
                      </mc:Choice>
                      <mc:Fallback>
                        <wp:positionV relativeFrom="page">
                          <wp:posOffset>200660</wp:posOffset>
                        </wp:positionV>
                      </mc:Fallback>
                    </mc:AlternateContent>
                    <wp:extent cx="5363210" cy="9653270"/>
                    <wp:effectExtent l="0" t="0" r="8890" b="2540"/>
                    <wp:wrapNone/>
                    <wp:docPr id="471"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63210" cy="9653270"/>
                            </a:xfrm>
                            <a:prstGeom prst="rect">
                              <a:avLst/>
                            </a:prstGeom>
                            <a:solidFill>
                              <a:schemeClr val="accent1"/>
                            </a:solidFill>
                            <a:ln>
                              <a:noFill/>
                            </a:ln>
                          </wps:spPr>
                          <wps:txbx>
                            <w:txbxContent>
                              <w:p w14:paraId="5BCB5011" w14:textId="64560A13" w:rsidR="00FD57D0" w:rsidRPr="00A83D6B" w:rsidRDefault="00FD57D0" w:rsidP="00FD57D0">
                                <w:pPr>
                                  <w:pStyle w:val="Title"/>
                                  <w:rPr>
                                    <w:caps/>
                                    <w:color w:val="75A42E" w:themeColor="accent1" w:themeShade="BF"/>
                                    <w:sz w:val="80"/>
                                    <w:szCs w:val="80"/>
                                  </w:rPr>
                                </w:pPr>
                              </w:p>
                              <w:p w14:paraId="21CB7950" w14:textId="77777777" w:rsidR="00FD57D0" w:rsidRPr="00A83D6B" w:rsidRDefault="00FD57D0">
                                <w:pPr>
                                  <w:spacing w:before="240"/>
                                  <w:ind w:left="720"/>
                                  <w:jc w:val="right"/>
                                  <w:rPr>
                                    <w:color w:val="75A42E" w:themeColor="accent1" w:themeShade="BF"/>
                                  </w:rPr>
                                </w:pPr>
                              </w:p>
                              <w:p w14:paraId="15F9C370" w14:textId="1C27D231" w:rsidR="00FD57D0" w:rsidRPr="00A83D6B" w:rsidRDefault="00FD57D0" w:rsidP="00FD57D0">
                                <w:pPr>
                                  <w:spacing w:before="240"/>
                                  <w:rPr>
                                    <w:color w:val="75A42E" w:themeColor="accent1" w:themeShade="BF"/>
                                  </w:rPr>
                                </w:pPr>
                              </w:p>
                            </w:txbxContent>
                          </wps:txbx>
                          <wps:bodyPr rot="0" vert="horz" wrap="square" lIns="274320" tIns="914400" rIns="274320" bIns="45720" anchor="ctr" anchorCtr="0" upright="1">
                            <a:noAutofit/>
                          </wps:bodyPr>
                        </wps:wsp>
                      </a:graphicData>
                    </a:graphic>
                    <wp14:sizeRelH relativeFrom="page">
                      <wp14:pctWidth>69000</wp14:pctWidth>
                    </wp14:sizeRelH>
                    <wp14:sizeRelV relativeFrom="page">
                      <wp14:pctHeight>96000</wp14:pctHeight>
                    </wp14:sizeRelV>
                  </wp:anchor>
                </w:drawing>
              </mc:Choice>
              <mc:Fallback>
                <w:pict>
                  <v:rect w14:anchorId="3DAEA6AB" id="Rectangle 16" o:spid="_x0000_s1027" style="position:absolute;margin-left:0;margin-top:0;width:422.3pt;height:760.1pt;z-index:251659264;visibility:visible;mso-wrap-style:square;mso-width-percent:690;mso-height-percent:960;mso-left-percent:20;mso-top-percent:20;mso-wrap-distance-left:9pt;mso-wrap-distance-top:0;mso-wrap-distance-right:9pt;mso-wrap-distance-bottom:0;mso-position-horizontal-relative:page;mso-position-vertical-relative:page;mso-width-percent:690;mso-height-percent:960;mso-left-percent:20;mso-top-percent:2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" fillcolor="#9acd4c [3204]" stroked="f">
                    <v:textbox inset="21.6pt,1in,21.6pt">
                      <w:txbxContent>
                        <w:p w14:paraId="5BCB5011" w14:textId="64560A13" w:rsidR="00FD57D0" w:rsidRPr="00A83D6B" w:rsidRDefault="00FD57D0" w:rsidP="00FD57D0">
                          <w:pPr>
                            <w:pStyle w:val="Title"/>
                            <w:rPr>
                              <w:caps/>
                              <w:color w:val="75A42E" w:themeColor="accent1" w:themeShade="BF"/>
                              <w:sz w:val="80"/>
                              <w:szCs w:val="80"/>
                            </w:rPr>
                          </w:pPr>
                        </w:p>
                        <w:p w14:paraId="21CB7950" w14:textId="77777777" w:rsidR="00FD57D0" w:rsidRPr="00A83D6B" w:rsidRDefault="00FD57D0">
                          <w:pPr>
                            <w:spacing w:before="240"/>
                            <w:ind w:left="720"/>
                            <w:jc w:val="right"/>
                            <w:rPr>
                              <w:color w:val="75A42E" w:themeColor="accent1" w:themeShade="BF"/>
                            </w:rPr>
                          </w:pPr>
                        </w:p>
                        <w:p w14:paraId="15F9C370" w14:textId="1C27D231" w:rsidR="00FD57D0" w:rsidRPr="00A83D6B" w:rsidRDefault="00FD57D0" w:rsidP="00FD57D0">
                          <w:pPr>
                            <w:spacing w:before="240"/>
                            <w:rPr>
                              <w:color w:val="75A42E" w:themeColor="accent1" w:themeShade="BF"/>
                            </w:rPr>
                          </w:pPr>
                        </w:p>
                      </w:txbxContent>
                    </v:textbox>
                    <w10:wrap anchorx="page" anchory="page"/>
                  </v:rect>
                </w:pict>
              </mc:Fallback>
            </mc:AlternateContent>
          </w:r>
          <w:r>
            <w:rPr>
              <w:noProof/>
            </w:rPr>
            <mc:AlternateContent>
              <mc:Choice Requires="wps">
                <w:drawing>
                  <wp:anchor distT="0" distB="0" distL="114300" distR="114300" simplePos="0" relativeHeight="251660288" behindDoc="0" locked="0" layoutInCell="1" allowOverlap="1" wp14:anchorId="64043A3D" wp14:editId="144D2FEC">
                    <wp:simplePos x="0" y="0"/>
                    <mc:AlternateContent>
                      <mc:Choice Requires="wp14">
                        <wp:positionH relativeFrom="page">
                          <wp14:pctPosHOffset>73000</wp14:pctPosHOffset>
                        </wp:positionH>
                      </mc:Choice>
                      <mc:Fallback>
                        <wp:positionH relativeFrom="page">
                          <wp:posOffset>5673725</wp:posOffset>
                        </wp:positionH>
                      </mc:Fallback>
                    </mc:AlternateContent>
                    <wp:positionV relativeFrom="page">
                      <wp:align>center</wp:align>
                    </wp:positionV>
                    <wp:extent cx="1880870" cy="9655810"/>
                    <wp:effectExtent l="0" t="0" r="5080" b="2540"/>
                    <wp:wrapNone/>
                    <wp:docPr id="472" name="Rectangle 4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80870" cy="965581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9CB5D35" w14:textId="4E885674" w:rsidR="00FD57D0" w:rsidRDefault="00FD57D0">
                                <w:pPr>
                                  <w:pStyle w:val="Subtitle"/>
                                  <w:rPr>
                                    <w:rFonts w:cstheme="minorBidi"/>
                                    <w:color w:val="FFFFFF" w:themeColor="background1"/>
                                  </w:rPr>
                                </w:pPr>
                              </w:p>
                            </w:txbxContent>
                          </wps:txbx>
                          <wps:bodyPr rot="0" spcFirstLastPara="0" vertOverflow="overflow" horzOverflow="overflow" vert="horz" wrap="square" lIns="182880" tIns="45720" rIns="182880" bIns="45720" numCol="1" spcCol="0" rtlCol="0" fromWordArt="0" anchor="ctr" anchorCtr="0" forceAA="0" compatLnSpc="1">
                            <a:prstTxWarp prst="textNoShape">
                              <a:avLst/>
                            </a:prstTxWarp>
                            <a:noAutofit/>
                          </wps:bodyPr>
                        </wps:wsp>
                      </a:graphicData>
                    </a:graphic>
                    <wp14:sizeRelH relativeFrom="page">
                      <wp14:pctWidth>24200</wp14:pctWidth>
                    </wp14:sizeRelH>
                    <wp14:sizeRelV relativeFrom="page">
                      <wp14:pctHeight>96000</wp14:pctHeight>
                    </wp14:sizeRelV>
                  </wp:anchor>
                </w:drawing>
              </mc:Choice>
              <mc:Fallback>
                <w:pict>
                  <v:rect w14:anchorId="64043A3D" id="Rectangle 472" o:spid="_x0000_s1028" style="position:absolute;margin-left:0;margin-top:0;width:148.1pt;height:760.3pt;z-index:251660288;visibility:visible;mso-wrap-style:square;mso-width-percent:242;mso-height-percent:960;mso-left-percent:730;mso-wrap-distance-left:9pt;mso-wrap-distance-top:0;mso-wrap-distance-right:9pt;mso-wrap-distance-bottom:0;mso-position-horizontal-relative:page;mso-position-vertical:center;mso-position-vertical-relative:page;mso-width-percent:242;mso-height-percent:960;mso-left-percent:73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" fillcolor="#faa93a [3205]" stroked="f" strokeweight="1.25pt">
                    <v:textbox inset="14.4pt,,14.4pt">
                      <w:txbxContent>
                        <w:p w14:paraId="29CB5D35" w14:textId="4E885674" w:rsidR="00FD57D0" w:rsidRDefault="00FD57D0">
                          <w:pPr>
                            <w:pStyle w:val="Subtitle"/>
                            <w:rPr>
                              <w:rFonts w:cstheme="minorBidi"/>
                              <w:color w:val="FFFFFF" w:themeColor="background1"/>
                            </w:rPr>
                          </w:pPr>
                        </w:p>
                      </w:txbxContent>
                    </v:textbox>
                    <w10:wrap anchorx="page" anchory="page"/>
                  </v:rect>
                </w:pict>
              </mc:Fallback>
            </mc:AlternateContent>
          </w:r>
        </w:p>
        <w:p w14:paraId="5A104833" w14:textId="77777777" w:rsidR="00FD57D0" w:rsidRDefault="00FD57D0"/>
        <w:p w14:paraId="30747B00" w14:textId="7F9F79B3" w:rsidR="00FD57D0" w:rsidRDefault="00787129" w:rsidP="00FD57D0">
          <w:pPr>
            <w:spacing w:before="0" w:after="160" w:line="259" w:lineRule="auto"/>
          </w:pPr>
        </w:p>
      </w:sdtContent>
    </w:sdt>
    <w:p w14:paraId="0D427C42" w14:textId="31AC0F51" w:rsidR="00E63A09" w:rsidRPr="00E63A09" w:rsidRDefault="00E63A09" w:rsidP="00FD57D0">
      <w:pPr>
        <w:spacing w:before="0" w:after="160" w:line="259" w:lineRule="auto"/>
      </w:pPr>
      <w:r>
        <w:br w:type="page"/>
      </w:r>
    </w:p>
    <w:p w14:paraId="15D2113C" w14:textId="211A6933" w:rsidR="00E63A09" w:rsidRDefault="00E63A09" w:rsidP="00A83D6B">
      <w:pPr>
        <w:pStyle w:val="Heading1"/>
      </w:pPr>
      <w:r w:rsidRPr="001E53A2">
        <w:lastRenderedPageBreak/>
        <w:t>What is a Community Health Assessment and Community Health Improvement Plan?</w:t>
      </w:r>
      <w:bookmarkEnd w:id="0"/>
    </w:p>
    <w:p w14:paraId="06F9FB6B" w14:textId="2676515B" w:rsidR="00A83D6B" w:rsidRDefault="00A83D6B" w:rsidP="00A83D6B">
      <w:pPr>
        <w:rPr>
          <w:rFonts w:ascii="Tw Cen MT" w:hAnsi="Tw Cen MT"/>
        </w:rPr>
      </w:pPr>
      <w:bookmarkStart w:id="1" w:name="_Toc122531190"/>
      <w:r w:rsidRPr="004B3E5C">
        <w:rPr>
          <w:rFonts w:ascii="Tw Cen MT" w:hAnsi="Tw Cen MT"/>
        </w:rPr>
        <w:t xml:space="preserve">The Community Health Assessment (CHA) describes the overall health of the community by presenting information on health status, factors that influence health, and community needs and assets. </w:t>
      </w:r>
      <w:r>
        <w:rPr>
          <w:rFonts w:ascii="Tw Cen MT" w:hAnsi="Tw Cen MT"/>
        </w:rPr>
        <w:t>As a</w:t>
      </w:r>
      <w:r w:rsidRPr="004B3E5C">
        <w:rPr>
          <w:rFonts w:ascii="Tw Cen MT" w:hAnsi="Tw Cen MT"/>
        </w:rPr>
        <w:t xml:space="preserve"> foundation</w:t>
      </w:r>
      <w:r>
        <w:rPr>
          <w:rFonts w:ascii="Tw Cen MT" w:hAnsi="Tw Cen MT"/>
        </w:rPr>
        <w:t>al public health ser</w:t>
      </w:r>
      <w:r w:rsidRPr="004B3E5C">
        <w:rPr>
          <w:rFonts w:ascii="Tw Cen MT" w:hAnsi="Tw Cen MT"/>
        </w:rPr>
        <w:t>vice</w:t>
      </w:r>
      <w:r>
        <w:rPr>
          <w:rFonts w:ascii="Tw Cen MT" w:hAnsi="Tw Cen MT"/>
        </w:rPr>
        <w:t>, the CHA allows</w:t>
      </w:r>
      <w:r w:rsidR="00286C7C">
        <w:rPr>
          <w:rFonts w:ascii="Tw Cen MT" w:hAnsi="Tw Cen MT"/>
        </w:rPr>
        <w:t xml:space="preserve"> the Orange County Department of Health (OCDOH) </w:t>
      </w:r>
      <w:r w:rsidRPr="004B3E5C">
        <w:rPr>
          <w:rFonts w:ascii="Tw Cen MT" w:hAnsi="Tw Cen MT"/>
        </w:rPr>
        <w:t>to assess and monitor health and to identify</w:t>
      </w:r>
      <w:r w:rsidR="00286C7C">
        <w:rPr>
          <w:rFonts w:ascii="Tw Cen MT" w:hAnsi="Tw Cen MT"/>
        </w:rPr>
        <w:t xml:space="preserve"> specific</w:t>
      </w:r>
      <w:r w:rsidRPr="004B3E5C">
        <w:rPr>
          <w:rFonts w:ascii="Tw Cen MT" w:hAnsi="Tw Cen MT"/>
        </w:rPr>
        <w:t xml:space="preserve"> populations that may be at </w:t>
      </w:r>
      <w:r w:rsidR="00256D2C">
        <w:rPr>
          <w:rFonts w:ascii="Tw Cen MT" w:hAnsi="Tw Cen MT"/>
        </w:rPr>
        <w:t xml:space="preserve">an </w:t>
      </w:r>
      <w:r w:rsidRPr="004B3E5C">
        <w:rPr>
          <w:rFonts w:ascii="Tw Cen MT" w:hAnsi="Tw Cen MT"/>
        </w:rPr>
        <w:t>increased risk of poor health outcomes. Through systematic, comprehensive data analysis, the CHA identifies key health priorities as outlined by the New York State Department of Health’s (NYSDOH) Prevention Agenda. The Community Health Improvement Plan (CHIP) is a long-term</w:t>
      </w:r>
      <w:r w:rsidR="00286C7C">
        <w:rPr>
          <w:rFonts w:ascii="Tw Cen MT" w:hAnsi="Tw Cen MT"/>
        </w:rPr>
        <w:t>,</w:t>
      </w:r>
      <w:r w:rsidRPr="004B3E5C">
        <w:rPr>
          <w:rFonts w:ascii="Tw Cen MT" w:hAnsi="Tw Cen MT"/>
        </w:rPr>
        <w:t xml:space="preserve"> </w:t>
      </w:r>
      <w:r>
        <w:rPr>
          <w:rFonts w:ascii="Tw Cen MT" w:hAnsi="Tw Cen MT"/>
        </w:rPr>
        <w:t>system-wide</w:t>
      </w:r>
      <w:r w:rsidRPr="004B3E5C">
        <w:rPr>
          <w:rFonts w:ascii="Tw Cen MT" w:hAnsi="Tw Cen MT"/>
        </w:rPr>
        <w:t xml:space="preserve"> effort to improve resident health by addressing the</w:t>
      </w:r>
      <w:r w:rsidR="00286C7C">
        <w:rPr>
          <w:rFonts w:ascii="Tw Cen MT" w:hAnsi="Tw Cen MT"/>
        </w:rPr>
        <w:t>se</w:t>
      </w:r>
      <w:r w:rsidRPr="004B3E5C">
        <w:rPr>
          <w:rFonts w:ascii="Tw Cen MT" w:hAnsi="Tw Cen MT"/>
        </w:rPr>
        <w:t xml:space="preserve"> </w:t>
      </w:r>
      <w:r w:rsidR="00286C7C">
        <w:rPr>
          <w:rFonts w:ascii="Tw Cen MT" w:hAnsi="Tw Cen MT"/>
        </w:rPr>
        <w:t xml:space="preserve">identified </w:t>
      </w:r>
      <w:r w:rsidRPr="004B3E5C">
        <w:rPr>
          <w:rFonts w:ascii="Tw Cen MT" w:hAnsi="Tw Cen MT"/>
        </w:rPr>
        <w:t xml:space="preserve">public health priorities. Creating </w:t>
      </w:r>
      <w:r w:rsidR="00286C7C">
        <w:rPr>
          <w:rFonts w:ascii="Tw Cen MT" w:hAnsi="Tw Cen MT"/>
        </w:rPr>
        <w:t xml:space="preserve">both </w:t>
      </w:r>
      <w:r w:rsidRPr="004B3E5C">
        <w:rPr>
          <w:rFonts w:ascii="Tw Cen MT" w:hAnsi="Tw Cen MT"/>
        </w:rPr>
        <w:t>the CHA and CHIP is a collaborative process</w:t>
      </w:r>
      <w:r w:rsidR="00286C7C">
        <w:rPr>
          <w:rFonts w:ascii="Tw Cen MT" w:hAnsi="Tw Cen MT"/>
        </w:rPr>
        <w:t>. The OCDOH</w:t>
      </w:r>
      <w:r>
        <w:rPr>
          <w:rFonts w:ascii="Tw Cen MT" w:hAnsi="Tw Cen MT"/>
        </w:rPr>
        <w:t xml:space="preserve">, </w:t>
      </w:r>
      <w:r w:rsidRPr="004B3E5C">
        <w:rPr>
          <w:rFonts w:ascii="Tw Cen MT" w:hAnsi="Tw Cen MT"/>
        </w:rPr>
        <w:t>key</w:t>
      </w:r>
      <w:r>
        <w:rPr>
          <w:rFonts w:ascii="Tw Cen MT" w:hAnsi="Tw Cen MT"/>
        </w:rPr>
        <w:t xml:space="preserve"> partners</w:t>
      </w:r>
      <w:r w:rsidRPr="004B3E5C">
        <w:rPr>
          <w:rFonts w:ascii="Tw Cen MT" w:hAnsi="Tw Cen MT"/>
        </w:rPr>
        <w:t xml:space="preserve">, </w:t>
      </w:r>
      <w:r w:rsidR="00286C7C">
        <w:rPr>
          <w:rFonts w:ascii="Tw Cen MT" w:hAnsi="Tw Cen MT"/>
        </w:rPr>
        <w:t xml:space="preserve">area hospitals, </w:t>
      </w:r>
      <w:r>
        <w:rPr>
          <w:rFonts w:ascii="Tw Cen MT" w:hAnsi="Tw Cen MT"/>
        </w:rPr>
        <w:t xml:space="preserve">and </w:t>
      </w:r>
      <w:r w:rsidRPr="004B3E5C">
        <w:rPr>
          <w:rFonts w:ascii="Tw Cen MT" w:hAnsi="Tw Cen MT"/>
        </w:rPr>
        <w:t xml:space="preserve">diverse stakeholders </w:t>
      </w:r>
      <w:r w:rsidR="00286C7C">
        <w:rPr>
          <w:rFonts w:ascii="Tw Cen MT" w:hAnsi="Tw Cen MT"/>
        </w:rPr>
        <w:t>work together</w:t>
      </w:r>
      <w:r w:rsidRPr="004B3E5C">
        <w:rPr>
          <w:rFonts w:ascii="Tw Cen MT" w:hAnsi="Tw Cen MT"/>
        </w:rPr>
        <w:t xml:space="preserve"> to coordinate efforts, establish priorities, and combine resources to guide h</w:t>
      </w:r>
      <w:r>
        <w:rPr>
          <w:rFonts w:ascii="Tw Cen MT" w:hAnsi="Tw Cen MT"/>
        </w:rPr>
        <w:t>e</w:t>
      </w:r>
      <w:r w:rsidRPr="004B3E5C">
        <w:rPr>
          <w:rFonts w:ascii="Tw Cen MT" w:hAnsi="Tw Cen MT"/>
        </w:rPr>
        <w:t>alth promotion strategies.</w:t>
      </w:r>
    </w:p>
    <w:p w14:paraId="155E4B34" w14:textId="4E4E4D8F" w:rsidR="00E63A09" w:rsidRDefault="00E63A09" w:rsidP="00A83D6B">
      <w:pPr>
        <w:pStyle w:val="Heading1"/>
      </w:pPr>
      <w:r>
        <w:t xml:space="preserve">What Does the </w:t>
      </w:r>
      <w:r w:rsidR="002D0310">
        <w:t>CHA/</w:t>
      </w:r>
      <w:r>
        <w:t>CHIP Process Look Like?</w:t>
      </w:r>
      <w:bookmarkEnd w:id="1"/>
    </w:p>
    <w:p w14:paraId="15569382" w14:textId="59234530" w:rsidR="00A83D6B" w:rsidRDefault="00A83D6B" w:rsidP="00A83D6B">
      <w:pPr>
        <w:rPr>
          <w:rFonts w:ascii="Tw Cen MT" w:hAnsi="Tw Cen MT"/>
        </w:rPr>
      </w:pPr>
      <w:bookmarkStart w:id="2" w:name="_Toc122531191"/>
      <w:r w:rsidRPr="008F0415">
        <w:rPr>
          <w:rFonts w:ascii="Tw Cen MT" w:hAnsi="Tw Cen MT"/>
        </w:rPr>
        <w:t>The OCDOH utilizes the Mobilizing for Action through Planning and Partnership</w:t>
      </w:r>
      <w:r w:rsidR="00286C7C">
        <w:rPr>
          <w:rFonts w:ascii="Tw Cen MT" w:hAnsi="Tw Cen MT"/>
        </w:rPr>
        <w:t>s</w:t>
      </w:r>
      <w:r w:rsidRPr="008F0415">
        <w:rPr>
          <w:rFonts w:ascii="Tw Cen MT" w:hAnsi="Tw Cen MT"/>
        </w:rPr>
        <w:t xml:space="preserve"> (MAPP) 2.0 framework developed by the National Association for County and City Health Officials. MAPP is a community-driven strategic planning process that streamlines </w:t>
      </w:r>
      <w:r w:rsidR="00286C7C">
        <w:rPr>
          <w:rFonts w:ascii="Tw Cen MT" w:hAnsi="Tw Cen MT"/>
        </w:rPr>
        <w:t xml:space="preserve">the </w:t>
      </w:r>
      <w:r w:rsidRPr="008F0415">
        <w:rPr>
          <w:rFonts w:ascii="Tw Cen MT" w:hAnsi="Tw Cen MT"/>
        </w:rPr>
        <w:t xml:space="preserve">prioritization of health issues, </w:t>
      </w:r>
      <w:r w:rsidR="00286C7C">
        <w:rPr>
          <w:rFonts w:ascii="Tw Cen MT" w:hAnsi="Tw Cen MT"/>
        </w:rPr>
        <w:t xml:space="preserve">the </w:t>
      </w:r>
      <w:r w:rsidRPr="008F0415">
        <w:rPr>
          <w:rFonts w:ascii="Tw Cen MT" w:hAnsi="Tw Cen MT"/>
        </w:rPr>
        <w:t xml:space="preserve">identification of resources, and </w:t>
      </w:r>
      <w:r w:rsidR="00286C7C">
        <w:rPr>
          <w:rFonts w:ascii="Tw Cen MT" w:hAnsi="Tw Cen MT"/>
        </w:rPr>
        <w:t xml:space="preserve">the </w:t>
      </w:r>
      <w:r w:rsidRPr="008F0415">
        <w:rPr>
          <w:rFonts w:ascii="Tw Cen MT" w:hAnsi="Tw Cen MT"/>
        </w:rPr>
        <w:t xml:space="preserve">advancement of health equity. As part of the assessment phase, the OCDOH </w:t>
      </w:r>
      <w:r w:rsidR="00286C7C">
        <w:rPr>
          <w:rFonts w:ascii="Tw Cen MT" w:hAnsi="Tw Cen MT"/>
        </w:rPr>
        <w:t>collaborated</w:t>
      </w:r>
      <w:r w:rsidRPr="008F0415">
        <w:rPr>
          <w:rFonts w:ascii="Tw Cen MT" w:hAnsi="Tw Cen MT"/>
        </w:rPr>
        <w:t xml:space="preserve"> with the other six Mid-Hudson (M-H) Region </w:t>
      </w:r>
      <w:r w:rsidR="00286C7C">
        <w:rPr>
          <w:rFonts w:ascii="Tw Cen MT" w:hAnsi="Tw Cen MT"/>
        </w:rPr>
        <w:t>LHDs</w:t>
      </w:r>
      <w:r w:rsidRPr="008F0415">
        <w:rPr>
          <w:rFonts w:ascii="Tw Cen MT" w:hAnsi="Tw Cen MT"/>
        </w:rPr>
        <w:t xml:space="preserve"> and area hospitals to conduct the M-H Region CHA during the spring and summer of 2025. The </w:t>
      </w:r>
      <w:r w:rsidR="00286C7C">
        <w:rPr>
          <w:rFonts w:ascii="Tw Cen MT" w:hAnsi="Tw Cen MT"/>
        </w:rPr>
        <w:t xml:space="preserve">regional </w:t>
      </w:r>
      <w:r w:rsidRPr="008F0415">
        <w:rPr>
          <w:rFonts w:ascii="Tw Cen MT" w:hAnsi="Tw Cen MT"/>
        </w:rPr>
        <w:t xml:space="preserve">findings were shared with the OC </w:t>
      </w:r>
      <w:r w:rsidR="00256D2C">
        <w:rPr>
          <w:rFonts w:ascii="Tw Cen MT" w:hAnsi="Tw Cen MT"/>
        </w:rPr>
        <w:t>c</w:t>
      </w:r>
      <w:r w:rsidRPr="008F0415">
        <w:rPr>
          <w:rFonts w:ascii="Tw Cen MT" w:hAnsi="Tw Cen MT"/>
        </w:rPr>
        <w:t>ommunity in the fall of 2025</w:t>
      </w:r>
      <w:r w:rsidRPr="00E500FE">
        <w:rPr>
          <w:rFonts w:ascii="Tw Cen MT" w:hAnsi="Tw Cen MT"/>
        </w:rPr>
        <w:t xml:space="preserve">. </w:t>
      </w:r>
      <w:r w:rsidRPr="009E1971">
        <w:rPr>
          <w:rFonts w:ascii="Tw Cen MT" w:hAnsi="Tw Cen MT"/>
        </w:rPr>
        <w:t xml:space="preserve">Based on </w:t>
      </w:r>
      <w:r w:rsidR="00286C7C">
        <w:rPr>
          <w:rFonts w:ascii="Tw Cen MT" w:hAnsi="Tw Cen MT"/>
        </w:rPr>
        <w:t>partner input</w:t>
      </w:r>
      <w:r w:rsidRPr="009E1971">
        <w:rPr>
          <w:rFonts w:ascii="Tw Cen MT" w:hAnsi="Tw Cen MT"/>
        </w:rPr>
        <w:t xml:space="preserve">, additional sub-county level analysis was conducted </w:t>
      </w:r>
      <w:r w:rsidR="00286C7C">
        <w:rPr>
          <w:rFonts w:ascii="Tw Cen MT" w:hAnsi="Tw Cen MT"/>
        </w:rPr>
        <w:t>that same winter</w:t>
      </w:r>
      <w:r w:rsidR="00855BA6">
        <w:rPr>
          <w:rFonts w:ascii="Tw Cen MT" w:hAnsi="Tw Cen MT"/>
        </w:rPr>
        <w:t>,</w:t>
      </w:r>
      <w:r w:rsidRPr="009E1971">
        <w:rPr>
          <w:rFonts w:ascii="Tw Cen MT" w:hAnsi="Tw Cen MT"/>
        </w:rPr>
        <w:t xml:space="preserve"> </w:t>
      </w:r>
      <w:r w:rsidR="00286C7C">
        <w:rPr>
          <w:rFonts w:ascii="Tw Cen MT" w:hAnsi="Tw Cen MT"/>
        </w:rPr>
        <w:t xml:space="preserve">leading to the completion of the </w:t>
      </w:r>
      <w:r w:rsidR="00F1475C">
        <w:rPr>
          <w:rFonts w:ascii="Tw Cen MT" w:hAnsi="Tw Cen MT"/>
        </w:rPr>
        <w:t>OC CHA in January 2026</w:t>
      </w:r>
      <w:r w:rsidRPr="009E1971">
        <w:rPr>
          <w:rFonts w:ascii="Tw Cen MT" w:hAnsi="Tw Cen MT"/>
        </w:rPr>
        <w:t>.</w:t>
      </w:r>
      <w:r w:rsidR="004A2778">
        <w:rPr>
          <w:rFonts w:ascii="Tw Cen MT" w:hAnsi="Tw Cen MT"/>
        </w:rPr>
        <w:t xml:space="preserve"> To assess the most pressing health needs of </w:t>
      </w:r>
      <w:proofErr w:type="gramStart"/>
      <w:r w:rsidR="00286C7C">
        <w:rPr>
          <w:rFonts w:ascii="Tw Cen MT" w:hAnsi="Tw Cen MT"/>
        </w:rPr>
        <w:t xml:space="preserve">local </w:t>
      </w:r>
      <w:r w:rsidR="004A2778">
        <w:rPr>
          <w:rFonts w:ascii="Tw Cen MT" w:hAnsi="Tw Cen MT"/>
        </w:rPr>
        <w:t>residents</w:t>
      </w:r>
      <w:proofErr w:type="gramEnd"/>
      <w:r w:rsidR="004A2778">
        <w:rPr>
          <w:rFonts w:ascii="Tw Cen MT" w:hAnsi="Tw Cen MT"/>
        </w:rPr>
        <w:t xml:space="preserve">, </w:t>
      </w:r>
      <w:r w:rsidR="00286C7C">
        <w:rPr>
          <w:rFonts w:ascii="Tw Cen MT" w:hAnsi="Tw Cen MT"/>
        </w:rPr>
        <w:t xml:space="preserve">the assessment drew upon </w:t>
      </w:r>
      <w:r w:rsidR="004A2778">
        <w:rPr>
          <w:rFonts w:ascii="Tw Cen MT" w:hAnsi="Tw Cen MT"/>
        </w:rPr>
        <w:t xml:space="preserve">extensive </w:t>
      </w:r>
      <w:r w:rsidR="002D0310">
        <w:rPr>
          <w:rFonts w:ascii="Tw Cen MT" w:hAnsi="Tw Cen MT"/>
        </w:rPr>
        <w:t xml:space="preserve">data </w:t>
      </w:r>
      <w:r w:rsidR="004A2778">
        <w:rPr>
          <w:rFonts w:ascii="Tw Cen MT" w:hAnsi="Tw Cen MT"/>
        </w:rPr>
        <w:t>review and analys</w:t>
      </w:r>
      <w:r w:rsidR="00286C7C">
        <w:rPr>
          <w:rFonts w:ascii="Tw Cen MT" w:hAnsi="Tw Cen MT"/>
        </w:rPr>
        <w:t>i</w:t>
      </w:r>
      <w:r w:rsidR="002D0310">
        <w:rPr>
          <w:rFonts w:ascii="Tw Cen MT" w:hAnsi="Tw Cen MT"/>
        </w:rPr>
        <w:t xml:space="preserve">s </w:t>
      </w:r>
      <w:r w:rsidR="004A2778">
        <w:rPr>
          <w:rFonts w:ascii="Tw Cen MT" w:hAnsi="Tw Cen MT"/>
        </w:rPr>
        <w:t>from over 30 secondary and 7 primary data sources.</w:t>
      </w:r>
    </w:p>
    <w:p w14:paraId="4D1D4F8D" w14:textId="09394DE1" w:rsidR="00F1475C" w:rsidRDefault="00F1475C" w:rsidP="00A83D6B">
      <w:pPr>
        <w:rPr>
          <w:rFonts w:ascii="Tw Cen MT" w:hAnsi="Tw Cen MT"/>
        </w:rPr>
      </w:pPr>
      <w:r>
        <w:rPr>
          <w:rFonts w:ascii="Tw Cen MT" w:hAnsi="Tw Cen MT"/>
        </w:rPr>
        <w:t>Following the MAPP 2.0 framework, health priorities were identified through a rigorous process of data triangulation. This method synthesized findings from three essential assessments:</w:t>
      </w:r>
    </w:p>
    <w:p w14:paraId="68B59ED7" w14:textId="2C0CFC57" w:rsidR="00F1475C" w:rsidRDefault="00F1475C" w:rsidP="00F1475C">
      <w:pPr>
        <w:pStyle w:val="ListParagraph"/>
        <w:numPr>
          <w:ilvl w:val="0"/>
          <w:numId w:val="6"/>
        </w:numPr>
        <w:rPr>
          <w:rFonts w:ascii="Tw Cen MT" w:hAnsi="Tw Cen MT"/>
        </w:rPr>
      </w:pPr>
      <w:r>
        <w:rPr>
          <w:rFonts w:ascii="Tw Cen MT" w:hAnsi="Tw Cen MT"/>
        </w:rPr>
        <w:t>Community Status Assessment</w:t>
      </w:r>
      <w:r w:rsidR="00286C7C">
        <w:rPr>
          <w:rFonts w:ascii="Tw Cen MT" w:hAnsi="Tw Cen MT"/>
        </w:rPr>
        <w:t>: An</w:t>
      </w:r>
      <w:r>
        <w:rPr>
          <w:rFonts w:ascii="Tw Cen MT" w:hAnsi="Tw Cen MT"/>
        </w:rPr>
        <w:t>alyzed quantitative health outcomes and social determinants of health to identify existing inequities. This include</w:t>
      </w:r>
      <w:r w:rsidR="00286C7C">
        <w:rPr>
          <w:rFonts w:ascii="Tw Cen MT" w:hAnsi="Tw Cen MT"/>
        </w:rPr>
        <w:t>d</w:t>
      </w:r>
      <w:r>
        <w:rPr>
          <w:rFonts w:ascii="Tw Cen MT" w:hAnsi="Tw Cen MT"/>
        </w:rPr>
        <w:t xml:space="preserve"> a review of demographics, morbidity</w:t>
      </w:r>
      <w:r w:rsidR="00286C7C">
        <w:rPr>
          <w:rFonts w:ascii="Tw Cen MT" w:hAnsi="Tw Cen MT"/>
        </w:rPr>
        <w:t xml:space="preserve">, </w:t>
      </w:r>
      <w:r>
        <w:rPr>
          <w:rFonts w:ascii="Tw Cen MT" w:hAnsi="Tw Cen MT"/>
        </w:rPr>
        <w:t>mortality, and health behaviors.</w:t>
      </w:r>
    </w:p>
    <w:p w14:paraId="095C4D50" w14:textId="2C47E12B" w:rsidR="00F1475C" w:rsidRDefault="00F1475C" w:rsidP="00F1475C">
      <w:pPr>
        <w:pStyle w:val="ListParagraph"/>
        <w:numPr>
          <w:ilvl w:val="0"/>
          <w:numId w:val="6"/>
        </w:numPr>
        <w:rPr>
          <w:rFonts w:ascii="Tw Cen MT" w:hAnsi="Tw Cen MT"/>
        </w:rPr>
      </w:pPr>
      <w:r>
        <w:rPr>
          <w:rFonts w:ascii="Tw Cen MT" w:hAnsi="Tw Cen MT"/>
        </w:rPr>
        <w:t>Community Context Assessment</w:t>
      </w:r>
      <w:r w:rsidR="00286C7C">
        <w:rPr>
          <w:rFonts w:ascii="Tw Cen MT" w:hAnsi="Tw Cen MT"/>
        </w:rPr>
        <w:t xml:space="preserve">: Captured </w:t>
      </w:r>
      <w:r>
        <w:rPr>
          <w:rFonts w:ascii="Tw Cen MT" w:hAnsi="Tw Cen MT"/>
        </w:rPr>
        <w:t xml:space="preserve">qualitative insights and lived experiences to understand the human impact of social systems. This included a review of the Forces of Change Assessment, the Community Asset Survey, </w:t>
      </w:r>
      <w:r w:rsidR="00286C7C">
        <w:rPr>
          <w:rFonts w:ascii="Tw Cen MT" w:hAnsi="Tw Cen MT"/>
        </w:rPr>
        <w:t>focus groups</w:t>
      </w:r>
      <w:r>
        <w:rPr>
          <w:rFonts w:ascii="Tw Cen MT" w:hAnsi="Tw Cen MT"/>
        </w:rPr>
        <w:t xml:space="preserve"> with underrepresented </w:t>
      </w:r>
      <w:r w:rsidR="00A503F0">
        <w:rPr>
          <w:rFonts w:ascii="Tw Cen MT" w:hAnsi="Tw Cen MT"/>
        </w:rPr>
        <w:t>community members</w:t>
      </w:r>
      <w:r>
        <w:rPr>
          <w:rFonts w:ascii="Tw Cen MT" w:hAnsi="Tw Cen MT"/>
        </w:rPr>
        <w:t xml:space="preserve">, </w:t>
      </w:r>
      <w:r w:rsidR="00286C7C">
        <w:rPr>
          <w:rFonts w:ascii="Tw Cen MT" w:hAnsi="Tw Cen MT"/>
        </w:rPr>
        <w:t>k</w:t>
      </w:r>
      <w:r>
        <w:rPr>
          <w:rFonts w:ascii="Tw Cen MT" w:hAnsi="Tw Cen MT"/>
        </w:rPr>
        <w:t xml:space="preserve">ey </w:t>
      </w:r>
      <w:r w:rsidR="00286C7C">
        <w:rPr>
          <w:rFonts w:ascii="Tw Cen MT" w:hAnsi="Tw Cen MT"/>
        </w:rPr>
        <w:t>i</w:t>
      </w:r>
      <w:r>
        <w:rPr>
          <w:rFonts w:ascii="Tw Cen MT" w:hAnsi="Tw Cen MT"/>
        </w:rPr>
        <w:t xml:space="preserve">nformant </w:t>
      </w:r>
      <w:r w:rsidR="00286C7C">
        <w:rPr>
          <w:rFonts w:ascii="Tw Cen MT" w:hAnsi="Tw Cen MT"/>
        </w:rPr>
        <w:t>i</w:t>
      </w:r>
      <w:r>
        <w:rPr>
          <w:rFonts w:ascii="Tw Cen MT" w:hAnsi="Tw Cen MT"/>
        </w:rPr>
        <w:t xml:space="preserve">nterviews, </w:t>
      </w:r>
      <w:r w:rsidR="00286C7C">
        <w:rPr>
          <w:rFonts w:ascii="Tw Cen MT" w:hAnsi="Tw Cen MT"/>
        </w:rPr>
        <w:t xml:space="preserve">the </w:t>
      </w:r>
      <w:r w:rsidR="00891E32">
        <w:rPr>
          <w:rFonts w:ascii="Tw Cen MT" w:hAnsi="Tw Cen MT"/>
        </w:rPr>
        <w:t>Resident Priority Selection Survey,</w:t>
      </w:r>
      <w:r w:rsidR="00286C7C">
        <w:rPr>
          <w:rFonts w:ascii="Tw Cen MT" w:hAnsi="Tw Cen MT"/>
        </w:rPr>
        <w:t xml:space="preserve"> the</w:t>
      </w:r>
      <w:r w:rsidR="00891E32">
        <w:rPr>
          <w:rFonts w:ascii="Tw Cen MT" w:hAnsi="Tw Cen MT"/>
        </w:rPr>
        <w:t xml:space="preserve"> </w:t>
      </w:r>
      <w:r w:rsidR="00906C27">
        <w:rPr>
          <w:rFonts w:ascii="Tw Cen MT" w:hAnsi="Tw Cen MT"/>
        </w:rPr>
        <w:t xml:space="preserve">Provider Survey, </w:t>
      </w:r>
      <w:r w:rsidR="00891E32">
        <w:rPr>
          <w:rFonts w:ascii="Tw Cen MT" w:hAnsi="Tw Cen MT"/>
        </w:rPr>
        <w:t xml:space="preserve">and </w:t>
      </w:r>
      <w:r>
        <w:rPr>
          <w:rFonts w:ascii="Tw Cen MT" w:hAnsi="Tw Cen MT"/>
        </w:rPr>
        <w:t xml:space="preserve">the </w:t>
      </w:r>
      <w:r w:rsidR="00286C7C">
        <w:rPr>
          <w:rFonts w:ascii="Tw Cen MT" w:hAnsi="Tw Cen MT"/>
        </w:rPr>
        <w:t>OC</w:t>
      </w:r>
      <w:r>
        <w:rPr>
          <w:rFonts w:ascii="Tw Cen MT" w:hAnsi="Tw Cen MT"/>
        </w:rPr>
        <w:t xml:space="preserve"> Community Health Survey</w:t>
      </w:r>
      <w:r w:rsidR="00891E32">
        <w:rPr>
          <w:rFonts w:ascii="Tw Cen MT" w:hAnsi="Tw Cen MT"/>
        </w:rPr>
        <w:t xml:space="preserve">. These assessments were completed </w:t>
      </w:r>
      <w:r w:rsidR="004575EE">
        <w:rPr>
          <w:rFonts w:ascii="Tw Cen MT" w:hAnsi="Tw Cen MT"/>
        </w:rPr>
        <w:t>across the county</w:t>
      </w:r>
      <w:r w:rsidR="00891E32">
        <w:rPr>
          <w:rFonts w:ascii="Tw Cen MT" w:hAnsi="Tw Cen MT"/>
        </w:rPr>
        <w:t xml:space="preserve"> and included feedback from over 2,200 </w:t>
      </w:r>
      <w:proofErr w:type="gramStart"/>
      <w:r w:rsidR="004575EE">
        <w:rPr>
          <w:rFonts w:ascii="Tw Cen MT" w:hAnsi="Tw Cen MT"/>
        </w:rPr>
        <w:t xml:space="preserve">local </w:t>
      </w:r>
      <w:r w:rsidR="00891E32">
        <w:rPr>
          <w:rFonts w:ascii="Tw Cen MT" w:hAnsi="Tw Cen MT"/>
        </w:rPr>
        <w:t>residents</w:t>
      </w:r>
      <w:proofErr w:type="gramEnd"/>
      <w:r w:rsidR="00891E32">
        <w:rPr>
          <w:rFonts w:ascii="Tw Cen MT" w:hAnsi="Tw Cen MT"/>
        </w:rPr>
        <w:t>.</w:t>
      </w:r>
    </w:p>
    <w:p w14:paraId="6FC9F7AD" w14:textId="30937AEC" w:rsidR="00F1475C" w:rsidRDefault="00F1475C" w:rsidP="00F1475C">
      <w:pPr>
        <w:pStyle w:val="ListParagraph"/>
        <w:numPr>
          <w:ilvl w:val="0"/>
          <w:numId w:val="6"/>
        </w:numPr>
        <w:rPr>
          <w:rFonts w:ascii="Tw Cen MT" w:hAnsi="Tw Cen MT"/>
        </w:rPr>
      </w:pPr>
      <w:r>
        <w:rPr>
          <w:rFonts w:ascii="Tw Cen MT" w:hAnsi="Tw Cen MT"/>
        </w:rPr>
        <w:t>Community Partner Assessment</w:t>
      </w:r>
      <w:r w:rsidR="00286C7C">
        <w:rPr>
          <w:rFonts w:ascii="Tw Cen MT" w:hAnsi="Tw Cen MT"/>
        </w:rPr>
        <w:t>: E</w:t>
      </w:r>
      <w:r>
        <w:rPr>
          <w:rFonts w:ascii="Tw Cen MT" w:hAnsi="Tw Cen MT"/>
        </w:rPr>
        <w:t>valuated the collect</w:t>
      </w:r>
      <w:r w:rsidR="00286C7C">
        <w:rPr>
          <w:rFonts w:ascii="Tw Cen MT" w:hAnsi="Tw Cen MT"/>
        </w:rPr>
        <w:t>ive</w:t>
      </w:r>
      <w:r>
        <w:rPr>
          <w:rFonts w:ascii="Tw Cen MT" w:hAnsi="Tw Cen MT"/>
        </w:rPr>
        <w:t xml:space="preserve"> capacity of our public health network to address these identified disparities. </w:t>
      </w:r>
      <w:r w:rsidR="00286C7C">
        <w:rPr>
          <w:rFonts w:ascii="Tw Cen MT" w:hAnsi="Tw Cen MT"/>
        </w:rPr>
        <w:t>These a</w:t>
      </w:r>
      <w:r>
        <w:rPr>
          <w:rFonts w:ascii="Tw Cen MT" w:hAnsi="Tw Cen MT"/>
        </w:rPr>
        <w:t>ssessments occurred during the Orange County Health Summit and collaborative meetings</w:t>
      </w:r>
      <w:r w:rsidR="00891E32">
        <w:rPr>
          <w:rFonts w:ascii="Tw Cen MT" w:hAnsi="Tw Cen MT"/>
        </w:rPr>
        <w:t xml:space="preserve"> with over 1</w:t>
      </w:r>
      <w:r w:rsidR="009B7B59">
        <w:rPr>
          <w:rFonts w:ascii="Tw Cen MT" w:hAnsi="Tw Cen MT"/>
        </w:rPr>
        <w:t>40</w:t>
      </w:r>
      <w:r w:rsidR="00891E32">
        <w:rPr>
          <w:rFonts w:ascii="Tw Cen MT" w:hAnsi="Tw Cen MT"/>
        </w:rPr>
        <w:t xml:space="preserve"> partners in 2025</w:t>
      </w:r>
      <w:r>
        <w:rPr>
          <w:rFonts w:ascii="Tw Cen MT" w:hAnsi="Tw Cen MT"/>
        </w:rPr>
        <w:t>.</w:t>
      </w:r>
    </w:p>
    <w:p w14:paraId="5E42BEA4" w14:textId="368186CD" w:rsidR="002108FB" w:rsidRDefault="00B9416E" w:rsidP="00A5535B">
      <w:pPr>
        <w:rPr>
          <w:rFonts w:ascii="Tw Cen MT" w:hAnsi="Tw Cen MT"/>
        </w:rPr>
      </w:pPr>
      <w:r>
        <w:rPr>
          <w:rFonts w:ascii="Tw Cen MT" w:hAnsi="Tw Cen MT"/>
        </w:rPr>
        <w:t xml:space="preserve">The </w:t>
      </w:r>
      <w:r w:rsidR="002108FB" w:rsidRPr="00B26EF0">
        <w:rPr>
          <w:rFonts w:ascii="Tw Cen MT" w:hAnsi="Tw Cen MT"/>
        </w:rPr>
        <w:t xml:space="preserve">OCDOH </w:t>
      </w:r>
      <w:r>
        <w:rPr>
          <w:rFonts w:ascii="Tw Cen MT" w:hAnsi="Tw Cen MT"/>
        </w:rPr>
        <w:t>established a</w:t>
      </w:r>
      <w:r w:rsidR="002108FB" w:rsidRPr="00B26EF0">
        <w:rPr>
          <w:rFonts w:ascii="Tw Cen MT" w:hAnsi="Tw Cen MT"/>
        </w:rPr>
        <w:t xml:space="preserve"> CHIP Steering Committee </w:t>
      </w:r>
      <w:r w:rsidR="00286C7C">
        <w:rPr>
          <w:rFonts w:ascii="Tw Cen MT" w:hAnsi="Tw Cen MT"/>
        </w:rPr>
        <w:t>composed</w:t>
      </w:r>
      <w:r w:rsidR="002108FB" w:rsidRPr="00B26EF0">
        <w:rPr>
          <w:rFonts w:ascii="Tw Cen MT" w:hAnsi="Tw Cen MT"/>
        </w:rPr>
        <w:t xml:space="preserve"> of 22 </w:t>
      </w:r>
      <w:r w:rsidR="00286C7C">
        <w:rPr>
          <w:rFonts w:ascii="Tw Cen MT" w:hAnsi="Tw Cen MT"/>
        </w:rPr>
        <w:t xml:space="preserve">external stakeholders representing </w:t>
      </w:r>
      <w:r w:rsidR="002108FB" w:rsidRPr="00B26EF0">
        <w:rPr>
          <w:rFonts w:ascii="Tw Cen MT" w:hAnsi="Tw Cen MT"/>
        </w:rPr>
        <w:t xml:space="preserve">area hospitals, community-based organizations, business owners, </w:t>
      </w:r>
      <w:r w:rsidR="00AB545B">
        <w:rPr>
          <w:rFonts w:ascii="Tw Cen MT" w:hAnsi="Tw Cen MT"/>
        </w:rPr>
        <w:t xml:space="preserve">schools, </w:t>
      </w:r>
      <w:r w:rsidR="002108FB" w:rsidRPr="00B26EF0">
        <w:rPr>
          <w:rFonts w:ascii="Tw Cen MT" w:hAnsi="Tw Cen MT"/>
        </w:rPr>
        <w:t xml:space="preserve">colleges, federally qualified health centers, and the community. </w:t>
      </w:r>
      <w:r w:rsidR="00286C7C">
        <w:rPr>
          <w:rFonts w:ascii="Tw Cen MT" w:hAnsi="Tw Cen MT"/>
        </w:rPr>
        <w:t xml:space="preserve">Meeting </w:t>
      </w:r>
      <w:r w:rsidR="00776FDA" w:rsidRPr="00B26EF0">
        <w:rPr>
          <w:rFonts w:ascii="Tw Cen MT" w:hAnsi="Tw Cen MT"/>
        </w:rPr>
        <w:t>from January through June 2026</w:t>
      </w:r>
      <w:r w:rsidR="00286C7C">
        <w:rPr>
          <w:rFonts w:ascii="Tw Cen MT" w:hAnsi="Tw Cen MT"/>
        </w:rPr>
        <w:t>, the committee</w:t>
      </w:r>
      <w:r w:rsidR="00776FDA" w:rsidRPr="00B26EF0">
        <w:rPr>
          <w:rFonts w:ascii="Tw Cen MT" w:hAnsi="Tw Cen MT"/>
        </w:rPr>
        <w:t xml:space="preserve"> review</w:t>
      </w:r>
      <w:r w:rsidR="00286C7C">
        <w:rPr>
          <w:rFonts w:ascii="Tw Cen MT" w:hAnsi="Tw Cen MT"/>
        </w:rPr>
        <w:t>ed</w:t>
      </w:r>
      <w:r w:rsidR="00776FDA" w:rsidRPr="00B26EF0">
        <w:rPr>
          <w:rFonts w:ascii="Tw Cen MT" w:hAnsi="Tw Cen MT"/>
        </w:rPr>
        <w:t xml:space="preserve"> the assessments </w:t>
      </w:r>
      <w:r w:rsidR="00286C7C">
        <w:rPr>
          <w:rFonts w:ascii="Tw Cen MT" w:hAnsi="Tw Cen MT"/>
        </w:rPr>
        <w:t>to</w:t>
      </w:r>
      <w:r w:rsidR="00776FDA" w:rsidRPr="00B26EF0">
        <w:rPr>
          <w:rFonts w:ascii="Tw Cen MT" w:hAnsi="Tw Cen MT"/>
        </w:rPr>
        <w:t xml:space="preserve"> </w:t>
      </w:r>
      <w:r w:rsidR="00776FDA" w:rsidRPr="00B26EF0">
        <w:rPr>
          <w:rFonts w:ascii="Tw Cen MT" w:hAnsi="Tw Cen MT"/>
        </w:rPr>
        <w:lastRenderedPageBreak/>
        <w:t xml:space="preserve">collectively select priority areas and </w:t>
      </w:r>
      <w:r w:rsidRPr="00B26EF0">
        <w:rPr>
          <w:rFonts w:ascii="Tw Cen MT" w:hAnsi="Tw Cen MT"/>
        </w:rPr>
        <w:t>evidence</w:t>
      </w:r>
      <w:r>
        <w:rPr>
          <w:rFonts w:ascii="Tw Cen MT" w:hAnsi="Tw Cen MT"/>
        </w:rPr>
        <w:t>-</w:t>
      </w:r>
      <w:r w:rsidR="00776FDA" w:rsidRPr="00B26EF0">
        <w:rPr>
          <w:rFonts w:ascii="Tw Cen MT" w:hAnsi="Tw Cen MT"/>
        </w:rPr>
        <w:t>based strategies</w:t>
      </w:r>
      <w:r w:rsidR="00286C7C">
        <w:rPr>
          <w:rFonts w:ascii="Tw Cen MT" w:hAnsi="Tw Cen MT"/>
        </w:rPr>
        <w:t>. Together</w:t>
      </w:r>
      <w:r>
        <w:rPr>
          <w:rFonts w:ascii="Tw Cen MT" w:hAnsi="Tw Cen MT"/>
        </w:rPr>
        <w:t>,</w:t>
      </w:r>
      <w:r w:rsidR="00286C7C">
        <w:rPr>
          <w:rFonts w:ascii="Tw Cen MT" w:hAnsi="Tw Cen MT"/>
        </w:rPr>
        <w:t xml:space="preserve"> they developed the plan’s</w:t>
      </w:r>
      <w:r w:rsidR="00776FDA" w:rsidRPr="00B26EF0">
        <w:rPr>
          <w:rFonts w:ascii="Tw Cen MT" w:hAnsi="Tw Cen MT"/>
        </w:rPr>
        <w:t xml:space="preserve"> goals, responsible partners, </w:t>
      </w:r>
      <w:r w:rsidR="00286C7C">
        <w:rPr>
          <w:rFonts w:ascii="Tw Cen MT" w:hAnsi="Tw Cen MT"/>
        </w:rPr>
        <w:t>implementation</w:t>
      </w:r>
      <w:r w:rsidR="00776FDA" w:rsidRPr="00B26EF0">
        <w:rPr>
          <w:rFonts w:ascii="Tw Cen MT" w:hAnsi="Tw Cen MT"/>
        </w:rPr>
        <w:t xml:space="preserve"> timeline</w:t>
      </w:r>
      <w:r w:rsidR="00286C7C">
        <w:rPr>
          <w:rFonts w:ascii="Tw Cen MT" w:hAnsi="Tw Cen MT"/>
        </w:rPr>
        <w:t>s</w:t>
      </w:r>
      <w:r w:rsidR="00776FDA" w:rsidRPr="00B26EF0">
        <w:rPr>
          <w:rFonts w:ascii="Tw Cen MT" w:hAnsi="Tw Cen MT"/>
        </w:rPr>
        <w:t>, evaluation measures</w:t>
      </w:r>
      <w:r w:rsidR="00286C7C">
        <w:rPr>
          <w:rFonts w:ascii="Tw Cen MT" w:hAnsi="Tw Cen MT"/>
        </w:rPr>
        <w:t>,</w:t>
      </w:r>
      <w:r w:rsidR="00776FDA" w:rsidRPr="00B26EF0">
        <w:rPr>
          <w:rFonts w:ascii="Tw Cen MT" w:hAnsi="Tw Cen MT"/>
        </w:rPr>
        <w:t xml:space="preserve"> and both short</w:t>
      </w:r>
      <w:r w:rsidR="009120CF">
        <w:rPr>
          <w:rFonts w:ascii="Tw Cen MT" w:hAnsi="Tw Cen MT"/>
        </w:rPr>
        <w:t xml:space="preserve"> </w:t>
      </w:r>
      <w:r w:rsidR="00286C7C">
        <w:rPr>
          <w:rFonts w:ascii="Tw Cen MT" w:hAnsi="Tw Cen MT"/>
        </w:rPr>
        <w:t>and long-</w:t>
      </w:r>
      <w:r w:rsidR="00776FDA" w:rsidRPr="00B26EF0">
        <w:rPr>
          <w:rFonts w:ascii="Tw Cen MT" w:hAnsi="Tw Cen MT"/>
        </w:rPr>
        <w:t>term</w:t>
      </w:r>
      <w:r w:rsidR="00286C7C">
        <w:rPr>
          <w:rFonts w:ascii="Tw Cen MT" w:hAnsi="Tw Cen MT"/>
        </w:rPr>
        <w:t xml:space="preserve"> objectives. The </w:t>
      </w:r>
      <w:r w:rsidR="00776FDA" w:rsidRPr="00B922DF">
        <w:rPr>
          <w:rFonts w:ascii="Tw Cen MT" w:hAnsi="Tw Cen MT"/>
        </w:rPr>
        <w:t xml:space="preserve">OCDOH </w:t>
      </w:r>
      <w:r w:rsidR="00286C7C">
        <w:rPr>
          <w:rFonts w:ascii="Tw Cen MT" w:hAnsi="Tw Cen MT"/>
        </w:rPr>
        <w:t xml:space="preserve">extends </w:t>
      </w:r>
      <w:r>
        <w:rPr>
          <w:rFonts w:ascii="Tw Cen MT" w:hAnsi="Tw Cen MT"/>
        </w:rPr>
        <w:t>its</w:t>
      </w:r>
      <w:r w:rsidR="00286C7C">
        <w:rPr>
          <w:rFonts w:ascii="Tw Cen MT" w:hAnsi="Tw Cen MT"/>
        </w:rPr>
        <w:t xml:space="preserve"> sincere gratitude to</w:t>
      </w:r>
      <w:r w:rsidR="00B922DF" w:rsidRPr="00B922DF">
        <w:rPr>
          <w:rFonts w:ascii="Tw Cen MT" w:hAnsi="Tw Cen MT"/>
        </w:rPr>
        <w:t xml:space="preserve"> the OC CHIP Steering Committee </w:t>
      </w:r>
      <w:r w:rsidR="00286C7C">
        <w:rPr>
          <w:rFonts w:ascii="Tw Cen MT" w:hAnsi="Tw Cen MT"/>
        </w:rPr>
        <w:t>members listed</w:t>
      </w:r>
      <w:r w:rsidR="00B922DF" w:rsidRPr="00B922DF">
        <w:rPr>
          <w:rFonts w:ascii="Tw Cen MT" w:hAnsi="Tw Cen MT"/>
        </w:rPr>
        <w:t xml:space="preserve"> below for their </w:t>
      </w:r>
      <w:r w:rsidR="00286C7C">
        <w:rPr>
          <w:rFonts w:ascii="Tw Cen MT" w:hAnsi="Tw Cen MT"/>
        </w:rPr>
        <w:t xml:space="preserve">invaluable </w:t>
      </w:r>
      <w:r w:rsidR="00B922DF" w:rsidRPr="00B922DF">
        <w:rPr>
          <w:rFonts w:ascii="Tw Cen MT" w:hAnsi="Tw Cen MT"/>
        </w:rPr>
        <w:t>guidance, input, and ongoing partnership.</w:t>
      </w:r>
    </w:p>
    <w:tbl>
      <w:tblPr>
        <w:tblStyle w:val="ListTable3-Accent2"/>
        <w:tblW w:w="0" w:type="auto"/>
        <w:jc w:val="center"/>
        <w:tblLook w:val="04A0" w:firstRow="1" w:lastRow="0" w:firstColumn="1" w:lastColumn="0" w:noHBand="0" w:noVBand="1"/>
      </w:tblPr>
      <w:tblGrid>
        <w:gridCol w:w="2695"/>
        <w:gridCol w:w="6120"/>
      </w:tblGrid>
      <w:tr w:rsidR="00AD7B91" w14:paraId="6F068A3A" w14:textId="77777777" w:rsidTr="00855BA6">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2695" w:type="dxa"/>
          </w:tcPr>
          <w:p w14:paraId="036022E4" w14:textId="544A2611" w:rsidR="00AD7B91" w:rsidRPr="00AD7B91" w:rsidRDefault="00AD7B91" w:rsidP="00A5535B">
            <w:pPr>
              <w:rPr>
                <w:rFonts w:ascii="Tw Cen MT" w:hAnsi="Tw Cen MT"/>
                <w:b w:val="0"/>
                <w:bCs w:val="0"/>
              </w:rPr>
            </w:pPr>
            <w:r w:rsidRPr="00AD7B91">
              <w:rPr>
                <w:rFonts w:ascii="Tw Cen MT" w:hAnsi="Tw Cen MT"/>
                <w:b w:val="0"/>
                <w:bCs w:val="0"/>
              </w:rPr>
              <w:t>Name</w:t>
            </w:r>
          </w:p>
        </w:tc>
        <w:tc>
          <w:tcPr>
            <w:tcW w:w="6120" w:type="dxa"/>
          </w:tcPr>
          <w:p w14:paraId="1A274173" w14:textId="00E018B7" w:rsidR="00AD7B91" w:rsidRPr="00AD7B91" w:rsidRDefault="00AD7B91" w:rsidP="00A5535B">
            <w:pPr>
              <w:cnfStyle w:val="100000000000" w:firstRow="1" w:lastRow="0" w:firstColumn="0" w:lastColumn="0" w:oddVBand="0" w:evenVBand="0" w:oddHBand="0" w:evenHBand="0" w:firstRowFirstColumn="0" w:firstRowLastColumn="0" w:lastRowFirstColumn="0" w:lastRowLastColumn="0"/>
              <w:rPr>
                <w:rFonts w:ascii="Tw Cen MT" w:hAnsi="Tw Cen MT"/>
                <w:b w:val="0"/>
                <w:bCs w:val="0"/>
              </w:rPr>
            </w:pPr>
            <w:r w:rsidRPr="00AD7B91">
              <w:rPr>
                <w:rFonts w:ascii="Tw Cen MT" w:hAnsi="Tw Cen MT"/>
                <w:b w:val="0"/>
                <w:bCs w:val="0"/>
              </w:rPr>
              <w:t>Organization</w:t>
            </w:r>
          </w:p>
        </w:tc>
      </w:tr>
      <w:tr w:rsidR="00AD7B91" w14:paraId="6B6A2B43" w14:textId="77777777" w:rsidTr="00855BA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5" w:type="dxa"/>
          </w:tcPr>
          <w:p w14:paraId="3313F50D" w14:textId="77777777" w:rsidR="00AD7B91" w:rsidRPr="00AD7B91" w:rsidRDefault="00AD7B91" w:rsidP="00AD7B91">
            <w:pPr>
              <w:rPr>
                <w:rFonts w:ascii="Tw Cen MT" w:hAnsi="Tw Cen MT"/>
              </w:rPr>
            </w:pPr>
            <w:r w:rsidRPr="00AD7B91">
              <w:rPr>
                <w:rFonts w:ascii="Tw Cen MT" w:hAnsi="Tw Cen MT"/>
              </w:rPr>
              <w:t>Karina Bajana</w:t>
            </w:r>
          </w:p>
          <w:p w14:paraId="1FACD236" w14:textId="77777777" w:rsidR="00AD7B91" w:rsidRPr="00AD7B91" w:rsidRDefault="00AD7B91" w:rsidP="00AD7B91">
            <w:pPr>
              <w:rPr>
                <w:rFonts w:ascii="Tw Cen MT" w:hAnsi="Tw Cen MT"/>
              </w:rPr>
            </w:pPr>
            <w:r w:rsidRPr="00AD7B91">
              <w:rPr>
                <w:rFonts w:ascii="Tw Cen MT" w:hAnsi="Tw Cen MT"/>
              </w:rPr>
              <w:t>Cynthia Barton</w:t>
            </w:r>
          </w:p>
          <w:p w14:paraId="440916F7" w14:textId="77777777" w:rsidR="00AD7B91" w:rsidRPr="00AD7B91" w:rsidRDefault="00AD7B91" w:rsidP="00AD7B91">
            <w:pPr>
              <w:rPr>
                <w:rFonts w:ascii="Tw Cen MT" w:hAnsi="Tw Cen MT"/>
              </w:rPr>
            </w:pPr>
            <w:r w:rsidRPr="00AD7B91">
              <w:rPr>
                <w:rFonts w:ascii="Tw Cen MT" w:hAnsi="Tw Cen MT"/>
              </w:rPr>
              <w:t>Brandon Bogert</w:t>
            </w:r>
          </w:p>
          <w:p w14:paraId="2BC2E829" w14:textId="77777777" w:rsidR="00AD7B91" w:rsidRPr="00AD7B91" w:rsidRDefault="00AD7B91" w:rsidP="00AD7B91">
            <w:pPr>
              <w:rPr>
                <w:rFonts w:ascii="Tw Cen MT" w:hAnsi="Tw Cen MT"/>
              </w:rPr>
            </w:pPr>
            <w:r w:rsidRPr="00AD7B91">
              <w:rPr>
                <w:rFonts w:ascii="Tw Cen MT" w:hAnsi="Tw Cen MT"/>
              </w:rPr>
              <w:t>Kate Dabroski</w:t>
            </w:r>
          </w:p>
          <w:p w14:paraId="6F512BFB" w14:textId="77777777" w:rsidR="00AD7B91" w:rsidRPr="00AD7B91" w:rsidRDefault="00AD7B91" w:rsidP="00AD7B91">
            <w:pPr>
              <w:rPr>
                <w:rFonts w:ascii="Tw Cen MT" w:hAnsi="Tw Cen MT"/>
              </w:rPr>
            </w:pPr>
            <w:r w:rsidRPr="00AD7B91">
              <w:rPr>
                <w:rFonts w:ascii="Tw Cen MT" w:hAnsi="Tw Cen MT"/>
              </w:rPr>
              <w:t>Joanni Gallagher</w:t>
            </w:r>
          </w:p>
          <w:p w14:paraId="18113A24" w14:textId="77777777" w:rsidR="00AD7B91" w:rsidRPr="00AD7B91" w:rsidRDefault="00AD7B91" w:rsidP="00AD7B91">
            <w:pPr>
              <w:rPr>
                <w:rFonts w:ascii="Tw Cen MT" w:hAnsi="Tw Cen MT"/>
              </w:rPr>
            </w:pPr>
            <w:r w:rsidRPr="00AD7B91">
              <w:rPr>
                <w:rFonts w:ascii="Tw Cen MT" w:hAnsi="Tw Cen MT"/>
              </w:rPr>
              <w:t>Caitlin Higgins</w:t>
            </w:r>
          </w:p>
          <w:p w14:paraId="67F03797" w14:textId="77777777" w:rsidR="00AD7B91" w:rsidRPr="00AD7B91" w:rsidRDefault="00AD7B91" w:rsidP="00AD7B91">
            <w:pPr>
              <w:rPr>
                <w:rFonts w:ascii="Tw Cen MT" w:hAnsi="Tw Cen MT"/>
              </w:rPr>
            </w:pPr>
            <w:r w:rsidRPr="00AD7B91">
              <w:rPr>
                <w:rFonts w:ascii="Tw Cen MT" w:hAnsi="Tw Cen MT"/>
              </w:rPr>
              <w:t>MaryAlice Kovatch</w:t>
            </w:r>
          </w:p>
          <w:p w14:paraId="059184C2" w14:textId="77777777" w:rsidR="00AD7B91" w:rsidRPr="00AD7B91" w:rsidRDefault="00AD7B91" w:rsidP="00AD7B91">
            <w:pPr>
              <w:rPr>
                <w:rFonts w:ascii="Tw Cen MT" w:hAnsi="Tw Cen MT"/>
              </w:rPr>
            </w:pPr>
            <w:r w:rsidRPr="00AD7B91">
              <w:rPr>
                <w:rFonts w:ascii="Tw Cen MT" w:hAnsi="Tw Cen MT"/>
              </w:rPr>
              <w:t>Dina Leduc</w:t>
            </w:r>
          </w:p>
          <w:p w14:paraId="3A9EC558" w14:textId="77777777" w:rsidR="00AD7B91" w:rsidRPr="00AD7B91" w:rsidRDefault="00AD7B91" w:rsidP="00AD7B91">
            <w:pPr>
              <w:rPr>
                <w:rFonts w:ascii="Tw Cen MT" w:hAnsi="Tw Cen MT"/>
              </w:rPr>
            </w:pPr>
            <w:r w:rsidRPr="00AD7B91">
              <w:rPr>
                <w:rFonts w:ascii="Tw Cen MT" w:hAnsi="Tw Cen MT"/>
              </w:rPr>
              <w:t>Erin Lynch</w:t>
            </w:r>
          </w:p>
          <w:p w14:paraId="780583A7" w14:textId="77777777" w:rsidR="00AD7B91" w:rsidRPr="00AD7B91" w:rsidRDefault="00AD7B91" w:rsidP="00AD7B91">
            <w:pPr>
              <w:rPr>
                <w:rFonts w:ascii="Tw Cen MT" w:hAnsi="Tw Cen MT"/>
              </w:rPr>
            </w:pPr>
            <w:r w:rsidRPr="00AD7B91">
              <w:rPr>
                <w:rFonts w:ascii="Tw Cen MT" w:hAnsi="Tw Cen MT"/>
              </w:rPr>
              <w:t>Moira Mencher</w:t>
            </w:r>
          </w:p>
          <w:p w14:paraId="069890D6" w14:textId="42257464" w:rsidR="00AD7B91" w:rsidRPr="00AD7B91" w:rsidRDefault="00AD7B91" w:rsidP="00AD7B91">
            <w:pPr>
              <w:rPr>
                <w:rFonts w:ascii="Tw Cen MT" w:hAnsi="Tw Cen MT"/>
              </w:rPr>
            </w:pPr>
            <w:r w:rsidRPr="00AD7B91">
              <w:rPr>
                <w:rFonts w:ascii="Tw Cen MT" w:hAnsi="Tw Cen MT"/>
              </w:rPr>
              <w:t>Krista Miller</w:t>
            </w:r>
          </w:p>
          <w:p w14:paraId="25F91C43" w14:textId="77777777" w:rsidR="00AD7B91" w:rsidRPr="00AD7B91" w:rsidRDefault="00AD7B91" w:rsidP="00AD7B91">
            <w:pPr>
              <w:rPr>
                <w:rFonts w:ascii="Tw Cen MT" w:hAnsi="Tw Cen MT"/>
              </w:rPr>
            </w:pPr>
            <w:r w:rsidRPr="00AD7B91">
              <w:rPr>
                <w:rFonts w:ascii="Tw Cen MT" w:hAnsi="Tw Cen MT"/>
              </w:rPr>
              <w:t>Aimee Monastero</w:t>
            </w:r>
          </w:p>
          <w:p w14:paraId="60BE0ADB" w14:textId="6D1E656A" w:rsidR="00AD7B91" w:rsidRPr="00AD7B91" w:rsidRDefault="00AD7B91" w:rsidP="00AD7B91">
            <w:pPr>
              <w:rPr>
                <w:rFonts w:ascii="Tw Cen MT" w:hAnsi="Tw Cen MT"/>
              </w:rPr>
            </w:pPr>
            <w:r w:rsidRPr="00AD7B91">
              <w:rPr>
                <w:rFonts w:ascii="Tw Cen MT" w:hAnsi="Tw Cen MT"/>
              </w:rPr>
              <w:t>Amie Pinckney</w:t>
            </w:r>
          </w:p>
          <w:p w14:paraId="75B36F90" w14:textId="77777777" w:rsidR="00AD7B91" w:rsidRPr="00AD7B91" w:rsidRDefault="00AD7B91" w:rsidP="00AD7B91">
            <w:pPr>
              <w:rPr>
                <w:rFonts w:ascii="Tw Cen MT" w:hAnsi="Tw Cen MT"/>
              </w:rPr>
            </w:pPr>
            <w:r w:rsidRPr="00AD7B91">
              <w:rPr>
                <w:rFonts w:ascii="Tw Cen MT" w:hAnsi="Tw Cen MT"/>
              </w:rPr>
              <w:t>Liana Rivers</w:t>
            </w:r>
          </w:p>
          <w:p w14:paraId="7FCBD8C0" w14:textId="77777777" w:rsidR="00AD7B91" w:rsidRPr="00AD7B91" w:rsidRDefault="00AD7B91" w:rsidP="00AD7B91">
            <w:pPr>
              <w:rPr>
                <w:rFonts w:ascii="Tw Cen MT" w:hAnsi="Tw Cen MT"/>
              </w:rPr>
            </w:pPr>
            <w:r w:rsidRPr="00AD7B91">
              <w:rPr>
                <w:rFonts w:ascii="Tw Cen MT" w:hAnsi="Tw Cen MT"/>
              </w:rPr>
              <w:t>Maureen Roche</w:t>
            </w:r>
          </w:p>
          <w:p w14:paraId="2A2C0ADF" w14:textId="77777777" w:rsidR="00AD7B91" w:rsidRPr="00AD7B91" w:rsidRDefault="00AD7B91" w:rsidP="00AD7B91">
            <w:pPr>
              <w:rPr>
                <w:rFonts w:ascii="Tw Cen MT" w:hAnsi="Tw Cen MT"/>
              </w:rPr>
            </w:pPr>
            <w:r w:rsidRPr="00AD7B91">
              <w:rPr>
                <w:rFonts w:ascii="Tw Cen MT" w:hAnsi="Tw Cen MT"/>
              </w:rPr>
              <w:t>Lourdes Santacruz</w:t>
            </w:r>
          </w:p>
          <w:p w14:paraId="76A9DCE2" w14:textId="77777777" w:rsidR="00AD7B91" w:rsidRPr="00AD7B91" w:rsidRDefault="00AD7B91" w:rsidP="00AD7B91">
            <w:pPr>
              <w:rPr>
                <w:rFonts w:ascii="Tw Cen MT" w:hAnsi="Tw Cen MT"/>
              </w:rPr>
            </w:pPr>
            <w:r w:rsidRPr="00AD7B91">
              <w:rPr>
                <w:rFonts w:ascii="Tw Cen MT" w:hAnsi="Tw Cen MT"/>
              </w:rPr>
              <w:t>Thomas Scaglione</w:t>
            </w:r>
          </w:p>
          <w:p w14:paraId="6D8BBC11" w14:textId="77777777" w:rsidR="00AD7B91" w:rsidRPr="00AD7B91" w:rsidRDefault="00AD7B91" w:rsidP="00AD7B91">
            <w:pPr>
              <w:rPr>
                <w:rFonts w:ascii="Tw Cen MT" w:hAnsi="Tw Cen MT"/>
              </w:rPr>
            </w:pPr>
            <w:r w:rsidRPr="00AD7B91">
              <w:rPr>
                <w:rFonts w:ascii="Tw Cen MT" w:hAnsi="Tw Cen MT"/>
              </w:rPr>
              <w:t>Jhack Sepulveda</w:t>
            </w:r>
          </w:p>
          <w:p w14:paraId="24BABCA8" w14:textId="77777777" w:rsidR="00AD7B91" w:rsidRPr="00AD7B91" w:rsidRDefault="00AD7B91" w:rsidP="00AD7B91">
            <w:pPr>
              <w:rPr>
                <w:rFonts w:ascii="Tw Cen MT" w:hAnsi="Tw Cen MT"/>
              </w:rPr>
            </w:pPr>
            <w:r w:rsidRPr="00AD7B91">
              <w:rPr>
                <w:rFonts w:ascii="Tw Cen MT" w:hAnsi="Tw Cen MT"/>
              </w:rPr>
              <w:t>Sharlyn Serwatien</w:t>
            </w:r>
          </w:p>
          <w:p w14:paraId="2AE442D6" w14:textId="77777777" w:rsidR="00AD7B91" w:rsidRPr="00AD7B91" w:rsidRDefault="00AD7B91" w:rsidP="00AD7B91">
            <w:pPr>
              <w:rPr>
                <w:rFonts w:ascii="Tw Cen MT" w:hAnsi="Tw Cen MT"/>
              </w:rPr>
            </w:pPr>
            <w:r w:rsidRPr="00AD7B91">
              <w:rPr>
                <w:rFonts w:ascii="Tw Cen MT" w:hAnsi="Tw Cen MT"/>
              </w:rPr>
              <w:t>Logan Tierney</w:t>
            </w:r>
          </w:p>
          <w:p w14:paraId="11E4E25D" w14:textId="77777777" w:rsidR="00AD7B91" w:rsidRPr="00AD7B91" w:rsidRDefault="00AD7B91" w:rsidP="00AD7B91">
            <w:pPr>
              <w:rPr>
                <w:rFonts w:ascii="Tw Cen MT" w:hAnsi="Tw Cen MT"/>
              </w:rPr>
            </w:pPr>
            <w:r w:rsidRPr="00AD7B91">
              <w:rPr>
                <w:rFonts w:ascii="Tw Cen MT" w:hAnsi="Tw Cen MT"/>
              </w:rPr>
              <w:t>Liz Walsh</w:t>
            </w:r>
          </w:p>
          <w:p w14:paraId="68F1CEC6" w14:textId="14CCBC5D" w:rsidR="00AD7B91" w:rsidRDefault="00AD7B91" w:rsidP="00AD7B91">
            <w:pPr>
              <w:rPr>
                <w:rFonts w:ascii="Tw Cen MT" w:hAnsi="Tw Cen MT"/>
              </w:rPr>
            </w:pPr>
            <w:r w:rsidRPr="00AD7B91">
              <w:rPr>
                <w:rFonts w:ascii="Tw Cen MT" w:hAnsi="Tw Cen MT"/>
              </w:rPr>
              <w:t>Sherry Wyckoff</w:t>
            </w:r>
          </w:p>
        </w:tc>
        <w:tc>
          <w:tcPr>
            <w:tcW w:w="6120" w:type="dxa"/>
          </w:tcPr>
          <w:p w14:paraId="03A5543B" w14:textId="4C16DBA2" w:rsidR="00AD7B91" w:rsidRPr="00AD7B91" w:rsidRDefault="00AD7B91" w:rsidP="00AD7B91">
            <w:pPr>
              <w:cnfStyle w:val="000000100000" w:firstRow="0" w:lastRow="0" w:firstColumn="0" w:lastColumn="0" w:oddVBand="0" w:evenVBand="0" w:oddHBand="1" w:evenHBand="0" w:firstRowFirstColumn="0" w:firstRowLastColumn="0" w:lastRowFirstColumn="0" w:lastRowLastColumn="0"/>
              <w:rPr>
                <w:rFonts w:ascii="Tw Cen MT" w:hAnsi="Tw Cen MT"/>
              </w:rPr>
            </w:pPr>
            <w:r w:rsidRPr="00AD7B91">
              <w:rPr>
                <w:rFonts w:ascii="Tw Cen MT" w:hAnsi="Tw Cen MT"/>
              </w:rPr>
              <w:t>Orange-Ulster B</w:t>
            </w:r>
            <w:r>
              <w:rPr>
                <w:rFonts w:ascii="Tw Cen MT" w:hAnsi="Tw Cen MT"/>
              </w:rPr>
              <w:t>OCES</w:t>
            </w:r>
          </w:p>
          <w:p w14:paraId="789CFC8C" w14:textId="77777777" w:rsidR="00AD7B91" w:rsidRPr="00AD7B91" w:rsidRDefault="00AD7B91" w:rsidP="00AD7B91">
            <w:pPr>
              <w:cnfStyle w:val="000000100000" w:firstRow="0" w:lastRow="0" w:firstColumn="0" w:lastColumn="0" w:oddVBand="0" w:evenVBand="0" w:oddHBand="1" w:evenHBand="0" w:firstRowFirstColumn="0" w:firstRowLastColumn="0" w:lastRowFirstColumn="0" w:lastRowLastColumn="0"/>
              <w:rPr>
                <w:rFonts w:ascii="Tw Cen MT" w:hAnsi="Tw Cen MT"/>
              </w:rPr>
            </w:pPr>
            <w:r w:rsidRPr="00AD7B91">
              <w:rPr>
                <w:rFonts w:ascii="Tw Cen MT" w:hAnsi="Tw Cen MT"/>
              </w:rPr>
              <w:t>Montefiore St. Luke's Cornwall Hospital</w:t>
            </w:r>
          </w:p>
          <w:p w14:paraId="39919200" w14:textId="77777777" w:rsidR="00AD7B91" w:rsidRPr="00AD7B91" w:rsidRDefault="00AD7B91" w:rsidP="00AD7B91">
            <w:pPr>
              <w:cnfStyle w:val="000000100000" w:firstRow="0" w:lastRow="0" w:firstColumn="0" w:lastColumn="0" w:oddVBand="0" w:evenVBand="0" w:oddHBand="1" w:evenHBand="0" w:firstRowFirstColumn="0" w:firstRowLastColumn="0" w:lastRowFirstColumn="0" w:lastRowLastColumn="0"/>
              <w:rPr>
                <w:rFonts w:ascii="Tw Cen MT" w:hAnsi="Tw Cen MT"/>
              </w:rPr>
            </w:pPr>
            <w:r w:rsidRPr="00AD7B91">
              <w:rPr>
                <w:rFonts w:ascii="Tw Cen MT" w:hAnsi="Tw Cen MT"/>
              </w:rPr>
              <w:t>Orange County Department of Mental Health</w:t>
            </w:r>
          </w:p>
          <w:p w14:paraId="209AEFAE" w14:textId="77777777" w:rsidR="00AD7B91" w:rsidRPr="00AD7B91" w:rsidRDefault="00AD7B91" w:rsidP="00AD7B91">
            <w:pPr>
              <w:cnfStyle w:val="000000100000" w:firstRow="0" w:lastRow="0" w:firstColumn="0" w:lastColumn="0" w:oddVBand="0" w:evenVBand="0" w:oddHBand="1" w:evenHBand="0" w:firstRowFirstColumn="0" w:firstRowLastColumn="0" w:lastRowFirstColumn="0" w:lastRowLastColumn="0"/>
              <w:rPr>
                <w:rFonts w:ascii="Tw Cen MT" w:hAnsi="Tw Cen MT"/>
              </w:rPr>
            </w:pPr>
            <w:r w:rsidRPr="00AD7B91">
              <w:rPr>
                <w:rFonts w:ascii="Tw Cen MT" w:hAnsi="Tw Cen MT"/>
              </w:rPr>
              <w:t>Montefiore St. Luke's Cornwall Hospital</w:t>
            </w:r>
          </w:p>
          <w:p w14:paraId="72E9AC57" w14:textId="3736DE59" w:rsidR="00AD7B91" w:rsidRPr="00AD7B91" w:rsidRDefault="00AD7B91" w:rsidP="00AD7B91">
            <w:pPr>
              <w:cnfStyle w:val="000000100000" w:firstRow="0" w:lastRow="0" w:firstColumn="0" w:lastColumn="0" w:oddVBand="0" w:evenVBand="0" w:oddHBand="1" w:evenHBand="0" w:firstRowFirstColumn="0" w:firstRowLastColumn="0" w:lastRowFirstColumn="0" w:lastRowLastColumn="0"/>
              <w:rPr>
                <w:rFonts w:ascii="Tw Cen MT" w:hAnsi="Tw Cen MT"/>
              </w:rPr>
            </w:pPr>
            <w:r w:rsidRPr="00AD7B91">
              <w:rPr>
                <w:rFonts w:ascii="Tw Cen MT" w:hAnsi="Tw Cen MT"/>
              </w:rPr>
              <w:t>Alcohol and Drug Awareness Council of Orange County</w:t>
            </w:r>
          </w:p>
          <w:p w14:paraId="09858669" w14:textId="77777777" w:rsidR="00AD7B91" w:rsidRPr="00AD7B91" w:rsidRDefault="00AD7B91" w:rsidP="00AD7B91">
            <w:pPr>
              <w:cnfStyle w:val="000000100000" w:firstRow="0" w:lastRow="0" w:firstColumn="0" w:lastColumn="0" w:oddVBand="0" w:evenVBand="0" w:oddHBand="1" w:evenHBand="0" w:firstRowFirstColumn="0" w:firstRowLastColumn="0" w:lastRowFirstColumn="0" w:lastRowLastColumn="0"/>
              <w:rPr>
                <w:rFonts w:ascii="Tw Cen MT" w:hAnsi="Tw Cen MT"/>
              </w:rPr>
            </w:pPr>
            <w:r w:rsidRPr="00AD7B91">
              <w:rPr>
                <w:rFonts w:ascii="Tw Cen MT" w:hAnsi="Tw Cen MT"/>
              </w:rPr>
              <w:t>Mental Health Association of Orange County</w:t>
            </w:r>
          </w:p>
          <w:p w14:paraId="628226E9" w14:textId="7CF68B9E" w:rsidR="00AD7B91" w:rsidRPr="00AD7B91" w:rsidRDefault="00AD7B91" w:rsidP="00AD7B91">
            <w:pPr>
              <w:cnfStyle w:val="000000100000" w:firstRow="0" w:lastRow="0" w:firstColumn="0" w:lastColumn="0" w:oddVBand="0" w:evenVBand="0" w:oddHBand="1" w:evenHBand="0" w:firstRowFirstColumn="0" w:firstRowLastColumn="0" w:lastRowFirstColumn="0" w:lastRowLastColumn="0"/>
              <w:rPr>
                <w:rFonts w:ascii="Tw Cen MT" w:hAnsi="Tw Cen MT"/>
              </w:rPr>
            </w:pPr>
            <w:r w:rsidRPr="00AD7B91">
              <w:rPr>
                <w:rFonts w:ascii="Tw Cen MT" w:hAnsi="Tw Cen MT"/>
              </w:rPr>
              <w:t>Alcohol and Drug Awareness Council of Orange County</w:t>
            </w:r>
          </w:p>
          <w:p w14:paraId="361B9E66" w14:textId="77777777" w:rsidR="00AD7B91" w:rsidRPr="00AD7B91" w:rsidRDefault="00AD7B91" w:rsidP="00AD7B91">
            <w:pPr>
              <w:cnfStyle w:val="000000100000" w:firstRow="0" w:lastRow="0" w:firstColumn="0" w:lastColumn="0" w:oddVBand="0" w:evenVBand="0" w:oddHBand="1" w:evenHBand="0" w:firstRowFirstColumn="0" w:firstRowLastColumn="0" w:lastRowFirstColumn="0" w:lastRowLastColumn="0"/>
              <w:rPr>
                <w:rFonts w:ascii="Tw Cen MT" w:hAnsi="Tw Cen MT"/>
              </w:rPr>
            </w:pPr>
            <w:r w:rsidRPr="00AD7B91">
              <w:rPr>
                <w:rFonts w:ascii="Tw Cen MT" w:hAnsi="Tw Cen MT"/>
              </w:rPr>
              <w:t>Mount Saint Mary College (MSMC)</w:t>
            </w:r>
          </w:p>
          <w:p w14:paraId="5C987C28" w14:textId="77777777" w:rsidR="00AD7B91" w:rsidRPr="00AD7B91" w:rsidRDefault="00AD7B91" w:rsidP="00AD7B91">
            <w:pPr>
              <w:cnfStyle w:val="000000100000" w:firstRow="0" w:lastRow="0" w:firstColumn="0" w:lastColumn="0" w:oddVBand="0" w:evenVBand="0" w:oddHBand="1" w:evenHBand="0" w:firstRowFirstColumn="0" w:firstRowLastColumn="0" w:lastRowFirstColumn="0" w:lastRowLastColumn="0"/>
              <w:rPr>
                <w:rFonts w:ascii="Tw Cen MT" w:hAnsi="Tw Cen MT"/>
              </w:rPr>
            </w:pPr>
            <w:r w:rsidRPr="00AD7B91">
              <w:rPr>
                <w:rFonts w:ascii="Tw Cen MT" w:hAnsi="Tw Cen MT"/>
              </w:rPr>
              <w:t>Alzheimer's Association</w:t>
            </w:r>
          </w:p>
          <w:p w14:paraId="60DFE0D9" w14:textId="77777777" w:rsidR="00AD7B91" w:rsidRPr="00AD7B91" w:rsidRDefault="00AD7B91" w:rsidP="00AD7B91">
            <w:pPr>
              <w:cnfStyle w:val="000000100000" w:firstRow="0" w:lastRow="0" w:firstColumn="0" w:lastColumn="0" w:oddVBand="0" w:evenVBand="0" w:oddHBand="1" w:evenHBand="0" w:firstRowFirstColumn="0" w:firstRowLastColumn="0" w:lastRowFirstColumn="0" w:lastRowLastColumn="0"/>
              <w:rPr>
                <w:rFonts w:ascii="Tw Cen MT" w:hAnsi="Tw Cen MT"/>
              </w:rPr>
            </w:pPr>
            <w:r w:rsidRPr="00AD7B91">
              <w:rPr>
                <w:rFonts w:ascii="Tw Cen MT" w:hAnsi="Tw Cen MT"/>
              </w:rPr>
              <w:t>Garnet Health</w:t>
            </w:r>
          </w:p>
          <w:p w14:paraId="07C1C844" w14:textId="77777777" w:rsidR="00AD7B91" w:rsidRPr="00AD7B91" w:rsidRDefault="00AD7B91" w:rsidP="00AD7B91">
            <w:pPr>
              <w:cnfStyle w:val="000000100000" w:firstRow="0" w:lastRow="0" w:firstColumn="0" w:lastColumn="0" w:oddVBand="0" w:evenVBand="0" w:oddHBand="1" w:evenHBand="0" w:firstRowFirstColumn="0" w:firstRowLastColumn="0" w:lastRowFirstColumn="0" w:lastRowLastColumn="0"/>
              <w:rPr>
                <w:rFonts w:ascii="Tw Cen MT" w:hAnsi="Tw Cen MT"/>
              </w:rPr>
            </w:pPr>
            <w:r w:rsidRPr="00AD7B91">
              <w:rPr>
                <w:rFonts w:ascii="Tw Cen MT" w:hAnsi="Tw Cen MT"/>
              </w:rPr>
              <w:t>Sun River Health</w:t>
            </w:r>
          </w:p>
          <w:p w14:paraId="302C8D9B" w14:textId="77777777" w:rsidR="00AD7B91" w:rsidRPr="00AD7B91" w:rsidRDefault="00AD7B91" w:rsidP="00AD7B91">
            <w:pPr>
              <w:cnfStyle w:val="000000100000" w:firstRow="0" w:lastRow="0" w:firstColumn="0" w:lastColumn="0" w:oddVBand="0" w:evenVBand="0" w:oddHBand="1" w:evenHBand="0" w:firstRowFirstColumn="0" w:firstRowLastColumn="0" w:lastRowFirstColumn="0" w:lastRowLastColumn="0"/>
              <w:rPr>
                <w:rFonts w:ascii="Tw Cen MT" w:hAnsi="Tw Cen MT"/>
              </w:rPr>
            </w:pPr>
            <w:r w:rsidRPr="00AD7B91">
              <w:rPr>
                <w:rFonts w:ascii="Tw Cen MT" w:hAnsi="Tw Cen MT"/>
              </w:rPr>
              <w:t xml:space="preserve">Garnet Health </w:t>
            </w:r>
          </w:p>
          <w:p w14:paraId="38412FED" w14:textId="77777777" w:rsidR="00AD7B91" w:rsidRPr="00AD7B91" w:rsidRDefault="00AD7B91" w:rsidP="00AD7B91">
            <w:pPr>
              <w:cnfStyle w:val="000000100000" w:firstRow="0" w:lastRow="0" w:firstColumn="0" w:lastColumn="0" w:oddVBand="0" w:evenVBand="0" w:oddHBand="1" w:evenHBand="0" w:firstRowFirstColumn="0" w:firstRowLastColumn="0" w:lastRowFirstColumn="0" w:lastRowLastColumn="0"/>
              <w:rPr>
                <w:rFonts w:ascii="Tw Cen MT" w:hAnsi="Tw Cen MT"/>
              </w:rPr>
            </w:pPr>
            <w:r w:rsidRPr="00AD7B91">
              <w:rPr>
                <w:rFonts w:ascii="Tw Cen MT" w:hAnsi="Tw Cen MT"/>
              </w:rPr>
              <w:t>Orange County Department of Mental Health</w:t>
            </w:r>
          </w:p>
          <w:p w14:paraId="37D86EEA" w14:textId="77777777" w:rsidR="00AD7B91" w:rsidRPr="00AD7B91" w:rsidRDefault="00AD7B91" w:rsidP="00AD7B91">
            <w:pPr>
              <w:cnfStyle w:val="000000100000" w:firstRow="0" w:lastRow="0" w:firstColumn="0" w:lastColumn="0" w:oddVBand="0" w:evenVBand="0" w:oddHBand="1" w:evenHBand="0" w:firstRowFirstColumn="0" w:firstRowLastColumn="0" w:lastRowFirstColumn="0" w:lastRowLastColumn="0"/>
              <w:rPr>
                <w:rFonts w:ascii="Tw Cen MT" w:hAnsi="Tw Cen MT"/>
              </w:rPr>
            </w:pPr>
            <w:r w:rsidRPr="00AD7B91">
              <w:rPr>
                <w:rFonts w:ascii="Tw Cen MT" w:hAnsi="Tw Cen MT"/>
              </w:rPr>
              <w:t>Wellness Inspiring Spiritual Health</w:t>
            </w:r>
          </w:p>
          <w:p w14:paraId="0523DC5B" w14:textId="77777777" w:rsidR="00AD7B91" w:rsidRPr="00AD7B91" w:rsidRDefault="00AD7B91" w:rsidP="00AD7B91">
            <w:pPr>
              <w:cnfStyle w:val="000000100000" w:firstRow="0" w:lastRow="0" w:firstColumn="0" w:lastColumn="0" w:oddVBand="0" w:evenVBand="0" w:oddHBand="1" w:evenHBand="0" w:firstRowFirstColumn="0" w:firstRowLastColumn="0" w:lastRowFirstColumn="0" w:lastRowLastColumn="0"/>
              <w:rPr>
                <w:rFonts w:ascii="Tw Cen MT" w:hAnsi="Tw Cen MT"/>
              </w:rPr>
            </w:pPr>
            <w:r w:rsidRPr="00AD7B91">
              <w:rPr>
                <w:rFonts w:ascii="Tw Cen MT" w:hAnsi="Tw Cen MT"/>
              </w:rPr>
              <w:t xml:space="preserve">Garnet Health </w:t>
            </w:r>
          </w:p>
          <w:p w14:paraId="02667AD1" w14:textId="77777777" w:rsidR="00AD7B91" w:rsidRPr="00AD7B91" w:rsidRDefault="00AD7B91" w:rsidP="00AD7B91">
            <w:pPr>
              <w:cnfStyle w:val="000000100000" w:firstRow="0" w:lastRow="0" w:firstColumn="0" w:lastColumn="0" w:oddVBand="0" w:evenVBand="0" w:oddHBand="1" w:evenHBand="0" w:firstRowFirstColumn="0" w:firstRowLastColumn="0" w:lastRowFirstColumn="0" w:lastRowLastColumn="0"/>
              <w:rPr>
                <w:rFonts w:ascii="Tw Cen MT" w:hAnsi="Tw Cen MT"/>
              </w:rPr>
            </w:pPr>
            <w:r w:rsidRPr="00AD7B91">
              <w:rPr>
                <w:rFonts w:ascii="Tw Cen MT" w:hAnsi="Tw Cen MT"/>
              </w:rPr>
              <w:t>Westchester Medical Center Health Network</w:t>
            </w:r>
          </w:p>
          <w:p w14:paraId="30825BAC" w14:textId="77777777" w:rsidR="00AD7B91" w:rsidRPr="00AD7B91" w:rsidRDefault="00AD7B91" w:rsidP="00AD7B91">
            <w:pPr>
              <w:cnfStyle w:val="000000100000" w:firstRow="0" w:lastRow="0" w:firstColumn="0" w:lastColumn="0" w:oddVBand="0" w:evenVBand="0" w:oddHBand="1" w:evenHBand="0" w:firstRowFirstColumn="0" w:firstRowLastColumn="0" w:lastRowFirstColumn="0" w:lastRowLastColumn="0"/>
              <w:rPr>
                <w:rFonts w:ascii="Tw Cen MT" w:hAnsi="Tw Cen MT"/>
              </w:rPr>
            </w:pPr>
            <w:r w:rsidRPr="00AD7B91">
              <w:rPr>
                <w:rFonts w:ascii="Tw Cen MT" w:hAnsi="Tw Cen MT"/>
              </w:rPr>
              <w:t>Westchester Medical Center Health Network</w:t>
            </w:r>
          </w:p>
          <w:p w14:paraId="1403B4B9" w14:textId="72DBA067" w:rsidR="00AD7B91" w:rsidRPr="00AD7B91" w:rsidRDefault="00AD7B91" w:rsidP="00AD7B91">
            <w:pPr>
              <w:cnfStyle w:val="000000100000" w:firstRow="0" w:lastRow="0" w:firstColumn="0" w:lastColumn="0" w:oddVBand="0" w:evenVBand="0" w:oddHBand="1" w:evenHBand="0" w:firstRowFirstColumn="0" w:firstRowLastColumn="0" w:lastRowFirstColumn="0" w:lastRowLastColumn="0"/>
              <w:rPr>
                <w:rFonts w:ascii="Tw Cen MT" w:hAnsi="Tw Cen MT"/>
              </w:rPr>
            </w:pPr>
            <w:r w:rsidRPr="00AD7B91">
              <w:rPr>
                <w:rFonts w:ascii="Tw Cen MT" w:hAnsi="Tw Cen MT"/>
              </w:rPr>
              <w:t>SUNY Orange</w:t>
            </w:r>
          </w:p>
          <w:p w14:paraId="6D38E283" w14:textId="77777777" w:rsidR="00AD7B91" w:rsidRPr="00AD7B91" w:rsidRDefault="00AD7B91" w:rsidP="00AD7B91">
            <w:pPr>
              <w:cnfStyle w:val="000000100000" w:firstRow="0" w:lastRow="0" w:firstColumn="0" w:lastColumn="0" w:oddVBand="0" w:evenVBand="0" w:oddHBand="1" w:evenHBand="0" w:firstRowFirstColumn="0" w:firstRowLastColumn="0" w:lastRowFirstColumn="0" w:lastRowLastColumn="0"/>
              <w:rPr>
                <w:rFonts w:ascii="Tw Cen MT" w:hAnsi="Tw Cen MT"/>
              </w:rPr>
            </w:pPr>
            <w:r w:rsidRPr="00AD7B91">
              <w:rPr>
                <w:rFonts w:ascii="Tw Cen MT" w:hAnsi="Tw Cen MT"/>
              </w:rPr>
              <w:t>Westchester Medical Center Health Network</w:t>
            </w:r>
          </w:p>
          <w:p w14:paraId="3A56BC78" w14:textId="77777777" w:rsidR="00AD7B91" w:rsidRPr="00AD7B91" w:rsidRDefault="00AD7B91" w:rsidP="00AD7B91">
            <w:pPr>
              <w:cnfStyle w:val="000000100000" w:firstRow="0" w:lastRow="0" w:firstColumn="0" w:lastColumn="0" w:oddVBand="0" w:evenVBand="0" w:oddHBand="1" w:evenHBand="0" w:firstRowFirstColumn="0" w:firstRowLastColumn="0" w:lastRowFirstColumn="0" w:lastRowLastColumn="0"/>
              <w:rPr>
                <w:rFonts w:ascii="Tw Cen MT" w:hAnsi="Tw Cen MT"/>
              </w:rPr>
            </w:pPr>
            <w:r w:rsidRPr="00AD7B91">
              <w:rPr>
                <w:rFonts w:ascii="Tw Cen MT" w:hAnsi="Tw Cen MT"/>
              </w:rPr>
              <w:t>Montefiore St. Luke's Cornwall Hospital</w:t>
            </w:r>
          </w:p>
          <w:p w14:paraId="2C890B41" w14:textId="77777777" w:rsidR="00AD7B91" w:rsidRPr="00AD7B91" w:rsidRDefault="00AD7B91" w:rsidP="00AD7B91">
            <w:pPr>
              <w:cnfStyle w:val="000000100000" w:firstRow="0" w:lastRow="0" w:firstColumn="0" w:lastColumn="0" w:oddVBand="0" w:evenVBand="0" w:oddHBand="1" w:evenHBand="0" w:firstRowFirstColumn="0" w:firstRowLastColumn="0" w:lastRowFirstColumn="0" w:lastRowLastColumn="0"/>
              <w:rPr>
                <w:rFonts w:ascii="Tw Cen MT" w:hAnsi="Tw Cen MT"/>
              </w:rPr>
            </w:pPr>
            <w:r w:rsidRPr="00AD7B91">
              <w:rPr>
                <w:rFonts w:ascii="Tw Cen MT" w:hAnsi="Tw Cen MT"/>
              </w:rPr>
              <w:t>Westchester Medical Center Health Network</w:t>
            </w:r>
          </w:p>
          <w:p w14:paraId="1F967DF0" w14:textId="42D5635C" w:rsidR="00AD7B91" w:rsidRDefault="00AD7B91" w:rsidP="009120CF">
            <w:pPr>
              <w:tabs>
                <w:tab w:val="left" w:pos="2295"/>
              </w:tabs>
              <w:cnfStyle w:val="000000100000" w:firstRow="0" w:lastRow="0" w:firstColumn="0" w:lastColumn="0" w:oddVBand="0" w:evenVBand="0" w:oddHBand="1" w:evenHBand="0" w:firstRowFirstColumn="0" w:firstRowLastColumn="0" w:lastRowFirstColumn="0" w:lastRowLastColumn="0"/>
              <w:rPr>
                <w:rFonts w:ascii="Tw Cen MT" w:hAnsi="Tw Cen MT"/>
              </w:rPr>
            </w:pPr>
            <w:r w:rsidRPr="00AD7B91">
              <w:rPr>
                <w:rFonts w:ascii="Tw Cen MT" w:hAnsi="Tw Cen MT"/>
              </w:rPr>
              <w:t>Sun River Health</w:t>
            </w:r>
            <w:r w:rsidR="009120CF">
              <w:rPr>
                <w:rFonts w:ascii="Tw Cen MT" w:hAnsi="Tw Cen MT"/>
              </w:rPr>
              <w:tab/>
            </w:r>
          </w:p>
        </w:tc>
      </w:tr>
    </w:tbl>
    <w:bookmarkEnd w:id="2"/>
    <w:p w14:paraId="635FC4AB" w14:textId="77C334C2" w:rsidR="00A83D6B" w:rsidRPr="004B3E5C" w:rsidRDefault="00A83D6B" w:rsidP="00A83D6B">
      <w:pPr>
        <w:pStyle w:val="Heading1"/>
      </w:pPr>
      <w:r w:rsidRPr="004B3E5C">
        <w:lastRenderedPageBreak/>
        <w:t>What were the major health issues identified?</w:t>
      </w:r>
    </w:p>
    <w:p w14:paraId="70FB7D6A" w14:textId="3A01E498" w:rsidR="00D94CBE" w:rsidRDefault="00A83D6B" w:rsidP="00256D2C">
      <w:pPr>
        <w:rPr>
          <w:rFonts w:ascii="Tw Cen MT" w:hAnsi="Tw Cen MT"/>
        </w:rPr>
      </w:pPr>
      <w:r w:rsidRPr="00D31ED7">
        <w:rPr>
          <w:rFonts w:ascii="Tw Cen MT" w:hAnsi="Tw Cen MT"/>
        </w:rPr>
        <w:t xml:space="preserve">Premature death </w:t>
      </w:r>
      <w:r w:rsidR="00D94CBE" w:rsidRPr="00D31ED7">
        <w:rPr>
          <w:rFonts w:ascii="Tw Cen MT" w:hAnsi="Tw Cen MT"/>
        </w:rPr>
        <w:t>(death before age</w:t>
      </w:r>
      <w:r w:rsidRPr="00D31ED7">
        <w:rPr>
          <w:rFonts w:ascii="Tw Cen MT" w:hAnsi="Tw Cen MT"/>
        </w:rPr>
        <w:t xml:space="preserve"> 65</w:t>
      </w:r>
      <w:r w:rsidR="00D94CBE" w:rsidRPr="00D31ED7">
        <w:rPr>
          <w:rFonts w:ascii="Tw Cen MT" w:hAnsi="Tw Cen MT"/>
        </w:rPr>
        <w:t>) in</w:t>
      </w:r>
      <w:r w:rsidRPr="00D31ED7">
        <w:rPr>
          <w:rFonts w:ascii="Tw Cen MT" w:hAnsi="Tw Cen MT"/>
        </w:rPr>
        <w:t xml:space="preserve"> </w:t>
      </w:r>
      <w:r w:rsidR="00D94CBE" w:rsidRPr="00D31ED7">
        <w:rPr>
          <w:rFonts w:ascii="Tw Cen MT" w:hAnsi="Tw Cen MT"/>
        </w:rPr>
        <w:t>Orange County (OC)</w:t>
      </w:r>
      <w:r w:rsidRPr="00D31ED7">
        <w:rPr>
          <w:rFonts w:ascii="Tw Cen MT" w:hAnsi="Tw Cen MT"/>
        </w:rPr>
        <w:t xml:space="preserve"> is the </w:t>
      </w:r>
      <w:r w:rsidR="00D94CBE" w:rsidRPr="00D31ED7">
        <w:rPr>
          <w:rFonts w:ascii="Tw Cen MT" w:hAnsi="Tw Cen MT"/>
        </w:rPr>
        <w:t>second</w:t>
      </w:r>
      <w:r w:rsidRPr="00D31ED7">
        <w:rPr>
          <w:rFonts w:ascii="Tw Cen MT" w:hAnsi="Tw Cen MT"/>
        </w:rPr>
        <w:t xml:space="preserve"> worst in the M</w:t>
      </w:r>
      <w:r w:rsidR="00D94CBE" w:rsidRPr="00D31ED7">
        <w:rPr>
          <w:rFonts w:ascii="Tw Cen MT" w:hAnsi="Tw Cen MT"/>
        </w:rPr>
        <w:t>id</w:t>
      </w:r>
      <w:r w:rsidRPr="00D31ED7">
        <w:rPr>
          <w:rFonts w:ascii="Tw Cen MT" w:hAnsi="Tw Cen MT"/>
        </w:rPr>
        <w:t>-H</w:t>
      </w:r>
      <w:r w:rsidR="00D94CBE" w:rsidRPr="00D31ED7">
        <w:rPr>
          <w:rFonts w:ascii="Tw Cen MT" w:hAnsi="Tw Cen MT"/>
        </w:rPr>
        <w:t>udson (M-H)</w:t>
      </w:r>
      <w:r w:rsidRPr="00D31ED7">
        <w:rPr>
          <w:rFonts w:ascii="Tw Cen MT" w:hAnsi="Tw Cen MT"/>
        </w:rPr>
        <w:t xml:space="preserve"> Region and </w:t>
      </w:r>
      <w:r w:rsidR="00D94CBE" w:rsidRPr="00D31ED7">
        <w:rPr>
          <w:rFonts w:ascii="Tw Cen MT" w:hAnsi="Tw Cen MT"/>
        </w:rPr>
        <w:t>exceeds the overall</w:t>
      </w:r>
      <w:r w:rsidRPr="00D31ED7">
        <w:rPr>
          <w:rFonts w:ascii="Tw Cen MT" w:hAnsi="Tw Cen MT"/>
        </w:rPr>
        <w:t xml:space="preserve"> New York State (NYS) rate. Heart disease and cancer are the leading causes of </w:t>
      </w:r>
      <w:r w:rsidR="00D31ED7">
        <w:rPr>
          <w:rFonts w:ascii="Tw Cen MT" w:hAnsi="Tw Cen MT"/>
        </w:rPr>
        <w:t xml:space="preserve">both overall </w:t>
      </w:r>
      <w:r w:rsidRPr="00D31ED7">
        <w:rPr>
          <w:rFonts w:ascii="Tw Cen MT" w:hAnsi="Tw Cen MT"/>
        </w:rPr>
        <w:t>death</w:t>
      </w:r>
      <w:r w:rsidR="00D94CBE" w:rsidRPr="00D31ED7">
        <w:rPr>
          <w:rFonts w:ascii="Tw Cen MT" w:hAnsi="Tw Cen MT"/>
        </w:rPr>
        <w:t>,</w:t>
      </w:r>
      <w:r w:rsidRPr="00D31ED7">
        <w:rPr>
          <w:rFonts w:ascii="Tw Cen MT" w:hAnsi="Tw Cen MT"/>
        </w:rPr>
        <w:t xml:space="preserve"> and premature death (death before age 75) by a large margin. These </w:t>
      </w:r>
      <w:r w:rsidR="00D94CBE" w:rsidRPr="00D31ED7">
        <w:rPr>
          <w:rFonts w:ascii="Tw Cen MT" w:hAnsi="Tw Cen MT"/>
        </w:rPr>
        <w:t xml:space="preserve">health gaps widen significantly </w:t>
      </w:r>
      <w:r w:rsidRPr="00D31ED7">
        <w:rPr>
          <w:rFonts w:ascii="Tw Cen MT" w:hAnsi="Tw Cen MT"/>
        </w:rPr>
        <w:t xml:space="preserve">along racial and ethnic lines, with </w:t>
      </w:r>
      <w:r w:rsidR="00D94CBE" w:rsidRPr="00D31ED7">
        <w:rPr>
          <w:rFonts w:ascii="Tw Cen MT" w:hAnsi="Tw Cen MT"/>
        </w:rPr>
        <w:t>OC</w:t>
      </w:r>
      <w:r w:rsidRPr="00D31ED7">
        <w:rPr>
          <w:rFonts w:ascii="Tw Cen MT" w:hAnsi="Tw Cen MT"/>
        </w:rPr>
        <w:t xml:space="preserve"> having the second highest percentage difference </w:t>
      </w:r>
      <w:r w:rsidR="00D94CBE" w:rsidRPr="00D31ED7">
        <w:rPr>
          <w:rFonts w:ascii="Tw Cen MT" w:hAnsi="Tw Cen MT"/>
        </w:rPr>
        <w:t xml:space="preserve">in premature deaths </w:t>
      </w:r>
      <w:r w:rsidRPr="00D31ED7">
        <w:rPr>
          <w:rFonts w:ascii="Tw Cen MT" w:hAnsi="Tw Cen MT"/>
        </w:rPr>
        <w:t xml:space="preserve">between Black </w:t>
      </w:r>
      <w:r w:rsidR="00D94CBE" w:rsidRPr="00D31ED7">
        <w:rPr>
          <w:rFonts w:ascii="Tw Cen MT" w:hAnsi="Tw Cen MT"/>
        </w:rPr>
        <w:t>n</w:t>
      </w:r>
      <w:r w:rsidRPr="00D31ED7">
        <w:rPr>
          <w:rFonts w:ascii="Tw Cen MT" w:hAnsi="Tw Cen MT"/>
        </w:rPr>
        <w:t>on-Hispanic</w:t>
      </w:r>
      <w:r w:rsidR="009120CF">
        <w:rPr>
          <w:rFonts w:ascii="Tw Cen MT" w:hAnsi="Tw Cen MT"/>
        </w:rPr>
        <w:t xml:space="preserve"> people</w:t>
      </w:r>
      <w:r w:rsidRPr="00D31ED7">
        <w:rPr>
          <w:rFonts w:ascii="Tw Cen MT" w:hAnsi="Tw Cen MT"/>
        </w:rPr>
        <w:t xml:space="preserve"> and White </w:t>
      </w:r>
      <w:r w:rsidR="00D94CBE" w:rsidRPr="00D31ED7">
        <w:rPr>
          <w:rFonts w:ascii="Tw Cen MT" w:hAnsi="Tw Cen MT"/>
        </w:rPr>
        <w:t>n</w:t>
      </w:r>
      <w:r w:rsidRPr="00D31ED7">
        <w:rPr>
          <w:rFonts w:ascii="Tw Cen MT" w:hAnsi="Tw Cen MT"/>
        </w:rPr>
        <w:t>on-Hispanic</w:t>
      </w:r>
      <w:r w:rsidR="009120CF">
        <w:rPr>
          <w:rFonts w:ascii="Tw Cen MT" w:hAnsi="Tw Cen MT"/>
        </w:rPr>
        <w:t xml:space="preserve"> people</w:t>
      </w:r>
      <w:r w:rsidRPr="00D31ED7">
        <w:rPr>
          <w:rFonts w:ascii="Tw Cen MT" w:hAnsi="Tw Cen MT"/>
        </w:rPr>
        <w:t xml:space="preserve">, in the M-H Region. Obesity is a </w:t>
      </w:r>
      <w:r w:rsidR="00D94CBE" w:rsidRPr="00D31ED7">
        <w:rPr>
          <w:rFonts w:ascii="Tw Cen MT" w:hAnsi="Tw Cen MT"/>
        </w:rPr>
        <w:t xml:space="preserve">primary driver of these leading causes of death, heavily contributing to the development of </w:t>
      </w:r>
      <w:r w:rsidRPr="00D31ED7">
        <w:rPr>
          <w:rFonts w:ascii="Tw Cen MT" w:hAnsi="Tw Cen MT"/>
        </w:rPr>
        <w:t xml:space="preserve">diabetes, stroke, and hypertension, all of which </w:t>
      </w:r>
      <w:r w:rsidR="00D94CBE" w:rsidRPr="00D31ED7">
        <w:rPr>
          <w:rFonts w:ascii="Tw Cen MT" w:hAnsi="Tw Cen MT"/>
        </w:rPr>
        <w:t xml:space="preserve">accelerate </w:t>
      </w:r>
      <w:r w:rsidRPr="00D31ED7">
        <w:rPr>
          <w:rFonts w:ascii="Tw Cen MT" w:hAnsi="Tw Cen MT"/>
        </w:rPr>
        <w:t xml:space="preserve">premature death. </w:t>
      </w:r>
      <w:r w:rsidR="00D94CBE" w:rsidRPr="00D31ED7">
        <w:rPr>
          <w:rFonts w:ascii="Tw Cen MT" w:hAnsi="Tw Cen MT"/>
        </w:rPr>
        <w:t>Currently</w:t>
      </w:r>
      <w:r w:rsidR="00D94CBE">
        <w:rPr>
          <w:rFonts w:ascii="Tw Cen MT" w:hAnsi="Tw Cen MT"/>
        </w:rPr>
        <w:t>, OC’s</w:t>
      </w:r>
      <w:r w:rsidRPr="004B3E5C">
        <w:rPr>
          <w:rFonts w:ascii="Tw Cen MT" w:hAnsi="Tw Cen MT"/>
        </w:rPr>
        <w:t xml:space="preserve"> </w:t>
      </w:r>
      <w:r w:rsidR="004575EE" w:rsidRPr="004B3E5C">
        <w:rPr>
          <w:rFonts w:ascii="Tw Cen MT" w:hAnsi="Tw Cen MT"/>
        </w:rPr>
        <w:t>percentage of</w:t>
      </w:r>
      <w:r w:rsidRPr="004B3E5C">
        <w:rPr>
          <w:rFonts w:ascii="Tw Cen MT" w:hAnsi="Tw Cen MT"/>
        </w:rPr>
        <w:t xml:space="preserve"> overweight or obese </w:t>
      </w:r>
      <w:r w:rsidR="00D94CBE">
        <w:rPr>
          <w:rFonts w:ascii="Tw Cen MT" w:hAnsi="Tw Cen MT"/>
        </w:rPr>
        <w:t xml:space="preserve">adults </w:t>
      </w:r>
      <w:r w:rsidRPr="004B3E5C">
        <w:rPr>
          <w:rFonts w:ascii="Tw Cen MT" w:hAnsi="Tw Cen MT"/>
        </w:rPr>
        <w:t>is the highest in the M-H Region at 75%.</w:t>
      </w:r>
    </w:p>
    <w:p w14:paraId="4B312CAE" w14:textId="76BF5D8D" w:rsidR="009866CD" w:rsidRPr="004575EE" w:rsidRDefault="00A83D6B" w:rsidP="00256D2C">
      <w:pPr>
        <w:rPr>
          <w:szCs w:val="24"/>
        </w:rPr>
      </w:pPr>
      <w:r w:rsidRPr="004575EE">
        <w:rPr>
          <w:szCs w:val="24"/>
        </w:rPr>
        <w:t xml:space="preserve">Over the past ten years, obesity </w:t>
      </w:r>
      <w:r w:rsidR="00D94CBE" w:rsidRPr="004575EE">
        <w:rPr>
          <w:szCs w:val="24"/>
        </w:rPr>
        <w:t xml:space="preserve">rates </w:t>
      </w:r>
      <w:r w:rsidRPr="004575EE">
        <w:rPr>
          <w:szCs w:val="24"/>
        </w:rPr>
        <w:t xml:space="preserve">have continually grown, </w:t>
      </w:r>
      <w:r w:rsidR="00D94CBE" w:rsidRPr="004575EE">
        <w:rPr>
          <w:szCs w:val="24"/>
        </w:rPr>
        <w:t xml:space="preserve">mirroring </w:t>
      </w:r>
      <w:r w:rsidRPr="004575EE">
        <w:rPr>
          <w:szCs w:val="24"/>
        </w:rPr>
        <w:t xml:space="preserve">subsequent </w:t>
      </w:r>
      <w:r w:rsidR="00D94CBE" w:rsidRPr="004575EE">
        <w:rPr>
          <w:szCs w:val="24"/>
        </w:rPr>
        <w:t xml:space="preserve">increases in </w:t>
      </w:r>
      <w:r w:rsidRPr="004575EE">
        <w:rPr>
          <w:szCs w:val="24"/>
        </w:rPr>
        <w:t xml:space="preserve">cardiovascular disease, prediabetes, and hypertension. </w:t>
      </w:r>
      <w:r w:rsidR="00D94CBE" w:rsidRPr="004575EE">
        <w:rPr>
          <w:szCs w:val="24"/>
        </w:rPr>
        <w:t xml:space="preserve">Notably, OC’s </w:t>
      </w:r>
      <w:r w:rsidRPr="004575EE">
        <w:rPr>
          <w:szCs w:val="24"/>
        </w:rPr>
        <w:t>age-adjusted all</w:t>
      </w:r>
      <w:r w:rsidR="00D94CBE" w:rsidRPr="004575EE">
        <w:rPr>
          <w:szCs w:val="24"/>
        </w:rPr>
        <w:t>-</w:t>
      </w:r>
      <w:r w:rsidRPr="004575EE">
        <w:rPr>
          <w:szCs w:val="24"/>
        </w:rPr>
        <w:t xml:space="preserve">cancer mortality </w:t>
      </w:r>
      <w:r w:rsidR="00D94CBE" w:rsidRPr="004575EE">
        <w:rPr>
          <w:szCs w:val="24"/>
        </w:rPr>
        <w:t xml:space="preserve">rate </w:t>
      </w:r>
      <w:r w:rsidRPr="004575EE">
        <w:rPr>
          <w:szCs w:val="24"/>
        </w:rPr>
        <w:t xml:space="preserve">is the highest in the M-H Region at </w:t>
      </w:r>
      <w:r w:rsidR="009120CF">
        <w:rPr>
          <w:szCs w:val="24"/>
        </w:rPr>
        <w:t>151</w:t>
      </w:r>
      <w:r w:rsidRPr="004575EE">
        <w:rPr>
          <w:szCs w:val="24"/>
        </w:rPr>
        <w:t xml:space="preserve"> per 100,000 residents, </w:t>
      </w:r>
      <w:r w:rsidR="009866CD" w:rsidRPr="004575EE">
        <w:rPr>
          <w:szCs w:val="24"/>
        </w:rPr>
        <w:t xml:space="preserve">which is </w:t>
      </w:r>
      <w:r w:rsidRPr="004575EE">
        <w:rPr>
          <w:szCs w:val="24"/>
        </w:rPr>
        <w:t>1.</w:t>
      </w:r>
      <w:r w:rsidR="009120CF">
        <w:rPr>
          <w:szCs w:val="24"/>
        </w:rPr>
        <w:t>1</w:t>
      </w:r>
      <w:r w:rsidRPr="004575EE">
        <w:rPr>
          <w:szCs w:val="24"/>
        </w:rPr>
        <w:t xml:space="preserve"> times higher than the NYS </w:t>
      </w:r>
      <w:r w:rsidR="009866CD" w:rsidRPr="004575EE">
        <w:rPr>
          <w:szCs w:val="24"/>
        </w:rPr>
        <w:t>average rate</w:t>
      </w:r>
      <w:r w:rsidRPr="004575EE">
        <w:rPr>
          <w:szCs w:val="24"/>
        </w:rPr>
        <w:t xml:space="preserve"> based on the latest available data. Within these preventable causes of death, </w:t>
      </w:r>
      <w:r w:rsidR="009866CD" w:rsidRPr="004575EE">
        <w:rPr>
          <w:szCs w:val="24"/>
        </w:rPr>
        <w:t>stark</w:t>
      </w:r>
      <w:r w:rsidRPr="004575EE">
        <w:rPr>
          <w:szCs w:val="24"/>
        </w:rPr>
        <w:t xml:space="preserve"> disparities </w:t>
      </w:r>
      <w:r w:rsidR="009866CD" w:rsidRPr="004575EE">
        <w:rPr>
          <w:szCs w:val="24"/>
        </w:rPr>
        <w:t xml:space="preserve">exist </w:t>
      </w:r>
      <w:r w:rsidRPr="004575EE">
        <w:rPr>
          <w:szCs w:val="24"/>
        </w:rPr>
        <w:t xml:space="preserve">among racial and ethnic minorities. These disparities </w:t>
      </w:r>
      <w:r w:rsidR="009866CD" w:rsidRPr="004575EE">
        <w:rPr>
          <w:szCs w:val="24"/>
        </w:rPr>
        <w:t xml:space="preserve">are evident across multiple indicators including </w:t>
      </w:r>
      <w:r w:rsidRPr="004575EE">
        <w:rPr>
          <w:szCs w:val="24"/>
        </w:rPr>
        <w:t xml:space="preserve">premature deaths, food insecurity, infant mortality, asthma hospitalizations, </w:t>
      </w:r>
      <w:r w:rsidR="009866CD" w:rsidRPr="004575EE">
        <w:rPr>
          <w:szCs w:val="24"/>
        </w:rPr>
        <w:t xml:space="preserve">as well as </w:t>
      </w:r>
      <w:r w:rsidRPr="004575EE">
        <w:rPr>
          <w:szCs w:val="24"/>
        </w:rPr>
        <w:t>hospitalizations and mortality due to heart disease, breast cancer mortality, colorectal cancer mortality, and premature births.</w:t>
      </w:r>
    </w:p>
    <w:p w14:paraId="1A1DE876" w14:textId="1CA319CB" w:rsidR="00A83D6B" w:rsidRPr="004575EE" w:rsidRDefault="00A83D6B" w:rsidP="00256D2C">
      <w:pPr>
        <w:rPr>
          <w:szCs w:val="24"/>
        </w:rPr>
      </w:pPr>
      <w:r w:rsidRPr="004575EE">
        <w:rPr>
          <w:szCs w:val="24"/>
        </w:rPr>
        <w:t xml:space="preserve">Many of these health outcomes are </w:t>
      </w:r>
      <w:r w:rsidR="009866CD" w:rsidRPr="004575EE">
        <w:rPr>
          <w:szCs w:val="24"/>
        </w:rPr>
        <w:t>driven</w:t>
      </w:r>
      <w:r w:rsidRPr="004575EE">
        <w:rPr>
          <w:szCs w:val="24"/>
        </w:rPr>
        <w:t xml:space="preserve"> by the social determinants of health, conditions where systems and policies determine the environments in which people live. Given the </w:t>
      </w:r>
      <w:r w:rsidR="009866CD" w:rsidRPr="004575EE">
        <w:rPr>
          <w:szCs w:val="24"/>
        </w:rPr>
        <w:t>deep connection</w:t>
      </w:r>
      <w:r w:rsidRPr="004575EE">
        <w:rPr>
          <w:szCs w:val="24"/>
        </w:rPr>
        <w:t xml:space="preserve"> between physical and mental health</w:t>
      </w:r>
      <w:r w:rsidR="009866CD" w:rsidRPr="004575EE">
        <w:rPr>
          <w:szCs w:val="24"/>
        </w:rPr>
        <w:t xml:space="preserve">, </w:t>
      </w:r>
      <w:r w:rsidRPr="004575EE">
        <w:rPr>
          <w:szCs w:val="24"/>
        </w:rPr>
        <w:t xml:space="preserve">public health interventions must address both areas together. In 2024, 36% of </w:t>
      </w:r>
      <w:r w:rsidR="009866CD" w:rsidRPr="004575EE">
        <w:rPr>
          <w:szCs w:val="24"/>
        </w:rPr>
        <w:t>OC</w:t>
      </w:r>
      <w:r w:rsidRPr="004575EE">
        <w:rPr>
          <w:szCs w:val="24"/>
        </w:rPr>
        <w:t xml:space="preserve"> adults </w:t>
      </w:r>
      <w:r w:rsidR="009866CD" w:rsidRPr="004575EE">
        <w:rPr>
          <w:szCs w:val="24"/>
        </w:rPr>
        <w:t xml:space="preserve">aged </w:t>
      </w:r>
      <w:r w:rsidRPr="004575EE">
        <w:rPr>
          <w:szCs w:val="24"/>
        </w:rPr>
        <w:t>18 and older reported experienc</w:t>
      </w:r>
      <w:r w:rsidR="009866CD" w:rsidRPr="004575EE">
        <w:rPr>
          <w:szCs w:val="24"/>
        </w:rPr>
        <w:t>ing</w:t>
      </w:r>
      <w:r w:rsidRPr="004575EE">
        <w:rPr>
          <w:szCs w:val="24"/>
        </w:rPr>
        <w:t xml:space="preserve"> moderate or serious psychological distress. </w:t>
      </w:r>
      <w:r w:rsidR="009866CD" w:rsidRPr="004575EE">
        <w:rPr>
          <w:szCs w:val="24"/>
        </w:rPr>
        <w:t>Notably</w:t>
      </w:r>
      <w:r w:rsidRPr="004575EE">
        <w:rPr>
          <w:szCs w:val="24"/>
        </w:rPr>
        <w:t xml:space="preserve">, </w:t>
      </w:r>
      <w:r w:rsidR="009866CD" w:rsidRPr="004575EE">
        <w:rPr>
          <w:szCs w:val="24"/>
        </w:rPr>
        <w:t xml:space="preserve">this figure rises to </w:t>
      </w:r>
      <w:r w:rsidRPr="004575EE">
        <w:rPr>
          <w:szCs w:val="24"/>
        </w:rPr>
        <w:t xml:space="preserve">47% </w:t>
      </w:r>
      <w:r w:rsidR="009866CD" w:rsidRPr="004575EE">
        <w:rPr>
          <w:szCs w:val="24"/>
        </w:rPr>
        <w:t xml:space="preserve">among </w:t>
      </w:r>
      <w:r w:rsidRPr="004575EE">
        <w:rPr>
          <w:szCs w:val="24"/>
        </w:rPr>
        <w:t xml:space="preserve">adults with an </w:t>
      </w:r>
      <w:r w:rsidR="009866CD" w:rsidRPr="004575EE">
        <w:rPr>
          <w:szCs w:val="24"/>
        </w:rPr>
        <w:t xml:space="preserve">annual </w:t>
      </w:r>
      <w:r w:rsidRPr="004575EE">
        <w:rPr>
          <w:szCs w:val="24"/>
        </w:rPr>
        <w:t xml:space="preserve">income </w:t>
      </w:r>
      <w:r w:rsidR="009866CD" w:rsidRPr="004575EE">
        <w:rPr>
          <w:szCs w:val="24"/>
        </w:rPr>
        <w:t>below</w:t>
      </w:r>
      <w:r w:rsidRPr="004575EE">
        <w:rPr>
          <w:szCs w:val="24"/>
        </w:rPr>
        <w:t xml:space="preserve"> $25</w:t>
      </w:r>
      <w:r w:rsidR="009866CD" w:rsidRPr="004575EE">
        <w:rPr>
          <w:szCs w:val="24"/>
        </w:rPr>
        <w:t>,000</w:t>
      </w:r>
      <w:r w:rsidRPr="004575EE">
        <w:rPr>
          <w:szCs w:val="24"/>
        </w:rPr>
        <w:t xml:space="preserve"> </w:t>
      </w:r>
      <w:r w:rsidR="009866CD" w:rsidRPr="004575EE">
        <w:rPr>
          <w:szCs w:val="24"/>
        </w:rPr>
        <w:t>underscoring the impact of poverty on resident well-being</w:t>
      </w:r>
      <w:r w:rsidRPr="004575EE">
        <w:rPr>
          <w:szCs w:val="24"/>
        </w:rPr>
        <w:t xml:space="preserve">. </w:t>
      </w:r>
      <w:r w:rsidR="009866CD" w:rsidRPr="004575EE">
        <w:rPr>
          <w:szCs w:val="24"/>
        </w:rPr>
        <w:t>Substance use also remains a critical challenge: between 2019 and 2022, OC</w:t>
      </w:r>
      <w:r w:rsidRPr="004575EE">
        <w:rPr>
          <w:szCs w:val="24"/>
        </w:rPr>
        <w:t xml:space="preserve"> ranked </w:t>
      </w:r>
      <w:r w:rsidR="004575EE">
        <w:rPr>
          <w:szCs w:val="24"/>
        </w:rPr>
        <w:t>fourth</w:t>
      </w:r>
      <w:r w:rsidRPr="004575EE">
        <w:rPr>
          <w:szCs w:val="24"/>
        </w:rPr>
        <w:t xml:space="preserve"> in the M-H region </w:t>
      </w:r>
      <w:r w:rsidR="009866CD" w:rsidRPr="004575EE">
        <w:rPr>
          <w:szCs w:val="24"/>
        </w:rPr>
        <w:t xml:space="preserve">for opioid-involved </w:t>
      </w:r>
      <w:r w:rsidRPr="004575EE">
        <w:rPr>
          <w:szCs w:val="24"/>
        </w:rPr>
        <w:t>overdose deaths</w:t>
      </w:r>
      <w:r w:rsidR="009866CD" w:rsidRPr="004575EE">
        <w:rPr>
          <w:szCs w:val="24"/>
        </w:rPr>
        <w:t xml:space="preserve">, surpassing </w:t>
      </w:r>
      <w:r w:rsidRPr="004575EE">
        <w:rPr>
          <w:szCs w:val="24"/>
        </w:rPr>
        <w:t xml:space="preserve">the NYS </w:t>
      </w:r>
      <w:r w:rsidR="009866CD" w:rsidRPr="004575EE">
        <w:rPr>
          <w:szCs w:val="24"/>
        </w:rPr>
        <w:t xml:space="preserve">rate </w:t>
      </w:r>
      <w:r w:rsidRPr="004575EE">
        <w:rPr>
          <w:szCs w:val="24"/>
        </w:rPr>
        <w:t>excluding N</w:t>
      </w:r>
      <w:r w:rsidR="009866CD" w:rsidRPr="004575EE">
        <w:rPr>
          <w:szCs w:val="24"/>
        </w:rPr>
        <w:t xml:space="preserve">ew </w:t>
      </w:r>
      <w:r w:rsidRPr="004575EE">
        <w:rPr>
          <w:szCs w:val="24"/>
        </w:rPr>
        <w:t>Y</w:t>
      </w:r>
      <w:r w:rsidR="009866CD" w:rsidRPr="004575EE">
        <w:rPr>
          <w:szCs w:val="24"/>
        </w:rPr>
        <w:t xml:space="preserve">ork </w:t>
      </w:r>
      <w:r w:rsidRPr="004575EE">
        <w:rPr>
          <w:szCs w:val="24"/>
        </w:rPr>
        <w:t>C</w:t>
      </w:r>
      <w:r w:rsidR="009866CD" w:rsidRPr="004575EE">
        <w:rPr>
          <w:szCs w:val="24"/>
        </w:rPr>
        <w:t>ity</w:t>
      </w:r>
      <w:r w:rsidRPr="004575EE">
        <w:rPr>
          <w:szCs w:val="24"/>
        </w:rPr>
        <w:t xml:space="preserve">. However, </w:t>
      </w:r>
      <w:r w:rsidR="009866CD" w:rsidRPr="004575EE">
        <w:rPr>
          <w:szCs w:val="24"/>
        </w:rPr>
        <w:t xml:space="preserve">significant </w:t>
      </w:r>
      <w:r w:rsidRPr="004575EE">
        <w:rPr>
          <w:szCs w:val="24"/>
        </w:rPr>
        <w:t xml:space="preserve">strides have been made in addressing substance use in </w:t>
      </w:r>
      <w:r w:rsidR="009866CD" w:rsidRPr="004575EE">
        <w:rPr>
          <w:szCs w:val="24"/>
        </w:rPr>
        <w:t>OC</w:t>
      </w:r>
      <w:r w:rsidRPr="004575EE">
        <w:rPr>
          <w:szCs w:val="24"/>
        </w:rPr>
        <w:t xml:space="preserve">, </w:t>
      </w:r>
      <w:r w:rsidR="009866CD" w:rsidRPr="004575EE">
        <w:rPr>
          <w:szCs w:val="24"/>
        </w:rPr>
        <w:t>achieving</w:t>
      </w:r>
      <w:r w:rsidRPr="004575EE">
        <w:rPr>
          <w:szCs w:val="24"/>
        </w:rPr>
        <w:t xml:space="preserve"> a 45.5% reduction in overdose deaths </w:t>
      </w:r>
      <w:r w:rsidR="009866CD" w:rsidRPr="004575EE">
        <w:rPr>
          <w:szCs w:val="24"/>
        </w:rPr>
        <w:t>from</w:t>
      </w:r>
      <w:r w:rsidRPr="004575EE">
        <w:rPr>
          <w:szCs w:val="24"/>
        </w:rPr>
        <w:t xml:space="preserve"> 2021 to 2024, </w:t>
      </w:r>
      <w:r w:rsidR="00256D2C" w:rsidRPr="004575EE">
        <w:rPr>
          <w:szCs w:val="24"/>
        </w:rPr>
        <w:t>according to av</w:t>
      </w:r>
      <w:r w:rsidRPr="004575EE">
        <w:rPr>
          <w:szCs w:val="24"/>
        </w:rPr>
        <w:t>ailable</w:t>
      </w:r>
      <w:r w:rsidR="00256D2C" w:rsidRPr="004575EE">
        <w:rPr>
          <w:szCs w:val="24"/>
        </w:rPr>
        <w:t xml:space="preserve"> local data.</w:t>
      </w:r>
    </w:p>
    <w:p w14:paraId="086BA95F" w14:textId="386007CC" w:rsidR="00A83D6B" w:rsidRPr="004B3E5C" w:rsidRDefault="00A83D6B" w:rsidP="00A83D6B">
      <w:pPr>
        <w:rPr>
          <w:rFonts w:ascii="Tw Cen MT" w:hAnsi="Tw Cen MT"/>
        </w:rPr>
      </w:pPr>
      <w:r w:rsidRPr="004B3E5C">
        <w:rPr>
          <w:rFonts w:ascii="Tw Cen MT" w:hAnsi="Tw Cen MT"/>
        </w:rPr>
        <w:t xml:space="preserve">Other health </w:t>
      </w:r>
      <w:r w:rsidR="00256D2C">
        <w:rPr>
          <w:rFonts w:ascii="Tw Cen MT" w:hAnsi="Tw Cen MT"/>
        </w:rPr>
        <w:t xml:space="preserve">and socioeconomic </w:t>
      </w:r>
      <w:r w:rsidRPr="004B3E5C">
        <w:rPr>
          <w:rFonts w:ascii="Tw Cen MT" w:hAnsi="Tw Cen MT"/>
        </w:rPr>
        <w:t xml:space="preserve">areas where </w:t>
      </w:r>
      <w:r w:rsidR="00256D2C">
        <w:rPr>
          <w:rFonts w:ascii="Tw Cen MT" w:hAnsi="Tw Cen MT"/>
        </w:rPr>
        <w:t>OC</w:t>
      </w:r>
      <w:r w:rsidRPr="004B3E5C">
        <w:rPr>
          <w:rFonts w:ascii="Tw Cen MT" w:hAnsi="Tw Cen MT"/>
        </w:rPr>
        <w:t xml:space="preserve"> </w:t>
      </w:r>
      <w:proofErr w:type="gramStart"/>
      <w:r w:rsidRPr="004B3E5C">
        <w:rPr>
          <w:rFonts w:ascii="Tw Cen MT" w:hAnsi="Tw Cen MT"/>
        </w:rPr>
        <w:t>falls</w:t>
      </w:r>
      <w:proofErr w:type="gramEnd"/>
      <w:r w:rsidRPr="004B3E5C">
        <w:rPr>
          <w:rFonts w:ascii="Tw Cen MT" w:hAnsi="Tw Cen MT"/>
        </w:rPr>
        <w:t xml:space="preserve"> behind NYS or ha</w:t>
      </w:r>
      <w:r>
        <w:rPr>
          <w:rFonts w:ascii="Tw Cen MT" w:hAnsi="Tw Cen MT"/>
        </w:rPr>
        <w:t>s</w:t>
      </w:r>
      <w:r w:rsidRPr="004B3E5C">
        <w:rPr>
          <w:rFonts w:ascii="Tw Cen MT" w:hAnsi="Tw Cen MT"/>
        </w:rPr>
        <w:t xml:space="preserve"> worsened since the last assessment include:</w:t>
      </w:r>
    </w:p>
    <w:p w14:paraId="254D6553" w14:textId="3A6EC519" w:rsidR="00A83D6B" w:rsidRPr="004B3E5C" w:rsidRDefault="00A83D6B" w:rsidP="00A83D6B">
      <w:pPr>
        <w:numPr>
          <w:ilvl w:val="0"/>
          <w:numId w:val="5"/>
        </w:numPr>
        <w:spacing w:before="0" w:after="160" w:line="278" w:lineRule="auto"/>
        <w:rPr>
          <w:rFonts w:ascii="Tw Cen MT" w:hAnsi="Tw Cen MT"/>
        </w:rPr>
      </w:pPr>
      <w:r w:rsidRPr="004B3E5C">
        <w:rPr>
          <w:rFonts w:ascii="Tw Cen MT" w:hAnsi="Tw Cen MT"/>
        </w:rPr>
        <w:t>Food insecurity</w:t>
      </w:r>
    </w:p>
    <w:p w14:paraId="2534E364" w14:textId="77777777" w:rsidR="00A83D6B" w:rsidRPr="004B3E5C" w:rsidRDefault="00A83D6B" w:rsidP="00A83D6B">
      <w:pPr>
        <w:numPr>
          <w:ilvl w:val="0"/>
          <w:numId w:val="5"/>
        </w:numPr>
        <w:spacing w:before="0" w:after="160" w:line="278" w:lineRule="auto"/>
        <w:rPr>
          <w:rFonts w:ascii="Tw Cen MT" w:hAnsi="Tw Cen MT"/>
        </w:rPr>
      </w:pPr>
      <w:r w:rsidRPr="004B3E5C">
        <w:rPr>
          <w:rFonts w:ascii="Tw Cen MT" w:hAnsi="Tw Cen MT"/>
        </w:rPr>
        <w:t>Severely cost burdened households</w:t>
      </w:r>
    </w:p>
    <w:p w14:paraId="79043CAE" w14:textId="77777777" w:rsidR="00A83D6B" w:rsidRPr="004B3E5C" w:rsidRDefault="00A83D6B" w:rsidP="00A83D6B">
      <w:pPr>
        <w:numPr>
          <w:ilvl w:val="0"/>
          <w:numId w:val="5"/>
        </w:numPr>
        <w:spacing w:before="0" w:after="160" w:line="278" w:lineRule="auto"/>
        <w:rPr>
          <w:rFonts w:ascii="Tw Cen MT" w:hAnsi="Tw Cen MT"/>
        </w:rPr>
      </w:pPr>
      <w:r w:rsidRPr="004B3E5C">
        <w:rPr>
          <w:rFonts w:ascii="Tw Cen MT" w:hAnsi="Tw Cen MT"/>
        </w:rPr>
        <w:t>Cardiovascular disease hospitalization rate</w:t>
      </w:r>
    </w:p>
    <w:p w14:paraId="3298D8BF" w14:textId="468C1205" w:rsidR="00A83D6B" w:rsidRPr="004B3E5C" w:rsidRDefault="00A83D6B" w:rsidP="00A83D6B">
      <w:pPr>
        <w:numPr>
          <w:ilvl w:val="0"/>
          <w:numId w:val="5"/>
        </w:numPr>
        <w:spacing w:before="0" w:after="160" w:line="278" w:lineRule="auto"/>
        <w:rPr>
          <w:rFonts w:ascii="Tw Cen MT" w:hAnsi="Tw Cen MT"/>
        </w:rPr>
      </w:pPr>
      <w:r w:rsidRPr="004B3E5C">
        <w:rPr>
          <w:rFonts w:ascii="Tw Cen MT" w:hAnsi="Tw Cen MT"/>
        </w:rPr>
        <w:t>Adults with prediabetes</w:t>
      </w:r>
    </w:p>
    <w:p w14:paraId="2CBFE2D7" w14:textId="77777777" w:rsidR="00A83D6B" w:rsidRPr="004B3E5C" w:rsidRDefault="00A83D6B" w:rsidP="00A83D6B">
      <w:pPr>
        <w:numPr>
          <w:ilvl w:val="0"/>
          <w:numId w:val="5"/>
        </w:numPr>
        <w:spacing w:before="0" w:after="160" w:line="278" w:lineRule="auto"/>
        <w:rPr>
          <w:rFonts w:ascii="Tw Cen MT" w:hAnsi="Tw Cen MT"/>
        </w:rPr>
      </w:pPr>
      <w:r w:rsidRPr="004B3E5C">
        <w:rPr>
          <w:rFonts w:ascii="Tw Cen MT" w:hAnsi="Tw Cen MT"/>
        </w:rPr>
        <w:t>Asthma hospitalization rate among adults</w:t>
      </w:r>
    </w:p>
    <w:p w14:paraId="586E2892" w14:textId="069C1DAA" w:rsidR="00A83D6B" w:rsidRPr="004B3E5C" w:rsidRDefault="00A83D6B" w:rsidP="00A83D6B">
      <w:pPr>
        <w:numPr>
          <w:ilvl w:val="0"/>
          <w:numId w:val="5"/>
        </w:numPr>
        <w:spacing w:before="0" w:after="160" w:line="278" w:lineRule="auto"/>
        <w:rPr>
          <w:rFonts w:ascii="Tw Cen MT" w:hAnsi="Tw Cen MT"/>
        </w:rPr>
      </w:pPr>
      <w:r w:rsidRPr="004B3E5C">
        <w:rPr>
          <w:rFonts w:ascii="Tw Cen MT" w:hAnsi="Tw Cen MT"/>
        </w:rPr>
        <w:t>Emergency department visits for asthma in children 17 years and younger</w:t>
      </w:r>
    </w:p>
    <w:p w14:paraId="15175A69" w14:textId="2E2AC00D" w:rsidR="00A83D6B" w:rsidRPr="004B3E5C" w:rsidRDefault="00A83D6B" w:rsidP="00A83D6B">
      <w:pPr>
        <w:numPr>
          <w:ilvl w:val="0"/>
          <w:numId w:val="5"/>
        </w:numPr>
        <w:spacing w:before="0" w:after="160" w:line="278" w:lineRule="auto"/>
        <w:rPr>
          <w:rFonts w:ascii="Tw Cen MT" w:hAnsi="Tw Cen MT"/>
        </w:rPr>
      </w:pPr>
      <w:r w:rsidRPr="004B3E5C">
        <w:rPr>
          <w:rFonts w:ascii="Tw Cen MT" w:hAnsi="Tw Cen MT"/>
        </w:rPr>
        <w:t>Stroke hospitalization rate</w:t>
      </w:r>
    </w:p>
    <w:p w14:paraId="3BF41ACD" w14:textId="5717F7FF" w:rsidR="00A83D6B" w:rsidRPr="004B3E5C" w:rsidRDefault="00A83D6B" w:rsidP="00A83D6B">
      <w:pPr>
        <w:numPr>
          <w:ilvl w:val="0"/>
          <w:numId w:val="5"/>
        </w:numPr>
        <w:spacing w:before="0" w:after="160" w:line="278" w:lineRule="auto"/>
        <w:rPr>
          <w:rFonts w:ascii="Tw Cen MT" w:hAnsi="Tw Cen MT"/>
        </w:rPr>
      </w:pPr>
      <w:r w:rsidRPr="004B3E5C">
        <w:rPr>
          <w:rFonts w:ascii="Tw Cen MT" w:hAnsi="Tw Cen MT"/>
        </w:rPr>
        <w:t>Cancer mortality</w:t>
      </w:r>
      <w:r w:rsidR="00256D2C">
        <w:rPr>
          <w:rFonts w:ascii="Tw Cen MT" w:hAnsi="Tw Cen MT"/>
        </w:rPr>
        <w:t>,</w:t>
      </w:r>
      <w:r w:rsidRPr="004B3E5C">
        <w:rPr>
          <w:rFonts w:ascii="Tw Cen MT" w:hAnsi="Tw Cen MT"/>
        </w:rPr>
        <w:t xml:space="preserve"> including all-cancer, female breast cancer, lung and bronchus, prostate, and colorectal cancer</w:t>
      </w:r>
    </w:p>
    <w:p w14:paraId="1EB50E34" w14:textId="4D91D823" w:rsidR="00A83D6B" w:rsidRPr="004B3E5C" w:rsidRDefault="00A83D6B" w:rsidP="00A83D6B">
      <w:pPr>
        <w:numPr>
          <w:ilvl w:val="0"/>
          <w:numId w:val="5"/>
        </w:numPr>
        <w:spacing w:before="0" w:after="160" w:line="278" w:lineRule="auto"/>
        <w:rPr>
          <w:rFonts w:ascii="Tw Cen MT" w:hAnsi="Tw Cen MT"/>
        </w:rPr>
      </w:pPr>
      <w:r w:rsidRPr="004B3E5C">
        <w:rPr>
          <w:rFonts w:ascii="Tw Cen MT" w:hAnsi="Tw Cen MT"/>
        </w:rPr>
        <w:lastRenderedPageBreak/>
        <w:t>Childhood immunization rates</w:t>
      </w:r>
      <w:r w:rsidR="00256D2C">
        <w:rPr>
          <w:rFonts w:ascii="Tw Cen MT" w:hAnsi="Tw Cen MT"/>
        </w:rPr>
        <w:t>,</w:t>
      </w:r>
      <w:r w:rsidRPr="004B3E5C">
        <w:rPr>
          <w:rFonts w:ascii="Tw Cen MT" w:hAnsi="Tw Cen MT"/>
        </w:rPr>
        <w:t xml:space="preserve"> among children 24</w:t>
      </w:r>
      <w:r>
        <w:rPr>
          <w:rFonts w:ascii="Tw Cen MT" w:hAnsi="Tw Cen MT"/>
        </w:rPr>
        <w:t>–</w:t>
      </w:r>
      <w:r w:rsidRPr="004B3E5C">
        <w:rPr>
          <w:rFonts w:ascii="Tw Cen MT" w:hAnsi="Tw Cen MT"/>
        </w:rPr>
        <w:t>35 months of age</w:t>
      </w:r>
    </w:p>
    <w:p w14:paraId="22EEB1AA" w14:textId="39167C87" w:rsidR="00A83D6B" w:rsidRPr="004B3E5C" w:rsidRDefault="00A83D6B" w:rsidP="00A83D6B">
      <w:pPr>
        <w:numPr>
          <w:ilvl w:val="0"/>
          <w:numId w:val="5"/>
        </w:numPr>
        <w:spacing w:before="0" w:after="160" w:line="278" w:lineRule="auto"/>
        <w:rPr>
          <w:rFonts w:ascii="Tw Cen MT" w:hAnsi="Tw Cen MT"/>
        </w:rPr>
      </w:pPr>
      <w:r w:rsidRPr="004B3E5C">
        <w:rPr>
          <w:rFonts w:ascii="Tw Cen MT" w:hAnsi="Tw Cen MT"/>
        </w:rPr>
        <w:t>Percentage of births</w:t>
      </w:r>
      <w:r w:rsidR="00256D2C">
        <w:rPr>
          <w:rFonts w:ascii="Tw Cen MT" w:hAnsi="Tw Cen MT"/>
        </w:rPr>
        <w:t>,</w:t>
      </w:r>
      <w:r w:rsidRPr="004B3E5C">
        <w:rPr>
          <w:rFonts w:ascii="Tw Cen MT" w:hAnsi="Tw Cen MT"/>
        </w:rPr>
        <w:t xml:space="preserve"> with late or no prenatal care</w:t>
      </w:r>
    </w:p>
    <w:p w14:paraId="3A229941" w14:textId="5F08492F" w:rsidR="00A83D6B" w:rsidRPr="004B3E5C" w:rsidRDefault="00A83D6B" w:rsidP="00A83D6B">
      <w:pPr>
        <w:numPr>
          <w:ilvl w:val="0"/>
          <w:numId w:val="5"/>
        </w:numPr>
        <w:spacing w:before="0" w:after="160" w:line="278" w:lineRule="auto"/>
        <w:rPr>
          <w:rFonts w:ascii="Tw Cen MT" w:hAnsi="Tw Cen MT"/>
        </w:rPr>
      </w:pPr>
      <w:r w:rsidRPr="004B3E5C">
        <w:rPr>
          <w:rFonts w:ascii="Tw Cen MT" w:hAnsi="Tw Cen MT"/>
        </w:rPr>
        <w:t>Percentage of women age 50</w:t>
      </w:r>
      <w:r>
        <w:rPr>
          <w:rFonts w:ascii="Tw Cen MT" w:hAnsi="Tw Cen MT"/>
        </w:rPr>
        <w:t>–</w:t>
      </w:r>
      <w:r w:rsidRPr="004B3E5C">
        <w:rPr>
          <w:rFonts w:ascii="Tw Cen MT" w:hAnsi="Tw Cen MT"/>
        </w:rPr>
        <w:t>74 years receiving breast cancer screening</w:t>
      </w:r>
      <w:r w:rsidR="00256D2C">
        <w:rPr>
          <w:rFonts w:ascii="Tw Cen MT" w:hAnsi="Tw Cen MT"/>
        </w:rPr>
        <w:t>,</w:t>
      </w:r>
      <w:r w:rsidRPr="004B3E5C">
        <w:rPr>
          <w:rFonts w:ascii="Tw Cen MT" w:hAnsi="Tw Cen MT"/>
        </w:rPr>
        <w:t xml:space="preserve"> based on recent guidelines</w:t>
      </w:r>
    </w:p>
    <w:p w14:paraId="5C5E2BED" w14:textId="77777777" w:rsidR="00A83D6B" w:rsidRDefault="00A83D6B" w:rsidP="00A83D6B">
      <w:pPr>
        <w:numPr>
          <w:ilvl w:val="0"/>
          <w:numId w:val="5"/>
        </w:numPr>
        <w:spacing w:before="0" w:after="160" w:line="278" w:lineRule="auto"/>
        <w:rPr>
          <w:rFonts w:ascii="Tw Cen MT" w:hAnsi="Tw Cen MT"/>
        </w:rPr>
      </w:pPr>
      <w:r w:rsidRPr="004B3E5C">
        <w:rPr>
          <w:rFonts w:ascii="Tw Cen MT" w:hAnsi="Tw Cen MT"/>
        </w:rPr>
        <w:t>Early syphilis case rate</w:t>
      </w:r>
    </w:p>
    <w:p w14:paraId="69130A73" w14:textId="6A7CDC7C" w:rsidR="00B95837" w:rsidRDefault="00B95837" w:rsidP="00B95837">
      <w:pPr>
        <w:rPr>
          <w:rFonts w:ascii="Tw Cen MT" w:hAnsi="Tw Cen MT"/>
        </w:rPr>
      </w:pPr>
      <w:r>
        <w:rPr>
          <w:rFonts w:ascii="Tw Cen MT" w:hAnsi="Tw Cen MT"/>
        </w:rPr>
        <w:t xml:space="preserve">To identify common themes across various data collection methods, a crosswalk table was developed to track the top three health priorities from each assessment and survey. This tool enabled OC to synthesize </w:t>
      </w:r>
      <w:r w:rsidR="00256D2C">
        <w:rPr>
          <w:rFonts w:ascii="Tw Cen MT" w:hAnsi="Tw Cen MT"/>
        </w:rPr>
        <w:t>multiple data points a</w:t>
      </w:r>
      <w:r>
        <w:rPr>
          <w:rFonts w:ascii="Tw Cen MT" w:hAnsi="Tw Cen MT"/>
        </w:rPr>
        <w:t>nd visually identify where community concerns, provider perspectives, and secondary data intersect.</w:t>
      </w:r>
    </w:p>
    <w:p w14:paraId="1A84C5EE" w14:textId="77777777" w:rsidR="00B95837" w:rsidRDefault="00B95837" w:rsidP="00B95837">
      <w:pPr>
        <w:rPr>
          <w:rFonts w:ascii="Tw Cen MT" w:hAnsi="Tw Cen MT"/>
        </w:rPr>
      </w:pPr>
      <w:r>
        <w:rPr>
          <w:noProof/>
        </w:rPr>
        <w:drawing>
          <wp:inline distT="0" distB="0" distL="0" distR="0" wp14:anchorId="7F035F0B" wp14:editId="3F62186A">
            <wp:extent cx="6851650" cy="3434080"/>
            <wp:effectExtent l="0" t="0" r="6350" b="0"/>
            <wp:docPr id="869381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381938" name=""/>
                    <pic:cNvPicPr/>
                  </pic:nvPicPr>
                  <pic:blipFill rotWithShape="1">
                    <a:blip r:embed="rId10"/>
                    <a:srcRect t="4249" r="643"/>
                    <a:stretch>
                      <a:fillRect/>
                    </a:stretch>
                  </pic:blipFill>
                  <pic:spPr bwMode="auto">
                    <a:xfrm>
                      <a:off x="0" y="0"/>
                      <a:ext cx="6860570" cy="3438551"/>
                    </a:xfrm>
                    <a:prstGeom prst="rect">
                      <a:avLst/>
                    </a:prstGeom>
                    <a:ln>
                      <a:noFill/>
                    </a:ln>
                    <a:extLst>
                      <a:ext uri="{53640926-AAD7-44D8-BBD7-CCE9431645EC}">
                        <a14:shadowObscured xmlns:a14="http://schemas.microsoft.com/office/drawing/2010/main"/>
                      </a:ext>
                    </a:extLst>
                  </pic:spPr>
                </pic:pic>
              </a:graphicData>
            </a:graphic>
          </wp:inline>
        </w:drawing>
      </w:r>
    </w:p>
    <w:p w14:paraId="72AA015E" w14:textId="7C92B5E7" w:rsidR="00B95837" w:rsidRPr="00A503F0" w:rsidRDefault="00B95837" w:rsidP="00B95837">
      <w:pPr>
        <w:rPr>
          <w:rFonts w:ascii="Tw Cen MT" w:hAnsi="Tw Cen MT"/>
        </w:rPr>
      </w:pPr>
      <w:r>
        <w:rPr>
          <w:rFonts w:ascii="Tw Cen MT" w:hAnsi="Tw Cen MT"/>
        </w:rPr>
        <w:t>This process directly informed the selection of the final three priority areas, ensuring the choices made were grounded in both empirical data and community-voiced needs.</w:t>
      </w:r>
    </w:p>
    <w:p w14:paraId="51A96552" w14:textId="77777777" w:rsidR="004575EE" w:rsidRDefault="004575EE">
      <w:pPr>
        <w:spacing w:before="0" w:after="160" w:line="259" w:lineRule="auto"/>
        <w:rPr>
          <w:rFonts w:ascii="Tw Cen MT" w:eastAsia="Times New Roman" w:hAnsi="Tw Cen MT" w:cs="Times New Roman"/>
          <w:b/>
          <w:caps/>
          <w:color w:val="FFFFFF"/>
          <w:spacing w:val="15"/>
          <w:szCs w:val="22"/>
        </w:rPr>
      </w:pPr>
      <w:r>
        <w:rPr>
          <w:rFonts w:ascii="Tw Cen MT" w:eastAsia="Times New Roman" w:hAnsi="Tw Cen MT" w:cs="Times New Roman"/>
          <w:b/>
          <w:caps/>
          <w:color w:val="FFFFFF"/>
          <w:spacing w:val="15"/>
          <w:szCs w:val="22"/>
        </w:rPr>
        <w:br w:type="page"/>
      </w:r>
    </w:p>
    <w:p w14:paraId="12B06B71" w14:textId="73F32398" w:rsidR="002D0310" w:rsidRPr="002D0310" w:rsidRDefault="002D0310" w:rsidP="002D0310">
      <w:pPr>
        <w:pBdr>
          <w:top w:val="single" w:sz="24" w:space="0" w:color="9ACD4C"/>
          <w:left w:val="single" w:sz="24" w:space="0" w:color="9ACD4C"/>
          <w:bottom w:val="single" w:sz="24" w:space="0" w:color="9ACD4C"/>
          <w:right w:val="single" w:sz="24" w:space="0" w:color="9ACD4C"/>
        </w:pBdr>
        <w:shd w:val="clear" w:color="auto" w:fill="9ACD4C"/>
        <w:spacing w:after="0"/>
        <w:outlineLvl w:val="0"/>
        <w:rPr>
          <w:rFonts w:ascii="Tw Cen MT" w:eastAsia="Times New Roman" w:hAnsi="Tw Cen MT" w:cs="Times New Roman"/>
          <w:b/>
          <w:caps/>
          <w:color w:val="FFFFFF"/>
          <w:spacing w:val="15"/>
          <w:szCs w:val="22"/>
        </w:rPr>
      </w:pPr>
      <w:r w:rsidRPr="002D0310">
        <w:rPr>
          <w:rFonts w:ascii="Tw Cen MT" w:eastAsia="Times New Roman" w:hAnsi="Tw Cen MT" w:cs="Times New Roman"/>
          <w:b/>
          <w:caps/>
          <w:color w:val="FFFFFF"/>
          <w:spacing w:val="15"/>
          <w:szCs w:val="22"/>
        </w:rPr>
        <w:lastRenderedPageBreak/>
        <w:t>wHAT PRIORITY AREAS WERE CHOSEN?</w:t>
      </w:r>
    </w:p>
    <w:p w14:paraId="06F4B808" w14:textId="1653A67D" w:rsidR="00506B23" w:rsidRDefault="00506B23" w:rsidP="002D0310">
      <w:pPr>
        <w:rPr>
          <w:rFonts w:ascii="Tw Cen MT" w:eastAsia="Times New Roman" w:hAnsi="Tw Cen MT" w:cs="Times New Roman"/>
        </w:rPr>
      </w:pPr>
      <w:bookmarkStart w:id="3" w:name="_Toc122531193"/>
      <w:r>
        <w:rPr>
          <w:rFonts w:ascii="Tw Cen MT" w:eastAsia="Times New Roman" w:hAnsi="Tw Cen MT" w:cs="Times New Roman"/>
        </w:rPr>
        <w:t>The figure below depicts the evolution of the prioritization process. It beg</w:t>
      </w:r>
      <w:r w:rsidR="00AB545B">
        <w:rPr>
          <w:rFonts w:ascii="Tw Cen MT" w:eastAsia="Times New Roman" w:hAnsi="Tw Cen MT" w:cs="Times New Roman"/>
        </w:rPr>
        <w:t>an</w:t>
      </w:r>
      <w:r>
        <w:rPr>
          <w:rFonts w:ascii="Tw Cen MT" w:eastAsia="Times New Roman" w:hAnsi="Tw Cen MT" w:cs="Times New Roman"/>
        </w:rPr>
        <w:t xml:space="preserve"> with a comprehensive review of all data topics, </w:t>
      </w:r>
      <w:r w:rsidR="00256D2C">
        <w:rPr>
          <w:rFonts w:ascii="Tw Cen MT" w:eastAsia="Times New Roman" w:hAnsi="Tw Cen MT" w:cs="Times New Roman"/>
        </w:rPr>
        <w:t>progressed to the</w:t>
      </w:r>
      <w:r>
        <w:rPr>
          <w:rFonts w:ascii="Tw Cen MT" w:eastAsia="Times New Roman" w:hAnsi="Tw Cen MT" w:cs="Times New Roman"/>
        </w:rPr>
        <w:t xml:space="preserve"> identification of major health concerns across the eight assessment sources, and </w:t>
      </w:r>
      <w:r w:rsidR="00256D2C">
        <w:rPr>
          <w:rFonts w:ascii="Tw Cen MT" w:eastAsia="Times New Roman" w:hAnsi="Tw Cen MT" w:cs="Times New Roman"/>
        </w:rPr>
        <w:t>concluded</w:t>
      </w:r>
      <w:r>
        <w:rPr>
          <w:rFonts w:ascii="Tw Cen MT" w:eastAsia="Times New Roman" w:hAnsi="Tw Cen MT" w:cs="Times New Roman"/>
        </w:rPr>
        <w:t xml:space="preserve"> with selection of the final CHIP priority areas. This visual ensures transparency in how </w:t>
      </w:r>
      <w:r w:rsidR="00256D2C">
        <w:rPr>
          <w:rFonts w:ascii="Tw Cen MT" w:eastAsia="Times New Roman" w:hAnsi="Tw Cen MT" w:cs="Times New Roman"/>
        </w:rPr>
        <w:t>OC</w:t>
      </w:r>
      <w:r w:rsidR="00AB545B">
        <w:rPr>
          <w:rFonts w:ascii="Tw Cen MT" w:eastAsia="Times New Roman" w:hAnsi="Tw Cen MT" w:cs="Times New Roman"/>
        </w:rPr>
        <w:t xml:space="preserve"> </w:t>
      </w:r>
      <w:r>
        <w:rPr>
          <w:rFonts w:ascii="Tw Cen MT" w:eastAsia="Times New Roman" w:hAnsi="Tw Cen MT" w:cs="Times New Roman"/>
        </w:rPr>
        <w:t>moved from raw data to community-validated priorities.</w:t>
      </w:r>
    </w:p>
    <w:p w14:paraId="159C049F" w14:textId="72E422A6" w:rsidR="00506B23" w:rsidRDefault="00506B23" w:rsidP="002D0310">
      <w:pPr>
        <w:rPr>
          <w:noProof/>
        </w:rPr>
      </w:pPr>
      <w:r>
        <w:rPr>
          <w:noProof/>
        </w:rPr>
        <w:drawing>
          <wp:anchor distT="0" distB="0" distL="114300" distR="114300" simplePos="0" relativeHeight="251662336" behindDoc="0" locked="0" layoutInCell="1" allowOverlap="1" wp14:anchorId="772CE536" wp14:editId="33A99649">
            <wp:simplePos x="0" y="0"/>
            <wp:positionH relativeFrom="margin">
              <wp:align>center</wp:align>
            </wp:positionH>
            <wp:positionV relativeFrom="paragraph">
              <wp:posOffset>-569</wp:posOffset>
            </wp:positionV>
            <wp:extent cx="5285740" cy="6858635"/>
            <wp:effectExtent l="0" t="0" r="0" b="0"/>
            <wp:wrapSquare wrapText="bothSides"/>
            <wp:docPr id="9587359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85740" cy="6858635"/>
                    </a:xfrm>
                    <a:prstGeom prst="rect">
                      <a:avLst/>
                    </a:prstGeom>
                    <a:noFill/>
                  </pic:spPr>
                </pic:pic>
              </a:graphicData>
            </a:graphic>
            <wp14:sizeRelH relativeFrom="page">
              <wp14:pctWidth>0</wp14:pctWidth>
            </wp14:sizeRelH>
            <wp14:sizeRelV relativeFrom="page">
              <wp14:pctHeight>0</wp14:pctHeight>
            </wp14:sizeRelV>
          </wp:anchor>
        </w:drawing>
      </w:r>
    </w:p>
    <w:p w14:paraId="03E3E9C5" w14:textId="77777777" w:rsidR="00506B23" w:rsidRDefault="00506B23" w:rsidP="002D0310">
      <w:pPr>
        <w:rPr>
          <w:noProof/>
        </w:rPr>
      </w:pPr>
    </w:p>
    <w:p w14:paraId="4C1BED29" w14:textId="77777777" w:rsidR="00506B23" w:rsidRDefault="00506B23" w:rsidP="002D0310">
      <w:pPr>
        <w:rPr>
          <w:noProof/>
        </w:rPr>
      </w:pPr>
    </w:p>
    <w:p w14:paraId="78529A51" w14:textId="77777777" w:rsidR="00506B23" w:rsidRDefault="00506B23" w:rsidP="002D0310">
      <w:pPr>
        <w:rPr>
          <w:noProof/>
        </w:rPr>
      </w:pPr>
    </w:p>
    <w:p w14:paraId="0650D27B" w14:textId="77777777" w:rsidR="00506B23" w:rsidRDefault="00506B23" w:rsidP="002D0310">
      <w:pPr>
        <w:rPr>
          <w:noProof/>
        </w:rPr>
      </w:pPr>
    </w:p>
    <w:p w14:paraId="644EC2A8" w14:textId="77777777" w:rsidR="00506B23" w:rsidRDefault="00506B23" w:rsidP="002D0310">
      <w:pPr>
        <w:rPr>
          <w:noProof/>
        </w:rPr>
      </w:pPr>
    </w:p>
    <w:p w14:paraId="4667E957" w14:textId="77777777" w:rsidR="00506B23" w:rsidRDefault="00506B23" w:rsidP="002D0310">
      <w:pPr>
        <w:rPr>
          <w:noProof/>
        </w:rPr>
      </w:pPr>
    </w:p>
    <w:p w14:paraId="22C95875" w14:textId="77777777" w:rsidR="00506B23" w:rsidRDefault="00506B23" w:rsidP="002D0310">
      <w:pPr>
        <w:rPr>
          <w:noProof/>
        </w:rPr>
      </w:pPr>
    </w:p>
    <w:p w14:paraId="1114C950" w14:textId="77777777" w:rsidR="00506B23" w:rsidRDefault="00506B23" w:rsidP="002D0310">
      <w:pPr>
        <w:rPr>
          <w:noProof/>
        </w:rPr>
      </w:pPr>
    </w:p>
    <w:p w14:paraId="5934BB2B" w14:textId="77777777" w:rsidR="00506B23" w:rsidRDefault="00506B23" w:rsidP="002D0310">
      <w:pPr>
        <w:rPr>
          <w:noProof/>
        </w:rPr>
      </w:pPr>
    </w:p>
    <w:p w14:paraId="4FE8C24D" w14:textId="77777777" w:rsidR="00506B23" w:rsidRDefault="00506B23" w:rsidP="002D0310">
      <w:pPr>
        <w:rPr>
          <w:noProof/>
        </w:rPr>
      </w:pPr>
    </w:p>
    <w:p w14:paraId="643E6B89" w14:textId="77777777" w:rsidR="00506B23" w:rsidRDefault="00506B23" w:rsidP="002D0310">
      <w:pPr>
        <w:rPr>
          <w:noProof/>
        </w:rPr>
      </w:pPr>
    </w:p>
    <w:p w14:paraId="0BED385A" w14:textId="77777777" w:rsidR="00506B23" w:rsidRDefault="00506B23" w:rsidP="002D0310">
      <w:pPr>
        <w:rPr>
          <w:noProof/>
        </w:rPr>
      </w:pPr>
    </w:p>
    <w:p w14:paraId="20975768" w14:textId="77777777" w:rsidR="00506B23" w:rsidRDefault="00506B23" w:rsidP="002D0310">
      <w:pPr>
        <w:rPr>
          <w:noProof/>
        </w:rPr>
      </w:pPr>
    </w:p>
    <w:p w14:paraId="634CDD9F" w14:textId="77777777" w:rsidR="00506B23" w:rsidRDefault="00506B23" w:rsidP="002D0310">
      <w:pPr>
        <w:rPr>
          <w:noProof/>
        </w:rPr>
      </w:pPr>
    </w:p>
    <w:p w14:paraId="02A463C0" w14:textId="77777777" w:rsidR="00506B23" w:rsidRDefault="00506B23" w:rsidP="002D0310">
      <w:pPr>
        <w:rPr>
          <w:noProof/>
        </w:rPr>
      </w:pPr>
    </w:p>
    <w:p w14:paraId="6ED20C68" w14:textId="77777777" w:rsidR="00506B23" w:rsidRDefault="00506B23" w:rsidP="002D0310">
      <w:pPr>
        <w:rPr>
          <w:noProof/>
        </w:rPr>
      </w:pPr>
    </w:p>
    <w:p w14:paraId="38978F0B" w14:textId="77777777" w:rsidR="00506B23" w:rsidRDefault="00506B23" w:rsidP="002D0310">
      <w:pPr>
        <w:rPr>
          <w:noProof/>
        </w:rPr>
      </w:pPr>
    </w:p>
    <w:p w14:paraId="170ED942" w14:textId="77777777" w:rsidR="00506B23" w:rsidRDefault="00506B23" w:rsidP="002D0310">
      <w:pPr>
        <w:rPr>
          <w:noProof/>
        </w:rPr>
      </w:pPr>
    </w:p>
    <w:p w14:paraId="46ED750B" w14:textId="77777777" w:rsidR="00506B23" w:rsidRDefault="00506B23" w:rsidP="002D0310">
      <w:pPr>
        <w:rPr>
          <w:noProof/>
        </w:rPr>
      </w:pPr>
    </w:p>
    <w:p w14:paraId="5FAFD3D6" w14:textId="77777777" w:rsidR="00506B23" w:rsidRDefault="00506B23" w:rsidP="002D0310">
      <w:pPr>
        <w:rPr>
          <w:noProof/>
        </w:rPr>
      </w:pPr>
    </w:p>
    <w:p w14:paraId="7182D78E" w14:textId="77777777" w:rsidR="00506B23" w:rsidRDefault="00506B23" w:rsidP="002D0310">
      <w:pPr>
        <w:rPr>
          <w:rFonts w:ascii="Tw Cen MT" w:eastAsia="Times New Roman" w:hAnsi="Tw Cen MT" w:cs="Times New Roman"/>
        </w:rPr>
      </w:pPr>
    </w:p>
    <w:p w14:paraId="7041D1DF" w14:textId="77777777" w:rsidR="00AD7B91" w:rsidRDefault="00AD7B91" w:rsidP="002D0310">
      <w:pPr>
        <w:rPr>
          <w:rFonts w:ascii="Tw Cen MT" w:eastAsia="Times New Roman" w:hAnsi="Tw Cen MT" w:cs="Times New Roman"/>
        </w:rPr>
      </w:pPr>
    </w:p>
    <w:p w14:paraId="019050E1" w14:textId="108C5DB2" w:rsidR="002D0310" w:rsidRPr="002D0310" w:rsidRDefault="002D0310" w:rsidP="002D0310">
      <w:pPr>
        <w:rPr>
          <w:rFonts w:ascii="Tw Cen MT" w:eastAsia="Times New Roman" w:hAnsi="Tw Cen MT" w:cs="Times New Roman"/>
        </w:rPr>
      </w:pPr>
      <w:r w:rsidRPr="002D0310">
        <w:rPr>
          <w:rFonts w:ascii="Tw Cen MT" w:eastAsia="Times New Roman" w:hAnsi="Tw Cen MT" w:cs="Times New Roman"/>
        </w:rPr>
        <w:lastRenderedPageBreak/>
        <w:t>The</w:t>
      </w:r>
      <w:r w:rsidR="00506B23">
        <w:rPr>
          <w:rFonts w:ascii="Tw Cen MT" w:eastAsia="Times New Roman" w:hAnsi="Tw Cen MT" w:cs="Times New Roman"/>
        </w:rPr>
        <w:t xml:space="preserve"> final</w:t>
      </w:r>
      <w:r w:rsidRPr="002D0310">
        <w:rPr>
          <w:rFonts w:ascii="Tw Cen MT" w:eastAsia="Times New Roman" w:hAnsi="Tw Cen MT" w:cs="Times New Roman"/>
        </w:rPr>
        <w:t xml:space="preserve"> priorities selected from the NYSDOH Prevention Agenda 2025-2030 include:</w:t>
      </w:r>
    </w:p>
    <w:p w14:paraId="187B89FA" w14:textId="191C2133" w:rsidR="002D0310" w:rsidRPr="002D0310" w:rsidRDefault="002D0310" w:rsidP="002D0310">
      <w:pPr>
        <w:rPr>
          <w:rFonts w:ascii="Tw Cen MT" w:eastAsia="Times New Roman" w:hAnsi="Tw Cen MT" w:cs="Times New Roman"/>
          <w:b/>
          <w:bCs/>
        </w:rPr>
      </w:pPr>
      <w:r w:rsidRPr="002D0310">
        <w:rPr>
          <w:rFonts w:ascii="Tw Cen MT" w:eastAsia="Times New Roman" w:hAnsi="Tw Cen MT" w:cs="Times New Roman"/>
          <w:u w:val="single"/>
        </w:rPr>
        <w:t>Domain 1</w:t>
      </w:r>
      <w:r w:rsidRPr="002D0310">
        <w:rPr>
          <w:rFonts w:ascii="Tw Cen MT" w:eastAsia="Times New Roman" w:hAnsi="Tw Cen MT" w:cs="Times New Roman"/>
        </w:rPr>
        <w:t>:</w:t>
      </w:r>
      <w:r w:rsidRPr="002D0310">
        <w:rPr>
          <w:rFonts w:ascii="Tw Cen MT" w:eastAsia="Times New Roman" w:hAnsi="Tw Cen MT" w:cs="Times New Roman"/>
          <w:b/>
          <w:bCs/>
        </w:rPr>
        <w:t xml:space="preserve"> </w:t>
      </w:r>
      <w:r w:rsidRPr="002D0310">
        <w:rPr>
          <w:rFonts w:ascii="Tw Cen MT" w:eastAsia="Times New Roman" w:hAnsi="Tw Cen MT" w:cs="Times New Roman"/>
        </w:rPr>
        <w:t>Economic Stability</w:t>
      </w:r>
    </w:p>
    <w:p w14:paraId="5669052D" w14:textId="70FF9C4D" w:rsidR="002D0310" w:rsidRPr="002D0310" w:rsidRDefault="002D0310" w:rsidP="002D0310">
      <w:pPr>
        <w:ind w:left="720"/>
        <w:rPr>
          <w:rFonts w:ascii="Tw Cen MT" w:eastAsia="Times New Roman" w:hAnsi="Tw Cen MT" w:cs="Times New Roman"/>
          <w:b/>
          <w:bCs/>
        </w:rPr>
      </w:pPr>
      <w:r w:rsidRPr="002D0310">
        <w:rPr>
          <w:rFonts w:ascii="Tw Cen MT" w:eastAsia="Times New Roman" w:hAnsi="Tw Cen MT" w:cs="Times New Roman"/>
          <w:b/>
          <w:bCs/>
        </w:rPr>
        <w:t>Priority: Nutrition Security</w:t>
      </w:r>
    </w:p>
    <w:p w14:paraId="15F86E06" w14:textId="77777777" w:rsidR="002D0310" w:rsidRPr="002D0310" w:rsidRDefault="002D0310" w:rsidP="002D0310">
      <w:pPr>
        <w:ind w:left="1440"/>
        <w:rPr>
          <w:rFonts w:ascii="Tw Cen MT" w:eastAsia="Times New Roman" w:hAnsi="Tw Cen MT" w:cs="Times New Roman"/>
        </w:rPr>
      </w:pPr>
      <w:r w:rsidRPr="002D0310">
        <w:rPr>
          <w:rFonts w:ascii="Tw Cen MT" w:eastAsia="Times New Roman" w:hAnsi="Tw Cen MT" w:cs="Times New Roman"/>
          <w:u w:val="single"/>
        </w:rPr>
        <w:t>SMARTIE Objective</w:t>
      </w:r>
      <w:r w:rsidRPr="002D0310">
        <w:rPr>
          <w:rFonts w:ascii="Tw Cen MT" w:eastAsia="Times New Roman" w:hAnsi="Tw Cen MT" w:cs="Times New Roman"/>
        </w:rPr>
        <w:t>: Increase food security in households with an annual total income of less than $25,000</w:t>
      </w:r>
    </w:p>
    <w:p w14:paraId="76A18FBA" w14:textId="6732524E" w:rsidR="002D0310" w:rsidRPr="002D0310" w:rsidRDefault="002D0310" w:rsidP="002D0310">
      <w:pPr>
        <w:rPr>
          <w:rFonts w:ascii="Tw Cen MT" w:eastAsia="Times New Roman" w:hAnsi="Tw Cen MT" w:cs="Times New Roman"/>
        </w:rPr>
      </w:pPr>
      <w:r w:rsidRPr="002D0310">
        <w:rPr>
          <w:rFonts w:ascii="Tw Cen MT" w:eastAsia="Times New Roman" w:hAnsi="Tw Cen MT" w:cs="Times New Roman"/>
          <w:u w:val="single"/>
        </w:rPr>
        <w:t>Domain 2</w:t>
      </w:r>
      <w:r w:rsidRPr="002D0310">
        <w:rPr>
          <w:rFonts w:ascii="Tw Cen MT" w:eastAsia="Times New Roman" w:hAnsi="Tw Cen MT" w:cs="Times New Roman"/>
        </w:rPr>
        <w:t>:</w:t>
      </w:r>
      <w:r w:rsidRPr="002D0310">
        <w:rPr>
          <w:rFonts w:ascii="Tw Cen MT" w:eastAsia="Times New Roman" w:hAnsi="Tw Cen MT" w:cs="Times New Roman"/>
          <w:b/>
          <w:bCs/>
        </w:rPr>
        <w:t xml:space="preserve"> </w:t>
      </w:r>
      <w:r w:rsidRPr="002D0310">
        <w:rPr>
          <w:rFonts w:ascii="Tw Cen MT" w:eastAsia="Times New Roman" w:hAnsi="Tw Cen MT" w:cs="Times New Roman"/>
        </w:rPr>
        <w:t>Social and Community Context</w:t>
      </w:r>
    </w:p>
    <w:p w14:paraId="2F13D193" w14:textId="55C7E741" w:rsidR="002D0310" w:rsidRPr="002D0310" w:rsidRDefault="002D0310" w:rsidP="002D0310">
      <w:pPr>
        <w:rPr>
          <w:rFonts w:ascii="Tw Cen MT" w:eastAsia="Times New Roman" w:hAnsi="Tw Cen MT" w:cs="Times New Roman"/>
          <w:b/>
          <w:bCs/>
        </w:rPr>
      </w:pPr>
      <w:r w:rsidRPr="002D0310">
        <w:rPr>
          <w:rFonts w:ascii="Tw Cen MT" w:eastAsia="Times New Roman" w:hAnsi="Tw Cen MT" w:cs="Times New Roman"/>
          <w:b/>
          <w:bCs/>
        </w:rPr>
        <w:tab/>
        <w:t>Priority: Anxiety and Stress</w:t>
      </w:r>
    </w:p>
    <w:p w14:paraId="265BC9BF" w14:textId="77777777" w:rsidR="002D0310" w:rsidRPr="002D0310" w:rsidRDefault="002D0310" w:rsidP="002D0310">
      <w:pPr>
        <w:ind w:left="1440"/>
        <w:rPr>
          <w:rFonts w:ascii="Tw Cen MT" w:eastAsia="Times New Roman" w:hAnsi="Tw Cen MT" w:cs="Times New Roman"/>
        </w:rPr>
      </w:pPr>
      <w:r w:rsidRPr="002D0310">
        <w:rPr>
          <w:rFonts w:ascii="Tw Cen MT" w:eastAsia="Times New Roman" w:hAnsi="Tw Cen MT" w:cs="Times New Roman"/>
          <w:u w:val="single"/>
        </w:rPr>
        <w:t>SMARTIE Objective</w:t>
      </w:r>
      <w:r w:rsidRPr="002D0310">
        <w:rPr>
          <w:rFonts w:ascii="Tw Cen MT" w:eastAsia="Times New Roman" w:hAnsi="Tw Cen MT" w:cs="Times New Roman"/>
        </w:rPr>
        <w:t xml:space="preserve">: </w:t>
      </w:r>
      <w:proofErr w:type="gramStart"/>
      <w:r w:rsidRPr="002D0310">
        <w:rPr>
          <w:rFonts w:ascii="Tw Cen MT" w:eastAsia="Times New Roman" w:hAnsi="Tw Cen MT" w:cs="Times New Roman"/>
        </w:rPr>
        <w:t>Decrease</w:t>
      </w:r>
      <w:proofErr w:type="gramEnd"/>
      <w:r w:rsidRPr="002D0310">
        <w:rPr>
          <w:rFonts w:ascii="Tw Cen MT" w:eastAsia="Times New Roman" w:hAnsi="Tw Cen MT" w:cs="Times New Roman"/>
        </w:rPr>
        <w:t xml:space="preserve"> the percentage of adults with an annual income of less than $25,000 experiencing frequent mental distress</w:t>
      </w:r>
    </w:p>
    <w:p w14:paraId="2A5779F5" w14:textId="77777777" w:rsidR="002D0310" w:rsidRPr="002D0310" w:rsidRDefault="002D0310" w:rsidP="002D0310">
      <w:pPr>
        <w:rPr>
          <w:rFonts w:ascii="Tw Cen MT" w:eastAsia="Times New Roman" w:hAnsi="Tw Cen MT" w:cs="Times New Roman"/>
        </w:rPr>
      </w:pPr>
      <w:r w:rsidRPr="002D0310">
        <w:rPr>
          <w:rFonts w:ascii="Tw Cen MT" w:eastAsia="Times New Roman" w:hAnsi="Tw Cen MT" w:cs="Times New Roman"/>
          <w:u w:val="single"/>
        </w:rPr>
        <w:t>Domain 4:</w:t>
      </w:r>
      <w:r w:rsidRPr="002D0310">
        <w:rPr>
          <w:rFonts w:ascii="Tw Cen MT" w:eastAsia="Times New Roman" w:hAnsi="Tw Cen MT" w:cs="Times New Roman"/>
        </w:rPr>
        <w:t xml:space="preserve"> Health Care Access and Quality</w:t>
      </w:r>
    </w:p>
    <w:p w14:paraId="78EE701C" w14:textId="77777777" w:rsidR="002D0310" w:rsidRPr="002D0310" w:rsidRDefault="002D0310" w:rsidP="002D0310">
      <w:pPr>
        <w:rPr>
          <w:rFonts w:ascii="Tw Cen MT" w:eastAsia="Times New Roman" w:hAnsi="Tw Cen MT" w:cs="Times New Roman"/>
          <w:b/>
          <w:bCs/>
        </w:rPr>
      </w:pPr>
      <w:r w:rsidRPr="002D0310">
        <w:rPr>
          <w:rFonts w:ascii="Tw Cen MT" w:eastAsia="Times New Roman" w:hAnsi="Tw Cen MT" w:cs="Times New Roman"/>
        </w:rPr>
        <w:tab/>
      </w:r>
      <w:r w:rsidRPr="002D0310">
        <w:rPr>
          <w:rFonts w:ascii="Tw Cen MT" w:eastAsia="Times New Roman" w:hAnsi="Tw Cen MT" w:cs="Times New Roman"/>
          <w:b/>
          <w:bCs/>
        </w:rPr>
        <w:t>Priority: Preventive Services for Chronic Disease Prevention and Control</w:t>
      </w:r>
    </w:p>
    <w:p w14:paraId="6E4FE6A5" w14:textId="5004B079" w:rsidR="002D0310" w:rsidRDefault="002D0310" w:rsidP="002D0310">
      <w:pPr>
        <w:ind w:left="1440"/>
        <w:rPr>
          <w:rFonts w:ascii="Tw Cen MT" w:eastAsia="Times New Roman" w:hAnsi="Tw Cen MT" w:cs="Times New Roman"/>
        </w:rPr>
      </w:pPr>
      <w:r w:rsidRPr="002D0310">
        <w:rPr>
          <w:rFonts w:ascii="Tw Cen MT" w:eastAsia="Times New Roman" w:hAnsi="Tw Cen MT" w:cs="Times New Roman"/>
          <w:u w:val="single"/>
        </w:rPr>
        <w:t>SMART Objective:</w:t>
      </w:r>
      <w:r w:rsidRPr="002D0310">
        <w:rPr>
          <w:rFonts w:ascii="Tw Cen MT" w:eastAsia="Times New Roman" w:hAnsi="Tw Cen MT" w:cs="Times New Roman"/>
        </w:rPr>
        <w:t xml:space="preserve"> Increase the percentage of adults age 45 to 75 years who are up to date on </w:t>
      </w:r>
      <w:r w:rsidR="00A503F0">
        <w:rPr>
          <w:rFonts w:ascii="Tw Cen MT" w:eastAsia="Times New Roman" w:hAnsi="Tw Cen MT" w:cs="Times New Roman"/>
        </w:rPr>
        <w:t>t</w:t>
      </w:r>
      <w:r w:rsidRPr="002D0310">
        <w:rPr>
          <w:rFonts w:ascii="Tw Cen MT" w:eastAsia="Times New Roman" w:hAnsi="Tw Cen MT" w:cs="Times New Roman"/>
        </w:rPr>
        <w:t>heir colorectal cancer screening based on the most recent guidelines</w:t>
      </w:r>
    </w:p>
    <w:p w14:paraId="27D68D8A" w14:textId="3423A043" w:rsidR="002D0310" w:rsidRDefault="002D0310" w:rsidP="002D0310">
      <w:pPr>
        <w:rPr>
          <w:rFonts w:ascii="Tw Cen MT" w:eastAsia="Times New Roman" w:hAnsi="Tw Cen MT" w:cs="Times New Roman"/>
        </w:rPr>
      </w:pPr>
      <w:r>
        <w:rPr>
          <w:rFonts w:ascii="Tw Cen MT" w:eastAsia="Times New Roman" w:hAnsi="Tw Cen MT" w:cs="Times New Roman"/>
        </w:rPr>
        <w:t>The</w:t>
      </w:r>
      <w:r w:rsidR="00A503F0">
        <w:rPr>
          <w:rFonts w:ascii="Tw Cen MT" w:eastAsia="Times New Roman" w:hAnsi="Tw Cen MT" w:cs="Times New Roman"/>
        </w:rPr>
        <w:t xml:space="preserve"> full</w:t>
      </w:r>
      <w:r>
        <w:rPr>
          <w:rFonts w:ascii="Tw Cen MT" w:eastAsia="Times New Roman" w:hAnsi="Tw Cen MT" w:cs="Times New Roman"/>
        </w:rPr>
        <w:t xml:space="preserve"> OC CHIP action plan can be found on page </w:t>
      </w:r>
      <w:r w:rsidR="00AB545B">
        <w:rPr>
          <w:rFonts w:ascii="Tw Cen MT" w:eastAsia="Times New Roman" w:hAnsi="Tw Cen MT" w:cs="Times New Roman"/>
        </w:rPr>
        <w:t>8</w:t>
      </w:r>
      <w:r w:rsidR="00A503F0">
        <w:rPr>
          <w:rFonts w:ascii="Tw Cen MT" w:eastAsia="Times New Roman" w:hAnsi="Tw Cen MT" w:cs="Times New Roman"/>
        </w:rPr>
        <w:t>.</w:t>
      </w:r>
    </w:p>
    <w:p w14:paraId="661FBF46" w14:textId="08A16EC8" w:rsidR="00906C27" w:rsidRDefault="00F70694" w:rsidP="002D0310">
      <w:pPr>
        <w:rPr>
          <w:rFonts w:ascii="Tw Cen MT" w:eastAsia="Times New Roman" w:hAnsi="Tw Cen MT" w:cs="Times New Roman"/>
        </w:rPr>
      </w:pPr>
      <w:r w:rsidRPr="00F70694">
        <w:rPr>
          <w:rFonts w:ascii="Tw Cen MT" w:eastAsia="Times New Roman" w:hAnsi="Tw Cen MT" w:cs="Times New Roman"/>
        </w:rPr>
        <w:t xml:space="preserve">As seen above, </w:t>
      </w:r>
      <w:r w:rsidR="004575EE">
        <w:rPr>
          <w:rFonts w:ascii="Tw Cen MT" w:eastAsia="Times New Roman" w:hAnsi="Tw Cen MT" w:cs="Times New Roman"/>
        </w:rPr>
        <w:t>OC</w:t>
      </w:r>
      <w:r>
        <w:rPr>
          <w:rFonts w:ascii="Tw Cen MT" w:eastAsia="Times New Roman" w:hAnsi="Tw Cen MT" w:cs="Times New Roman"/>
        </w:rPr>
        <w:t xml:space="preserve"> faces </w:t>
      </w:r>
      <w:r w:rsidR="004575EE">
        <w:rPr>
          <w:rFonts w:ascii="Tw Cen MT" w:eastAsia="Times New Roman" w:hAnsi="Tw Cen MT" w:cs="Times New Roman"/>
        </w:rPr>
        <w:t>numerous</w:t>
      </w:r>
      <w:r>
        <w:rPr>
          <w:rFonts w:ascii="Tw Cen MT" w:eastAsia="Times New Roman" w:hAnsi="Tw Cen MT" w:cs="Times New Roman"/>
        </w:rPr>
        <w:t xml:space="preserve"> health challenges</w:t>
      </w:r>
      <w:r w:rsidR="004575EE">
        <w:rPr>
          <w:rFonts w:ascii="Tw Cen MT" w:eastAsia="Times New Roman" w:hAnsi="Tw Cen MT" w:cs="Times New Roman"/>
        </w:rPr>
        <w:t xml:space="preserve">; however, </w:t>
      </w:r>
      <w:r>
        <w:rPr>
          <w:rFonts w:ascii="Tw Cen MT" w:eastAsia="Times New Roman" w:hAnsi="Tw Cen MT" w:cs="Times New Roman"/>
        </w:rPr>
        <w:t>not all could be selected for CHIP implementation. These needs were not excluded due to lack of importance</w:t>
      </w:r>
      <w:r w:rsidR="004575EE">
        <w:rPr>
          <w:rFonts w:ascii="Tw Cen MT" w:eastAsia="Times New Roman" w:hAnsi="Tw Cen MT" w:cs="Times New Roman"/>
        </w:rPr>
        <w:t>,</w:t>
      </w:r>
      <w:r>
        <w:rPr>
          <w:rFonts w:ascii="Tw Cen MT" w:eastAsia="Times New Roman" w:hAnsi="Tw Cen MT" w:cs="Times New Roman"/>
        </w:rPr>
        <w:t xml:space="preserve"> but for a variety of other factors. </w:t>
      </w:r>
      <w:r w:rsidR="009856E0" w:rsidRPr="009856E0">
        <w:rPr>
          <w:rFonts w:ascii="Tw Cen MT" w:eastAsia="Times New Roman" w:hAnsi="Tw Cen MT" w:cs="Times New Roman"/>
        </w:rPr>
        <w:t xml:space="preserve">OCDOH focused its plan on areas where it can have the greatest direct impact. Some </w:t>
      </w:r>
      <w:r w:rsidR="009856E0">
        <w:rPr>
          <w:rFonts w:ascii="Tw Cen MT" w:eastAsia="Times New Roman" w:hAnsi="Tw Cen MT" w:cs="Times New Roman"/>
        </w:rPr>
        <w:t xml:space="preserve">upstream structural </w:t>
      </w:r>
      <w:r w:rsidR="009856E0" w:rsidRPr="009856E0">
        <w:rPr>
          <w:rFonts w:ascii="Tw Cen MT" w:eastAsia="Times New Roman" w:hAnsi="Tw Cen MT" w:cs="Times New Roman"/>
        </w:rPr>
        <w:t xml:space="preserve">issues </w:t>
      </w:r>
      <w:r w:rsidR="009856E0">
        <w:rPr>
          <w:rFonts w:ascii="Tw Cen MT" w:eastAsia="Times New Roman" w:hAnsi="Tw Cen MT" w:cs="Times New Roman"/>
        </w:rPr>
        <w:t>such as</w:t>
      </w:r>
      <w:r w:rsidR="009856E0" w:rsidRPr="009856E0">
        <w:rPr>
          <w:rFonts w:ascii="Tw Cen MT" w:eastAsia="Times New Roman" w:hAnsi="Tw Cen MT" w:cs="Times New Roman"/>
        </w:rPr>
        <w:t xml:space="preserve"> housing, poverty, and transportation</w:t>
      </w:r>
      <w:r w:rsidR="009856E0">
        <w:rPr>
          <w:rFonts w:ascii="Tw Cen MT" w:eastAsia="Times New Roman" w:hAnsi="Tw Cen MT" w:cs="Times New Roman"/>
        </w:rPr>
        <w:t xml:space="preserve"> </w:t>
      </w:r>
      <w:r w:rsidR="009856E0" w:rsidRPr="009856E0">
        <w:rPr>
          <w:rFonts w:ascii="Tw Cen MT" w:eastAsia="Times New Roman" w:hAnsi="Tw Cen MT" w:cs="Times New Roman"/>
        </w:rPr>
        <w:t xml:space="preserve">fall largely outside </w:t>
      </w:r>
      <w:r w:rsidR="009856E0">
        <w:rPr>
          <w:rFonts w:ascii="Tw Cen MT" w:eastAsia="Times New Roman" w:hAnsi="Tw Cen MT" w:cs="Times New Roman"/>
        </w:rPr>
        <w:t>OCDOH’s</w:t>
      </w:r>
      <w:r w:rsidR="009856E0" w:rsidRPr="009856E0">
        <w:rPr>
          <w:rFonts w:ascii="Tw Cen MT" w:eastAsia="Times New Roman" w:hAnsi="Tw Cen MT" w:cs="Times New Roman"/>
        </w:rPr>
        <w:t xml:space="preserve"> authority and are better addressed through other systems and sectors. Similarly, substance use, suicide prevention, and maternal and infant health are already the focus of strong, dedicated efforts led by the OC Department of Mental Health and</w:t>
      </w:r>
      <w:r w:rsidR="00AB545B">
        <w:rPr>
          <w:rFonts w:ascii="Tw Cen MT" w:eastAsia="Times New Roman" w:hAnsi="Tw Cen MT" w:cs="Times New Roman"/>
        </w:rPr>
        <w:t>/or</w:t>
      </w:r>
      <w:r w:rsidR="009856E0" w:rsidRPr="009856E0">
        <w:rPr>
          <w:rFonts w:ascii="Tw Cen MT" w:eastAsia="Times New Roman" w:hAnsi="Tw Cen MT" w:cs="Times New Roman"/>
        </w:rPr>
        <w:t xml:space="preserve"> existing community coalitions, both of which OCDOH actively partners with. Taking on these areas separately</w:t>
      </w:r>
      <w:r w:rsidR="004575EE">
        <w:rPr>
          <w:rFonts w:ascii="Tw Cen MT" w:eastAsia="Times New Roman" w:hAnsi="Tw Cen MT" w:cs="Times New Roman"/>
        </w:rPr>
        <w:t>,</w:t>
      </w:r>
      <w:r w:rsidR="009856E0" w:rsidRPr="009856E0">
        <w:rPr>
          <w:rFonts w:ascii="Tw Cen MT" w:eastAsia="Times New Roman" w:hAnsi="Tw Cen MT" w:cs="Times New Roman"/>
        </w:rPr>
        <w:t xml:space="preserve"> would risk duplicating work that is already </w:t>
      </w:r>
      <w:r w:rsidR="009856E0">
        <w:rPr>
          <w:rFonts w:ascii="Tw Cen MT" w:eastAsia="Times New Roman" w:hAnsi="Tw Cen MT" w:cs="Times New Roman"/>
        </w:rPr>
        <w:t xml:space="preserve">ongoing. </w:t>
      </w:r>
      <w:r w:rsidR="00B4382E">
        <w:rPr>
          <w:rFonts w:ascii="Tw Cen MT" w:eastAsia="Times New Roman" w:hAnsi="Tw Cen MT" w:cs="Times New Roman"/>
        </w:rPr>
        <w:t xml:space="preserve">Additionally, </w:t>
      </w:r>
      <w:r>
        <w:rPr>
          <w:rFonts w:ascii="Tw Cen MT" w:eastAsia="Times New Roman" w:hAnsi="Tw Cen MT" w:cs="Times New Roman"/>
        </w:rPr>
        <w:t xml:space="preserve">there are resource and capacity constraints including a reduced public health workforce. </w:t>
      </w:r>
      <w:r w:rsidR="00B4382E">
        <w:rPr>
          <w:rFonts w:ascii="Tw Cen MT" w:eastAsia="Times New Roman" w:hAnsi="Tw Cen MT" w:cs="Times New Roman"/>
        </w:rPr>
        <w:t xml:space="preserve">Most importantly, OCDOH took a collaborative approach to identifying the three chosen priorities </w:t>
      </w:r>
      <w:r w:rsidR="00906C27">
        <w:rPr>
          <w:rFonts w:ascii="Tw Cen MT" w:eastAsia="Times New Roman" w:hAnsi="Tw Cen MT" w:cs="Times New Roman"/>
        </w:rPr>
        <w:t>through the resident priority selection surveys, partner voting during the OC Health Summit, and health and human services provider survey. Outcomes of these assessments held the most weight when determining which priorities were selected.</w:t>
      </w:r>
    </w:p>
    <w:p w14:paraId="23A18C41" w14:textId="77777777" w:rsidR="0072769C" w:rsidRDefault="0072769C" w:rsidP="002D0310">
      <w:pPr>
        <w:rPr>
          <w:rFonts w:ascii="Tw Cen MT" w:eastAsia="Times New Roman" w:hAnsi="Tw Cen MT" w:cs="Times New Roman"/>
        </w:rPr>
      </w:pPr>
    </w:p>
    <w:p w14:paraId="1A298CC1" w14:textId="77777777" w:rsidR="0072769C" w:rsidRDefault="0072769C" w:rsidP="002D0310">
      <w:pPr>
        <w:rPr>
          <w:rFonts w:ascii="Tw Cen MT" w:eastAsia="Times New Roman" w:hAnsi="Tw Cen MT" w:cs="Times New Roman"/>
        </w:rPr>
      </w:pPr>
    </w:p>
    <w:p w14:paraId="60AA95EA" w14:textId="77777777" w:rsidR="0072769C" w:rsidRDefault="0072769C" w:rsidP="002D0310">
      <w:pPr>
        <w:rPr>
          <w:rFonts w:ascii="Tw Cen MT" w:eastAsia="Times New Roman" w:hAnsi="Tw Cen MT" w:cs="Times New Roman"/>
        </w:rPr>
      </w:pPr>
    </w:p>
    <w:p w14:paraId="7D5BE566" w14:textId="77777777" w:rsidR="0072769C" w:rsidRDefault="0072769C" w:rsidP="002D0310">
      <w:pPr>
        <w:rPr>
          <w:rFonts w:ascii="Tw Cen MT" w:eastAsia="Times New Roman" w:hAnsi="Tw Cen MT" w:cs="Times New Roman"/>
        </w:rPr>
      </w:pPr>
    </w:p>
    <w:p w14:paraId="2709B9B5" w14:textId="77777777" w:rsidR="0072769C" w:rsidRDefault="0072769C" w:rsidP="002D0310">
      <w:pPr>
        <w:rPr>
          <w:rFonts w:ascii="Tw Cen MT" w:eastAsia="Times New Roman" w:hAnsi="Tw Cen MT" w:cs="Times New Roman"/>
        </w:rPr>
      </w:pPr>
    </w:p>
    <w:p w14:paraId="0ABCB4A8" w14:textId="77777777" w:rsidR="0072769C" w:rsidRPr="00F70694" w:rsidRDefault="0072769C" w:rsidP="002D0310">
      <w:pPr>
        <w:rPr>
          <w:rFonts w:ascii="Tw Cen MT" w:eastAsia="Times New Roman" w:hAnsi="Tw Cen MT" w:cs="Times New Roman"/>
        </w:rPr>
      </w:pPr>
    </w:p>
    <w:bookmarkEnd w:id="3"/>
    <w:p w14:paraId="14D68D76" w14:textId="77777777" w:rsidR="004A2778" w:rsidRPr="004A2778" w:rsidRDefault="004A2778" w:rsidP="004A2778">
      <w:pPr>
        <w:pBdr>
          <w:top w:val="single" w:sz="24" w:space="0" w:color="9ACD4C"/>
          <w:left w:val="single" w:sz="24" w:space="0" w:color="9ACD4C"/>
          <w:bottom w:val="single" w:sz="24" w:space="0" w:color="9ACD4C"/>
          <w:right w:val="single" w:sz="24" w:space="0" w:color="9ACD4C"/>
        </w:pBdr>
        <w:shd w:val="clear" w:color="auto" w:fill="9ACD4C"/>
        <w:spacing w:after="0"/>
        <w:outlineLvl w:val="0"/>
        <w:rPr>
          <w:rFonts w:ascii="Tw Cen MT" w:eastAsia="Times New Roman" w:hAnsi="Tw Cen MT" w:cs="Times New Roman"/>
          <w:b/>
          <w:caps/>
          <w:color w:val="FFFFFF"/>
          <w:spacing w:val="15"/>
          <w:szCs w:val="22"/>
        </w:rPr>
      </w:pPr>
      <w:r w:rsidRPr="004A2778">
        <w:rPr>
          <w:rFonts w:ascii="Tw Cen MT" w:eastAsia="Times New Roman" w:hAnsi="Tw Cen MT" w:cs="Times New Roman"/>
          <w:b/>
          <w:caps/>
          <w:color w:val="FFFFFF"/>
          <w:spacing w:val="15"/>
          <w:szCs w:val="22"/>
        </w:rPr>
        <w:lastRenderedPageBreak/>
        <w:t>HOW IS PROGRESS AND IMPROVEMENT BEING TRACKED?</w:t>
      </w:r>
    </w:p>
    <w:p w14:paraId="05FDB6EC" w14:textId="6478C81A" w:rsidR="004A2778" w:rsidRPr="004A2778" w:rsidRDefault="004A2778" w:rsidP="004A2778">
      <w:pPr>
        <w:rPr>
          <w:rFonts w:ascii="Tw Cen MT" w:eastAsia="Times New Roman" w:hAnsi="Tw Cen MT" w:cs="Times New Roman"/>
        </w:rPr>
      </w:pPr>
      <w:r w:rsidRPr="004A2778">
        <w:rPr>
          <w:rFonts w:ascii="Tw Cen MT" w:eastAsia="Times New Roman" w:hAnsi="Tw Cen MT" w:cs="Times New Roman"/>
        </w:rPr>
        <w:t>Each priority area has a corresponding workgroup led by the OCDOH that will use existing partnerships to actively recruit additional community partners and residents to participate. These workgroups meet monthly or quarterly depending on the priority area. Progress from these workgroups will be shared during a priority-specific Mini-Summit Series meeting, which will be held annually, and presented at the OC Health Summit, being held biennially starting in 2027. The CHIP Steering Committee will oversee the work of all three priority area workgroups and will switch to quarterly meetings in the fall of 2026 to review progress, make modifications as necessary, and ensure that each strategy is executed.</w:t>
      </w:r>
    </w:p>
    <w:p w14:paraId="715F210C" w14:textId="22768134" w:rsidR="004A2778" w:rsidRPr="004A2778" w:rsidRDefault="004A2778" w:rsidP="004A2778">
      <w:pPr>
        <w:rPr>
          <w:rFonts w:ascii="Tw Cen MT" w:eastAsia="Times New Roman" w:hAnsi="Tw Cen MT" w:cs="Times New Roman"/>
        </w:rPr>
      </w:pPr>
      <w:r w:rsidRPr="004A2778">
        <w:rPr>
          <w:rFonts w:ascii="Tw Cen MT" w:eastAsia="Times New Roman" w:hAnsi="Tw Cen MT" w:cs="Times New Roman"/>
        </w:rPr>
        <w:t xml:space="preserve">OCDOH is in the process of creating an OC CHIP Dashboard to track data collected quarterly by the workgroup leaders for each priority </w:t>
      </w:r>
      <w:r w:rsidR="00D50486" w:rsidRPr="004A2778">
        <w:rPr>
          <w:rFonts w:ascii="Tw Cen MT" w:eastAsia="Times New Roman" w:hAnsi="Tw Cen MT" w:cs="Times New Roman"/>
        </w:rPr>
        <w:t>area</w:t>
      </w:r>
      <w:r w:rsidRPr="004A2778">
        <w:rPr>
          <w:rFonts w:ascii="Tw Cen MT" w:eastAsia="Times New Roman" w:hAnsi="Tw Cen MT" w:cs="Times New Roman"/>
        </w:rPr>
        <w:t>. Both short-term process indicators and long-term outcome indicators will be collected through primary data analysis, qualitative data from workgroup and community members, and through review of secondary data sources. Data collected will guide any mid-course corrections needed.</w:t>
      </w:r>
    </w:p>
    <w:p w14:paraId="6983B4BB" w14:textId="77777777" w:rsidR="004A2778" w:rsidRPr="004A2778" w:rsidRDefault="004A2778" w:rsidP="004A2778">
      <w:pPr>
        <w:rPr>
          <w:rFonts w:ascii="Tw Cen MT" w:eastAsia="Times New Roman" w:hAnsi="Tw Cen MT" w:cs="Times New Roman"/>
        </w:rPr>
      </w:pPr>
      <w:r w:rsidRPr="004A2778">
        <w:rPr>
          <w:rFonts w:ascii="Tw Cen MT" w:eastAsia="Times New Roman" w:hAnsi="Tw Cen MT" w:cs="Times New Roman"/>
        </w:rPr>
        <w:t xml:space="preserve">The new CHIP dashboard will be accessible to the public here: </w:t>
      </w:r>
      <w:hyperlink r:id="rId12" w:history="1">
        <w:r w:rsidRPr="004A2778">
          <w:rPr>
            <w:rFonts w:ascii="Tw Cen MT" w:eastAsia="Times New Roman" w:hAnsi="Tw Cen MT" w:cs="Times New Roman"/>
            <w:color w:val="09AF75"/>
            <w:u w:val="single"/>
          </w:rPr>
          <w:t>https://www.orangecountygov.com/2361/Dashboard-Portal</w:t>
        </w:r>
      </w:hyperlink>
      <w:r w:rsidRPr="004A2778">
        <w:rPr>
          <w:rFonts w:ascii="Tw Cen MT" w:eastAsia="Times New Roman" w:hAnsi="Tw Cen MT" w:cs="Times New Roman"/>
        </w:rPr>
        <w:t xml:space="preserve"> </w:t>
      </w:r>
    </w:p>
    <w:p w14:paraId="7CB94F02" w14:textId="481B9039" w:rsidR="004A2778" w:rsidRPr="004A2778" w:rsidRDefault="004A2778" w:rsidP="004A2778">
      <w:pPr>
        <w:rPr>
          <w:rFonts w:ascii="Tw Cen MT" w:eastAsia="Times New Roman" w:hAnsi="Tw Cen MT" w:cs="Times New Roman"/>
        </w:rPr>
      </w:pPr>
      <w:r w:rsidRPr="004A2778">
        <w:rPr>
          <w:rFonts w:ascii="Tw Cen MT" w:eastAsia="Times New Roman" w:hAnsi="Tw Cen MT" w:cs="Times New Roman"/>
        </w:rPr>
        <w:t>The full Mid-Hudson Region and Orange County CHAs</w:t>
      </w:r>
      <w:r w:rsidR="002D0310">
        <w:rPr>
          <w:rFonts w:ascii="Tw Cen MT" w:eastAsia="Times New Roman" w:hAnsi="Tw Cen MT" w:cs="Times New Roman"/>
        </w:rPr>
        <w:t>, Executive Summary,</w:t>
      </w:r>
      <w:r w:rsidRPr="004A2778">
        <w:rPr>
          <w:rFonts w:ascii="Tw Cen MT" w:eastAsia="Times New Roman" w:hAnsi="Tw Cen MT" w:cs="Times New Roman"/>
        </w:rPr>
        <w:t xml:space="preserve"> and CHIP can be found here: </w:t>
      </w:r>
      <w:hyperlink r:id="rId13" w:history="1">
        <w:r w:rsidRPr="004A2778">
          <w:rPr>
            <w:rFonts w:ascii="Tw Cen MT" w:eastAsia="Times New Roman" w:hAnsi="Tw Cen MT" w:cs="Times New Roman"/>
            <w:color w:val="09AF75"/>
            <w:u w:val="single"/>
          </w:rPr>
          <w:t>https://www.orangecountygov.com/2325/Reports-Assessments</w:t>
        </w:r>
      </w:hyperlink>
      <w:r w:rsidRPr="004A2778">
        <w:rPr>
          <w:rFonts w:ascii="Tw Cen MT" w:eastAsia="Times New Roman" w:hAnsi="Tw Cen MT" w:cs="Times New Roman"/>
        </w:rPr>
        <w:t>.</w:t>
      </w:r>
    </w:p>
    <w:sectPr w:rsidR="004A2778" w:rsidRPr="004A2778" w:rsidSect="009120CF">
      <w:headerReference w:type="default" r:id="rId14"/>
      <w:footerReference w:type="default" r:id="rId15"/>
      <w:pgSz w:w="12240" w:h="15840"/>
      <w:pgMar w:top="720" w:right="720" w:bottom="720" w:left="720" w:header="720" w:footer="288"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591CC2" w14:textId="77777777" w:rsidR="00787129" w:rsidRDefault="00787129" w:rsidP="00836F4A">
      <w:pPr>
        <w:spacing w:before="0" w:after="0" w:line="240" w:lineRule="auto"/>
      </w:pPr>
      <w:r>
        <w:separator/>
      </w:r>
    </w:p>
  </w:endnote>
  <w:endnote w:type="continuationSeparator" w:id="0">
    <w:p w14:paraId="55297423" w14:textId="77777777" w:rsidR="00787129" w:rsidRDefault="00787129" w:rsidP="00836F4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w Cen MT">
    <w:panose1 w:val="020B0602020104020603"/>
    <w:charset w:val="00"/>
    <w:family w:val="swiss"/>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1445864"/>
      <w:docPartObj>
        <w:docPartGallery w:val="Page Numbers (Bottom of Page)"/>
        <w:docPartUnique/>
      </w:docPartObj>
    </w:sdtPr>
    <w:sdtEndPr>
      <w:rPr>
        <w:noProof/>
      </w:rPr>
    </w:sdtEndPr>
    <w:sdtContent>
      <w:p w14:paraId="42DBD77B" w14:textId="414698F5" w:rsidR="00836F4A" w:rsidRDefault="00836F4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CC3A180" w14:textId="77777777" w:rsidR="00836F4A" w:rsidRDefault="00836F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B8FB82" w14:textId="77777777" w:rsidR="00787129" w:rsidRDefault="00787129" w:rsidP="00836F4A">
      <w:pPr>
        <w:spacing w:before="0" w:after="0" w:line="240" w:lineRule="auto"/>
      </w:pPr>
      <w:r>
        <w:separator/>
      </w:r>
    </w:p>
  </w:footnote>
  <w:footnote w:type="continuationSeparator" w:id="0">
    <w:p w14:paraId="5883A7B8" w14:textId="77777777" w:rsidR="00787129" w:rsidRDefault="00787129" w:rsidP="00836F4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3913721"/>
      <w:docPartObj>
        <w:docPartGallery w:val="Page Numbers (Top of Page)"/>
        <w:docPartUnique/>
      </w:docPartObj>
    </w:sdtPr>
    <w:sdtEndPr>
      <w:rPr>
        <w:noProof/>
      </w:rPr>
    </w:sdtEndPr>
    <w:sdtContent>
      <w:p w14:paraId="42637464" w14:textId="0348A7ED" w:rsidR="00836F4A" w:rsidRDefault="00836F4A">
        <w:pPr>
          <w:pStyle w:val="Header"/>
          <w:jc w:val="right"/>
        </w:pPr>
      </w:p>
      <w:p w14:paraId="4C04D7B9" w14:textId="34454343" w:rsidR="00836F4A" w:rsidRDefault="00787129">
        <w:pPr>
          <w:pStyle w:val="Header"/>
          <w:jc w:val="right"/>
        </w:pPr>
      </w:p>
    </w:sdtContent>
  </w:sdt>
  <w:p w14:paraId="71A51C14" w14:textId="77777777" w:rsidR="00836F4A" w:rsidRDefault="00836F4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E0A0F"/>
    <w:multiLevelType w:val="hybridMultilevel"/>
    <w:tmpl w:val="BCF221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3AAD3013"/>
    <w:multiLevelType w:val="hybridMultilevel"/>
    <w:tmpl w:val="52A2625C"/>
    <w:lvl w:ilvl="0" w:tplc="4BF8D08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CCD4D51"/>
    <w:multiLevelType w:val="hybridMultilevel"/>
    <w:tmpl w:val="D2FC894C"/>
    <w:lvl w:ilvl="0" w:tplc="04090001">
      <w:start w:val="1"/>
      <w:numFmt w:val="bullet"/>
      <w:lvlText w:val=""/>
      <w:lvlJc w:val="left"/>
      <w:pPr>
        <w:ind w:left="360" w:hanging="360"/>
      </w:pPr>
      <w:rPr>
        <w:rFonts w:ascii="Symbol" w:hAnsi="Symbol" w:hint="default"/>
      </w:rPr>
    </w:lvl>
    <w:lvl w:ilvl="1" w:tplc="963014D8">
      <w:numFmt w:val="bullet"/>
      <w:lvlText w:val="•"/>
      <w:lvlJc w:val="left"/>
      <w:pPr>
        <w:ind w:left="1440" w:hanging="720"/>
      </w:pPr>
      <w:rPr>
        <w:rFonts w:ascii="Tw Cen MT" w:eastAsiaTheme="minorEastAsia" w:hAnsi="Tw Cen MT" w:cstheme="minorBid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3EBF5E57"/>
    <w:multiLevelType w:val="hybridMultilevel"/>
    <w:tmpl w:val="EE98BE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479B48C0"/>
    <w:multiLevelType w:val="hybridMultilevel"/>
    <w:tmpl w:val="554E04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FEE4E26"/>
    <w:multiLevelType w:val="hybridMultilevel"/>
    <w:tmpl w:val="8318C61E"/>
    <w:lvl w:ilvl="0" w:tplc="DF2065EC">
      <w:start w:val="1"/>
      <w:numFmt w:val="bullet"/>
      <w:lvlText w:val=""/>
      <w:lvlJc w:val="left"/>
      <w:pPr>
        <w:ind w:left="720" w:hanging="360"/>
      </w:pPr>
      <w:rPr>
        <w:rFonts w:ascii="Symbol" w:hAnsi="Symbol" w:hint="default"/>
      </w:rPr>
    </w:lvl>
    <w:lvl w:ilvl="1" w:tplc="8B223116">
      <w:start w:val="1"/>
      <w:numFmt w:val="bullet"/>
      <w:lvlText w:val="o"/>
      <w:lvlJc w:val="left"/>
      <w:pPr>
        <w:ind w:left="1440" w:hanging="360"/>
      </w:pPr>
      <w:rPr>
        <w:rFonts w:ascii="Courier New" w:hAnsi="Courier New" w:hint="default"/>
      </w:rPr>
    </w:lvl>
    <w:lvl w:ilvl="2" w:tplc="6B26EC60">
      <w:start w:val="1"/>
      <w:numFmt w:val="bullet"/>
      <w:lvlText w:val=""/>
      <w:lvlJc w:val="left"/>
      <w:pPr>
        <w:ind w:left="2160" w:hanging="360"/>
      </w:pPr>
      <w:rPr>
        <w:rFonts w:ascii="Wingdings" w:hAnsi="Wingdings" w:hint="default"/>
      </w:rPr>
    </w:lvl>
    <w:lvl w:ilvl="3" w:tplc="9F72568E">
      <w:start w:val="1"/>
      <w:numFmt w:val="bullet"/>
      <w:lvlText w:val=""/>
      <w:lvlJc w:val="left"/>
      <w:pPr>
        <w:ind w:left="2880" w:hanging="360"/>
      </w:pPr>
      <w:rPr>
        <w:rFonts w:ascii="Symbol" w:hAnsi="Symbol" w:hint="default"/>
      </w:rPr>
    </w:lvl>
    <w:lvl w:ilvl="4" w:tplc="F974728C">
      <w:start w:val="1"/>
      <w:numFmt w:val="bullet"/>
      <w:lvlText w:val="o"/>
      <w:lvlJc w:val="left"/>
      <w:pPr>
        <w:ind w:left="3600" w:hanging="360"/>
      </w:pPr>
      <w:rPr>
        <w:rFonts w:ascii="Courier New" w:hAnsi="Courier New" w:hint="default"/>
      </w:rPr>
    </w:lvl>
    <w:lvl w:ilvl="5" w:tplc="D3B8EB12">
      <w:start w:val="1"/>
      <w:numFmt w:val="bullet"/>
      <w:lvlText w:val=""/>
      <w:lvlJc w:val="left"/>
      <w:pPr>
        <w:ind w:left="4320" w:hanging="360"/>
      </w:pPr>
      <w:rPr>
        <w:rFonts w:ascii="Wingdings" w:hAnsi="Wingdings" w:hint="default"/>
      </w:rPr>
    </w:lvl>
    <w:lvl w:ilvl="6" w:tplc="A68A8BBE">
      <w:start w:val="1"/>
      <w:numFmt w:val="bullet"/>
      <w:lvlText w:val=""/>
      <w:lvlJc w:val="left"/>
      <w:pPr>
        <w:ind w:left="5040" w:hanging="360"/>
      </w:pPr>
      <w:rPr>
        <w:rFonts w:ascii="Symbol" w:hAnsi="Symbol" w:hint="default"/>
      </w:rPr>
    </w:lvl>
    <w:lvl w:ilvl="7" w:tplc="9C2A9974">
      <w:start w:val="1"/>
      <w:numFmt w:val="bullet"/>
      <w:lvlText w:val="o"/>
      <w:lvlJc w:val="left"/>
      <w:pPr>
        <w:ind w:left="5760" w:hanging="360"/>
      </w:pPr>
      <w:rPr>
        <w:rFonts w:ascii="Courier New" w:hAnsi="Courier New" w:hint="default"/>
      </w:rPr>
    </w:lvl>
    <w:lvl w:ilvl="8" w:tplc="86645270">
      <w:start w:val="1"/>
      <w:numFmt w:val="bullet"/>
      <w:lvlText w:val=""/>
      <w:lvlJc w:val="left"/>
      <w:pPr>
        <w:ind w:left="6480" w:hanging="360"/>
      </w:pPr>
      <w:rPr>
        <w:rFonts w:ascii="Wingdings" w:hAnsi="Wingdings" w:hint="default"/>
      </w:rPr>
    </w:lvl>
  </w:abstractNum>
  <w:num w:numId="1" w16cid:durableId="223689020">
    <w:abstractNumId w:val="4"/>
  </w:num>
  <w:num w:numId="2" w16cid:durableId="2011331866">
    <w:abstractNumId w:val="0"/>
  </w:num>
  <w:num w:numId="3" w16cid:durableId="600723122">
    <w:abstractNumId w:val="2"/>
  </w:num>
  <w:num w:numId="4" w16cid:durableId="1521628449">
    <w:abstractNumId w:val="3"/>
  </w:num>
  <w:num w:numId="5" w16cid:durableId="1778982556">
    <w:abstractNumId w:val="5"/>
  </w:num>
  <w:num w:numId="6" w16cid:durableId="2330496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72F1"/>
    <w:rsid w:val="0010617B"/>
    <w:rsid w:val="00173570"/>
    <w:rsid w:val="001B3FB2"/>
    <w:rsid w:val="001C4757"/>
    <w:rsid w:val="001E72F1"/>
    <w:rsid w:val="002108FB"/>
    <w:rsid w:val="00256D2C"/>
    <w:rsid w:val="00277211"/>
    <w:rsid w:val="00286C7C"/>
    <w:rsid w:val="00293BA6"/>
    <w:rsid w:val="002A4452"/>
    <w:rsid w:val="002C2F74"/>
    <w:rsid w:val="002D0310"/>
    <w:rsid w:val="003312BB"/>
    <w:rsid w:val="003C33F4"/>
    <w:rsid w:val="0042602D"/>
    <w:rsid w:val="004575EE"/>
    <w:rsid w:val="00461B84"/>
    <w:rsid w:val="004A2778"/>
    <w:rsid w:val="004B2424"/>
    <w:rsid w:val="004F14FC"/>
    <w:rsid w:val="004F7B5D"/>
    <w:rsid w:val="00506B23"/>
    <w:rsid w:val="00587247"/>
    <w:rsid w:val="005C6CFA"/>
    <w:rsid w:val="00611497"/>
    <w:rsid w:val="00626099"/>
    <w:rsid w:val="00660CC8"/>
    <w:rsid w:val="006E7072"/>
    <w:rsid w:val="0072769C"/>
    <w:rsid w:val="00766BEA"/>
    <w:rsid w:val="00776FDA"/>
    <w:rsid w:val="00787129"/>
    <w:rsid w:val="007904D9"/>
    <w:rsid w:val="007B368F"/>
    <w:rsid w:val="00814432"/>
    <w:rsid w:val="00836F4A"/>
    <w:rsid w:val="00855BA6"/>
    <w:rsid w:val="00891E32"/>
    <w:rsid w:val="008C35DB"/>
    <w:rsid w:val="00906C27"/>
    <w:rsid w:val="009120CF"/>
    <w:rsid w:val="00967018"/>
    <w:rsid w:val="009856E0"/>
    <w:rsid w:val="009866CD"/>
    <w:rsid w:val="009B7B59"/>
    <w:rsid w:val="00A503F0"/>
    <w:rsid w:val="00A5535B"/>
    <w:rsid w:val="00A83D6B"/>
    <w:rsid w:val="00AB545B"/>
    <w:rsid w:val="00AD7B91"/>
    <w:rsid w:val="00B253CF"/>
    <w:rsid w:val="00B26EF0"/>
    <w:rsid w:val="00B4382E"/>
    <w:rsid w:val="00B922DF"/>
    <w:rsid w:val="00B9416E"/>
    <w:rsid w:val="00B95837"/>
    <w:rsid w:val="00D31ED7"/>
    <w:rsid w:val="00D50486"/>
    <w:rsid w:val="00D94CBE"/>
    <w:rsid w:val="00E63A09"/>
    <w:rsid w:val="00EA0B84"/>
    <w:rsid w:val="00EB53DC"/>
    <w:rsid w:val="00F1475C"/>
    <w:rsid w:val="00F15840"/>
    <w:rsid w:val="00F31BD2"/>
    <w:rsid w:val="00F437AD"/>
    <w:rsid w:val="00F610A4"/>
    <w:rsid w:val="00F70694"/>
    <w:rsid w:val="00FB7DC3"/>
    <w:rsid w:val="00FD57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9F01C"/>
  <w15:chartTrackingRefBased/>
  <w15:docId w15:val="{BB1CB58E-5DC6-494C-84C2-B028BAFB0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7DC3"/>
    <w:pPr>
      <w:spacing w:before="100" w:after="200" w:line="276" w:lineRule="auto"/>
    </w:pPr>
    <w:rPr>
      <w:rFonts w:eastAsiaTheme="minorEastAsia"/>
      <w:sz w:val="24"/>
      <w:szCs w:val="20"/>
    </w:rPr>
  </w:style>
  <w:style w:type="paragraph" w:styleId="Heading1">
    <w:name w:val="heading 1"/>
    <w:basedOn w:val="Normal"/>
    <w:next w:val="Normal"/>
    <w:link w:val="Heading1Char"/>
    <w:uiPriority w:val="9"/>
    <w:qFormat/>
    <w:rsid w:val="00FB7DC3"/>
    <w:pPr>
      <w:pBdr>
        <w:top w:val="single" w:sz="24" w:space="0" w:color="9ACD4C" w:themeColor="accent1"/>
        <w:left w:val="single" w:sz="24" w:space="0" w:color="9ACD4C" w:themeColor="accent1"/>
        <w:bottom w:val="single" w:sz="24" w:space="0" w:color="9ACD4C" w:themeColor="accent1"/>
        <w:right w:val="single" w:sz="24" w:space="0" w:color="9ACD4C" w:themeColor="accent1"/>
      </w:pBdr>
      <w:shd w:val="clear" w:color="auto" w:fill="9ACD4C" w:themeFill="accent1"/>
      <w:spacing w:before="0" w:after="100" w:afterAutospacing="1"/>
      <w:outlineLvl w:val="0"/>
    </w:pPr>
    <w:rPr>
      <w:b/>
      <w:caps/>
      <w:color w:val="FFFFFF" w:themeColor="background1"/>
      <w:spacing w:val="15"/>
      <w:szCs w:val="22"/>
    </w:rPr>
  </w:style>
  <w:style w:type="paragraph" w:styleId="Heading2">
    <w:name w:val="heading 2"/>
    <w:basedOn w:val="Normal"/>
    <w:next w:val="Normal"/>
    <w:link w:val="Heading2Char"/>
    <w:uiPriority w:val="9"/>
    <w:unhideWhenUsed/>
    <w:qFormat/>
    <w:rsid w:val="00FB7DC3"/>
    <w:pPr>
      <w:pBdr>
        <w:top w:val="single" w:sz="24" w:space="0" w:color="EAF5DB" w:themeColor="accent1" w:themeTint="33"/>
        <w:left w:val="single" w:sz="24" w:space="0" w:color="EAF5DB" w:themeColor="accent1" w:themeTint="33"/>
        <w:bottom w:val="single" w:sz="24" w:space="0" w:color="EAF5DB" w:themeColor="accent1" w:themeTint="33"/>
        <w:right w:val="single" w:sz="24" w:space="0" w:color="EAF5DB" w:themeColor="accent1" w:themeTint="33"/>
      </w:pBdr>
      <w:shd w:val="clear" w:color="auto" w:fill="EAF5DB" w:themeFill="accent1" w:themeFillTint="33"/>
      <w:spacing w:beforeAutospacing="1" w:after="100" w:afterAutospacing="1"/>
      <w:outlineLvl w:val="1"/>
    </w:pPr>
    <w:rPr>
      <w:caps/>
      <w:spacing w:val="15"/>
      <w:sz w:val="22"/>
    </w:rPr>
  </w:style>
  <w:style w:type="paragraph" w:styleId="Heading3">
    <w:name w:val="heading 3"/>
    <w:basedOn w:val="Normal"/>
    <w:next w:val="Normal"/>
    <w:link w:val="Heading3Char"/>
    <w:uiPriority w:val="9"/>
    <w:unhideWhenUsed/>
    <w:qFormat/>
    <w:rsid w:val="00836F4A"/>
    <w:pPr>
      <w:pBdr>
        <w:top w:val="single" w:sz="6" w:space="2" w:color="9ACD4C" w:themeColor="accent1"/>
      </w:pBdr>
      <w:spacing w:beforeAutospacing="1" w:after="100" w:afterAutospacing="1"/>
      <w:outlineLvl w:val="2"/>
    </w:pPr>
    <w:rPr>
      <w:caps/>
      <w:color w:val="4D6D1E" w:themeColor="accent1" w:themeShade="7F"/>
      <w:spacing w:val="15"/>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B7DC3"/>
    <w:rPr>
      <w:rFonts w:eastAsiaTheme="minorEastAsia"/>
      <w:b/>
      <w:caps/>
      <w:color w:val="FFFFFF" w:themeColor="background1"/>
      <w:spacing w:val="15"/>
      <w:sz w:val="24"/>
      <w:shd w:val="clear" w:color="auto" w:fill="9ACD4C" w:themeFill="accent1"/>
    </w:rPr>
  </w:style>
  <w:style w:type="character" w:customStyle="1" w:styleId="Heading2Char">
    <w:name w:val="Heading 2 Char"/>
    <w:basedOn w:val="DefaultParagraphFont"/>
    <w:link w:val="Heading2"/>
    <w:uiPriority w:val="9"/>
    <w:rsid w:val="00FB7DC3"/>
    <w:rPr>
      <w:rFonts w:eastAsiaTheme="minorEastAsia"/>
      <w:caps/>
      <w:spacing w:val="15"/>
      <w:szCs w:val="20"/>
      <w:shd w:val="clear" w:color="auto" w:fill="EAF5DB" w:themeFill="accent1" w:themeFillTint="33"/>
    </w:rPr>
  </w:style>
  <w:style w:type="paragraph" w:styleId="ListParagraph">
    <w:name w:val="List Paragraph"/>
    <w:basedOn w:val="Normal"/>
    <w:uiPriority w:val="34"/>
    <w:qFormat/>
    <w:rsid w:val="00FB7DC3"/>
    <w:pPr>
      <w:ind w:left="720"/>
      <w:contextualSpacing/>
    </w:pPr>
  </w:style>
  <w:style w:type="table" w:styleId="GridTable6Colorful-Accent1">
    <w:name w:val="Grid Table 6 Colorful Accent 1"/>
    <w:basedOn w:val="TableNormal"/>
    <w:uiPriority w:val="51"/>
    <w:rsid w:val="00FB7DC3"/>
    <w:pPr>
      <w:spacing w:before="100" w:after="0" w:line="240" w:lineRule="auto"/>
    </w:pPr>
    <w:rPr>
      <w:rFonts w:eastAsiaTheme="minorEastAsia"/>
      <w:color w:val="000000" w:themeColor="text1"/>
      <w:sz w:val="20"/>
      <w:szCs w:val="20"/>
    </w:rPr>
    <w:tblPr>
      <w:tblStyleRowBandSize w:val="1"/>
      <w:tblStyleColBandSize w:val="1"/>
      <w:tblBorders>
        <w:top w:val="single" w:sz="4" w:space="0" w:color="C2E193" w:themeColor="accent1" w:themeTint="99"/>
        <w:left w:val="single" w:sz="4" w:space="0" w:color="C2E193" w:themeColor="accent1" w:themeTint="99"/>
        <w:bottom w:val="single" w:sz="4" w:space="0" w:color="C2E193" w:themeColor="accent1" w:themeTint="99"/>
        <w:right w:val="single" w:sz="4" w:space="0" w:color="C2E193" w:themeColor="accent1" w:themeTint="99"/>
        <w:insideH w:val="single" w:sz="4" w:space="0" w:color="C2E193" w:themeColor="accent1" w:themeTint="99"/>
        <w:insideV w:val="single" w:sz="4" w:space="0" w:color="C2E193" w:themeColor="accent1" w:themeTint="99"/>
      </w:tblBorders>
    </w:tblPr>
    <w:tblStylePr w:type="firstRow">
      <w:rPr>
        <w:b/>
        <w:bCs/>
      </w:rPr>
      <w:tblPr/>
      <w:tcPr>
        <w:tcBorders>
          <w:bottom w:val="single" w:sz="12" w:space="0" w:color="C2E193" w:themeColor="accent1" w:themeTint="99"/>
        </w:tcBorders>
      </w:tcPr>
    </w:tblStylePr>
    <w:tblStylePr w:type="lastRow">
      <w:rPr>
        <w:b/>
        <w:bCs/>
      </w:rPr>
      <w:tblPr/>
      <w:tcPr>
        <w:tcBorders>
          <w:top w:val="double" w:sz="4" w:space="0" w:color="C2E193" w:themeColor="accent1" w:themeTint="99"/>
        </w:tcBorders>
      </w:tcPr>
    </w:tblStylePr>
    <w:tblStylePr w:type="firstCol">
      <w:rPr>
        <w:b/>
        <w:bCs/>
      </w:rPr>
    </w:tblStylePr>
    <w:tblStylePr w:type="lastCol">
      <w:rPr>
        <w:b/>
        <w:bCs/>
      </w:rPr>
    </w:tblStylePr>
    <w:tblStylePr w:type="band1Vert">
      <w:tblPr/>
      <w:tcPr>
        <w:shd w:val="clear" w:color="auto" w:fill="EAF5DB" w:themeFill="accent1" w:themeFillTint="33"/>
      </w:tcPr>
    </w:tblStylePr>
    <w:tblStylePr w:type="band1Horz">
      <w:tblPr/>
      <w:tcPr>
        <w:shd w:val="clear" w:color="auto" w:fill="EAF5DB" w:themeFill="accent1" w:themeFillTint="33"/>
      </w:tcPr>
    </w:tblStylePr>
  </w:style>
  <w:style w:type="paragraph" w:styleId="NoSpacing">
    <w:name w:val="No Spacing"/>
    <w:uiPriority w:val="1"/>
    <w:qFormat/>
    <w:rsid w:val="00FB7DC3"/>
    <w:pPr>
      <w:spacing w:after="0" w:line="240" w:lineRule="auto"/>
    </w:pPr>
    <w:rPr>
      <w:rFonts w:eastAsiaTheme="minorEastAsia"/>
      <w:sz w:val="20"/>
      <w:szCs w:val="20"/>
    </w:rPr>
  </w:style>
  <w:style w:type="character" w:styleId="Hyperlink">
    <w:name w:val="Hyperlink"/>
    <w:basedOn w:val="DefaultParagraphFont"/>
    <w:uiPriority w:val="99"/>
    <w:unhideWhenUsed/>
    <w:qFormat/>
    <w:rsid w:val="00836F4A"/>
    <w:rPr>
      <w:color w:val="00B050"/>
      <w:u w:val="single"/>
    </w:rPr>
  </w:style>
  <w:style w:type="character" w:styleId="UnresolvedMention">
    <w:name w:val="Unresolved Mention"/>
    <w:basedOn w:val="DefaultParagraphFont"/>
    <w:uiPriority w:val="99"/>
    <w:semiHidden/>
    <w:unhideWhenUsed/>
    <w:rsid w:val="00173570"/>
    <w:rPr>
      <w:color w:val="605E5C"/>
      <w:shd w:val="clear" w:color="auto" w:fill="E1DFDD"/>
    </w:rPr>
  </w:style>
  <w:style w:type="table" w:styleId="TableGrid">
    <w:name w:val="Table Grid"/>
    <w:basedOn w:val="TableNormal"/>
    <w:uiPriority w:val="39"/>
    <w:rsid w:val="00836F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836F4A"/>
    <w:rPr>
      <w:rFonts w:eastAsiaTheme="minorEastAsia"/>
      <w:caps/>
      <w:color w:val="4D6D1E" w:themeColor="accent1" w:themeShade="7F"/>
      <w:spacing w:val="15"/>
      <w:szCs w:val="20"/>
    </w:rPr>
  </w:style>
  <w:style w:type="paragraph" w:styleId="Header">
    <w:name w:val="header"/>
    <w:basedOn w:val="Normal"/>
    <w:link w:val="HeaderChar"/>
    <w:uiPriority w:val="99"/>
    <w:unhideWhenUsed/>
    <w:rsid w:val="00836F4A"/>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836F4A"/>
    <w:rPr>
      <w:rFonts w:eastAsiaTheme="minorEastAsia"/>
      <w:sz w:val="24"/>
      <w:szCs w:val="20"/>
    </w:rPr>
  </w:style>
  <w:style w:type="paragraph" w:styleId="Footer">
    <w:name w:val="footer"/>
    <w:basedOn w:val="Normal"/>
    <w:link w:val="FooterChar"/>
    <w:uiPriority w:val="99"/>
    <w:unhideWhenUsed/>
    <w:rsid w:val="00836F4A"/>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836F4A"/>
    <w:rPr>
      <w:rFonts w:eastAsiaTheme="minorEastAsia"/>
      <w:sz w:val="24"/>
      <w:szCs w:val="20"/>
    </w:rPr>
  </w:style>
  <w:style w:type="paragraph" w:styleId="Title">
    <w:name w:val="Title"/>
    <w:basedOn w:val="Normal"/>
    <w:next w:val="Normal"/>
    <w:link w:val="TitleChar"/>
    <w:uiPriority w:val="10"/>
    <w:qFormat/>
    <w:rsid w:val="00FD57D0"/>
    <w:pPr>
      <w:spacing w:before="0" w:after="0" w:line="216" w:lineRule="auto"/>
      <w:contextualSpacing/>
    </w:pPr>
    <w:rPr>
      <w:rFonts w:asciiTheme="majorHAnsi" w:eastAsiaTheme="majorEastAsia" w:hAnsiTheme="majorHAnsi" w:cstheme="majorBidi"/>
      <w:color w:val="404040" w:themeColor="text1" w:themeTint="BF"/>
      <w:spacing w:val="-10"/>
      <w:kern w:val="28"/>
      <w:sz w:val="56"/>
      <w:szCs w:val="56"/>
    </w:rPr>
  </w:style>
  <w:style w:type="character" w:customStyle="1" w:styleId="TitleChar">
    <w:name w:val="Title Char"/>
    <w:basedOn w:val="DefaultParagraphFont"/>
    <w:link w:val="Title"/>
    <w:uiPriority w:val="10"/>
    <w:rsid w:val="00FD57D0"/>
    <w:rPr>
      <w:rFonts w:asciiTheme="majorHAnsi" w:eastAsiaTheme="majorEastAsia" w:hAnsiTheme="majorHAnsi" w:cstheme="majorBidi"/>
      <w:color w:val="404040" w:themeColor="text1" w:themeTint="BF"/>
      <w:spacing w:val="-10"/>
      <w:kern w:val="28"/>
      <w:sz w:val="56"/>
      <w:szCs w:val="56"/>
    </w:rPr>
  </w:style>
  <w:style w:type="paragraph" w:styleId="Subtitle">
    <w:name w:val="Subtitle"/>
    <w:basedOn w:val="Normal"/>
    <w:next w:val="Normal"/>
    <w:link w:val="SubtitleChar"/>
    <w:uiPriority w:val="11"/>
    <w:qFormat/>
    <w:rsid w:val="00FD57D0"/>
    <w:pPr>
      <w:numPr>
        <w:ilvl w:val="1"/>
      </w:numPr>
      <w:spacing w:before="0" w:after="160" w:line="259" w:lineRule="auto"/>
    </w:pPr>
    <w:rPr>
      <w:rFonts w:cs="Times New Roman"/>
      <w:color w:val="5A5A5A" w:themeColor="text1" w:themeTint="A5"/>
      <w:spacing w:val="15"/>
      <w:sz w:val="22"/>
      <w:szCs w:val="22"/>
    </w:rPr>
  </w:style>
  <w:style w:type="character" w:customStyle="1" w:styleId="SubtitleChar">
    <w:name w:val="Subtitle Char"/>
    <w:basedOn w:val="DefaultParagraphFont"/>
    <w:link w:val="Subtitle"/>
    <w:uiPriority w:val="11"/>
    <w:rsid w:val="00FD57D0"/>
    <w:rPr>
      <w:rFonts w:eastAsiaTheme="minorEastAsia" w:cs="Times New Roman"/>
      <w:color w:val="5A5A5A" w:themeColor="text1" w:themeTint="A5"/>
      <w:spacing w:val="15"/>
    </w:rPr>
  </w:style>
  <w:style w:type="table" w:styleId="ListTable3-Accent2">
    <w:name w:val="List Table 3 Accent 2"/>
    <w:basedOn w:val="TableNormal"/>
    <w:uiPriority w:val="48"/>
    <w:rsid w:val="00AD7B91"/>
    <w:pPr>
      <w:spacing w:after="0" w:line="240" w:lineRule="auto"/>
    </w:pPr>
    <w:tblPr>
      <w:tblStyleRowBandSize w:val="1"/>
      <w:tblStyleColBandSize w:val="1"/>
      <w:tblBorders>
        <w:top w:val="single" w:sz="4" w:space="0" w:color="FAA93A" w:themeColor="accent2"/>
        <w:left w:val="single" w:sz="4" w:space="0" w:color="FAA93A" w:themeColor="accent2"/>
        <w:bottom w:val="single" w:sz="4" w:space="0" w:color="FAA93A" w:themeColor="accent2"/>
        <w:right w:val="single" w:sz="4" w:space="0" w:color="FAA93A" w:themeColor="accent2"/>
      </w:tblBorders>
    </w:tblPr>
    <w:tblStylePr w:type="firstRow">
      <w:rPr>
        <w:b/>
        <w:bCs/>
        <w:color w:val="FFFFFF" w:themeColor="background1"/>
      </w:rPr>
      <w:tblPr/>
      <w:tcPr>
        <w:shd w:val="clear" w:color="auto" w:fill="FAA93A" w:themeFill="accent2"/>
      </w:tcPr>
    </w:tblStylePr>
    <w:tblStylePr w:type="lastRow">
      <w:rPr>
        <w:b/>
        <w:bCs/>
      </w:rPr>
      <w:tblPr/>
      <w:tcPr>
        <w:tcBorders>
          <w:top w:val="double" w:sz="4" w:space="0" w:color="FAA93A"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AA93A" w:themeColor="accent2"/>
          <w:right w:val="single" w:sz="4" w:space="0" w:color="FAA93A" w:themeColor="accent2"/>
        </w:tcBorders>
      </w:tcPr>
    </w:tblStylePr>
    <w:tblStylePr w:type="band1Horz">
      <w:tblPr/>
      <w:tcPr>
        <w:tcBorders>
          <w:top w:val="single" w:sz="4" w:space="0" w:color="FAA93A" w:themeColor="accent2"/>
          <w:bottom w:val="single" w:sz="4" w:space="0" w:color="FAA93A"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AA93A" w:themeColor="accent2"/>
          <w:left w:val="nil"/>
        </w:tcBorders>
      </w:tcPr>
    </w:tblStylePr>
    <w:tblStylePr w:type="swCell">
      <w:tblPr/>
      <w:tcPr>
        <w:tcBorders>
          <w:top w:val="double" w:sz="4" w:space="0" w:color="FAA93A" w:themeColor="accent2"/>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orangecountygov.com/2325/Reports-Assessments" TargetMode="External"/><Relationship Id="rId18" Type="http://schemas.openxmlformats.org/officeDocument/2006/relationships/customXml" Target="../customXml/item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www.orangecountygov.com/2361/Dashboard-Portal"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20" Type="http://schemas.openxmlformats.org/officeDocument/2006/relationships/customXml" Target="../customXml/item5.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customXml" Target="../customXml/item4.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1.xml"/></Relationships>
</file>

<file path=word/theme/_rels/theme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C CHA Theme">
  <a:themeElements>
    <a:clrScheme name="Custom 12">
      <a:dk1>
        <a:sysClr val="windowText" lastClr="000000"/>
      </a:dk1>
      <a:lt1>
        <a:sysClr val="window" lastClr="FFFFFF"/>
      </a:lt1>
      <a:dk2>
        <a:srgbClr val="134770"/>
      </a:dk2>
      <a:lt2>
        <a:srgbClr val="82FFFF"/>
      </a:lt2>
      <a:accent1>
        <a:srgbClr val="9ACD4C"/>
      </a:accent1>
      <a:accent2>
        <a:srgbClr val="FAA93A"/>
      </a:accent2>
      <a:accent3>
        <a:srgbClr val="D35940"/>
      </a:accent3>
      <a:accent4>
        <a:srgbClr val="9941B1"/>
      </a:accent4>
      <a:accent5>
        <a:srgbClr val="63A0CC"/>
      </a:accent5>
      <a:accent6>
        <a:srgbClr val="82FFFF"/>
      </a:accent6>
      <a:hlink>
        <a:srgbClr val="09AF75"/>
      </a:hlink>
      <a:folHlink>
        <a:srgbClr val="376F53"/>
      </a:folHlink>
    </a:clrScheme>
    <a:fontScheme name="Circuit">
      <a:majorFont>
        <a:latin typeface="Tw Cen MT" panose="020B0602020104020603"/>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w Cen MT" panose="020B0602020104020603"/>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Circuit">
      <a:fillStyleLst>
        <a:solidFill>
          <a:schemeClr val="phClr"/>
        </a:solidFill>
        <a:gradFill rotWithShape="1">
          <a:gsLst>
            <a:gs pos="0">
              <a:schemeClr val="phClr">
                <a:tint val="58000"/>
                <a:satMod val="108000"/>
                <a:lumMod val="110000"/>
              </a:schemeClr>
            </a:gs>
            <a:gs pos="100000">
              <a:schemeClr val="phClr">
                <a:tint val="81000"/>
                <a:satMod val="109000"/>
                <a:lumMod val="105000"/>
              </a:schemeClr>
            </a:gs>
          </a:gsLst>
          <a:lin ang="5040000" scaled="0"/>
        </a:gradFill>
        <a:gradFill rotWithShape="1">
          <a:gsLst>
            <a:gs pos="0">
              <a:schemeClr val="phClr">
                <a:tint val="94000"/>
                <a:satMod val="105000"/>
                <a:lumMod val="102000"/>
              </a:schemeClr>
            </a:gs>
            <a:gs pos="100000">
              <a:schemeClr val="phClr">
                <a:shade val="74000"/>
                <a:satMod val="128000"/>
                <a:lumMod val="10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gradFill rotWithShape="1">
          <a:gsLst>
            <a:gs pos="0">
              <a:schemeClr val="phClr">
                <a:tint val="98000"/>
                <a:hueMod val="94000"/>
                <a:satMod val="148000"/>
                <a:lumMod val="150000"/>
              </a:schemeClr>
            </a:gs>
            <a:gs pos="100000">
              <a:schemeClr val="phClr">
                <a:shade val="92000"/>
                <a:hueMod val="104000"/>
                <a:satMod val="140000"/>
                <a:lumMod val="68000"/>
              </a:schemeClr>
            </a:gs>
          </a:gsLst>
          <a:lin ang="5040000" scaled="0"/>
        </a:gradFill>
        <a:blipFill>
          <a:blip xmlns:r="http://schemas.openxmlformats.org/officeDocument/2006/relationships" r:embed="rId1">
            <a:duotone>
              <a:schemeClr val="phClr">
                <a:shade val="88000"/>
                <a:hueMod val="106000"/>
                <a:satMod val="140000"/>
                <a:lumMod val="54000"/>
              </a:schemeClr>
              <a:schemeClr val="phClr">
                <a:tint val="98000"/>
                <a:hueMod val="90000"/>
                <a:satMod val="150000"/>
                <a:lumMod val="160000"/>
              </a:schemeClr>
            </a:duotone>
          </a:blip>
          <a:stretch/>
        </a:blipFill>
      </a:bgFillStyleLst>
    </a:fmtScheme>
  </a:themeElements>
  <a:objectDefaults/>
  <a:extraClrSchemeLst/>
  <a:extLst>
    <a:ext uri="{05A4C25C-085E-4340-85A3-A5531E510DB2}">
      <thm15:themeFamily xmlns:thm15="http://schemas.microsoft.com/office/thememl/2012/main" name="Circuit" id="{0AC2F7E7-15F5-431C-B2A2-456FE929F56C}" vid="{0911B802-464C-4241-8DD9-B60FF88E379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Our shared vision and health promotion strategic plan to address the most pressing health issueof our residents.</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5E06BBCF48891B4AA000B842D02367CE" ma:contentTypeVersion="12" ma:contentTypeDescription="Create a new document." ma:contentTypeScope="" ma:versionID="fe6ea1b7fa6cedb1acda08ea4d5bc607">
  <xsd:schema xmlns:xsd="http://www.w3.org/2001/XMLSchema" xmlns:xs="http://www.w3.org/2001/XMLSchema" xmlns:p="http://schemas.microsoft.com/office/2006/metadata/properties" xmlns:ns2="70db5d92-cf7a-41c9-a808-9efa4eb812f2" xmlns:ns3="be71ce3a-ef61-410b-aae3-59cf01e8169d" targetNamespace="http://schemas.microsoft.com/office/2006/metadata/properties" ma:root="true" ma:fieldsID="6c75d4e196960d1be8fe94f46d8363ec" ns2:_="" ns3:_="">
    <xsd:import namespace="70db5d92-cf7a-41c9-a808-9efa4eb812f2"/>
    <xsd:import namespace="be71ce3a-ef61-410b-aae3-59cf01e8169d"/>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db5d92-cf7a-41c9-a808-9efa4eb812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3771ad2a-fb66-4f81-a1fc-6fe6d2de2726"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e71ce3a-ef61-410b-aae3-59cf01e8169d"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c090871a-1876-4c0e-ad5b-2d6942987647}" ma:internalName="TaxCatchAll" ma:showField="CatchAllData" ma:web="be71ce3a-ef61-410b-aae3-59cf01e8169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70db5d92-cf7a-41c9-a808-9efa4eb812f2">
      <Terms xmlns="http://schemas.microsoft.com/office/infopath/2007/PartnerControls"/>
    </lcf76f155ced4ddcb4097134ff3c332f>
    <TaxCatchAll xmlns="be71ce3a-ef61-410b-aae3-59cf01e8169d"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FC272AC-4A43-430F-AA29-92757FD38EE0}">
  <ds:schemaRefs>
    <ds:schemaRef ds:uri="http://schemas.openxmlformats.org/officeDocument/2006/bibliography"/>
  </ds:schemaRefs>
</ds:datastoreItem>
</file>

<file path=customXml/itemProps3.xml><?xml version="1.0" encoding="utf-8"?>
<ds:datastoreItem xmlns:ds="http://schemas.openxmlformats.org/officeDocument/2006/customXml" ds:itemID="{8D1D349D-22E7-46B5-8238-4A8BE42FA969}"/>
</file>

<file path=customXml/itemProps4.xml><?xml version="1.0" encoding="utf-8"?>
<ds:datastoreItem xmlns:ds="http://schemas.openxmlformats.org/officeDocument/2006/customXml" ds:itemID="{19687BDF-DC2B-4F01-AF0E-FF0709B8CF73}"/>
</file>

<file path=customXml/itemProps5.xml><?xml version="1.0" encoding="utf-8"?>
<ds:datastoreItem xmlns:ds="http://schemas.openxmlformats.org/officeDocument/2006/customXml" ds:itemID="{A700E152-E781-4B5B-997E-69760CEF9335}"/>
</file>

<file path=docProps/app.xml><?xml version="1.0" encoding="utf-8"?>
<Properties xmlns="http://schemas.openxmlformats.org/officeDocument/2006/extended-properties" xmlns:vt="http://schemas.openxmlformats.org/officeDocument/2006/docPropsVTypes">
  <Template>Normal.dotm</Template>
  <TotalTime>1</TotalTime>
  <Pages>8</Pages>
  <Words>1908</Words>
  <Characters>10880</Characters>
  <Application>Microsoft Office Word</Application>
  <DocSecurity>4</DocSecurity>
  <Lines>90</Lines>
  <Paragraphs>25</Paragraphs>
  <ScaleCrop>false</ScaleCrop>
  <HeadingPairs>
    <vt:vector size="2" baseType="variant">
      <vt:variant>
        <vt:lpstr>Title</vt:lpstr>
      </vt:variant>
      <vt:variant>
        <vt:i4>1</vt:i4>
      </vt:variant>
    </vt:vector>
  </HeadingPairs>
  <TitlesOfParts>
    <vt:vector size="1" baseType="lpstr">
      <vt:lpstr>Orange County Community health Assessment and Improvement PLAN EXECUTIVE Summary 2022-2024</vt:lpstr>
    </vt:vector>
  </TitlesOfParts>
  <Company>Orange County Government</Company>
  <LinksUpToDate>false</LinksUpToDate>
  <CharactersWithSpaces>12763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Orange County Community health Assessment and Improvement PLAN EXECUTIVE Summary 2022-2024</dc:title>
  <dc:subject/>
  <dc:creator>Matthews, Hannah</dc:creator>
  <cp:keywords/>
  <dc:description/>
  <cp:lastModifiedBy>Lawler, Jacqueline</cp:lastModifiedBy>
  <cp:revision>2</cp:revision>
  <dcterms:created xsi:type="dcterms:W3CDTF">2026-06-30T14:31:00Z</dcterms:created>
  <dcterms:modified xsi:type="dcterms:W3CDTF">2026-06-30T14:31:00Z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0x0101005E06BBCF48891B4AA000B842D02367CE</vt:lpwstr>
  </property>
</Properties>
</file>