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CDC SHARE IT Act Automation – Execution Architecture</w:t>
      </w:r>
    </w:p>
    <w:p>
      <w:pPr>
        <w:pStyle w:val="Heading1"/>
      </w:pPr>
      <w:r>
        <w:t>✅ Solution Execution Model</w:t>
      </w:r>
    </w:p>
    <w:p>
      <w:r>
        <w:t>The automation is designed to run from a secure server (internal or cloud-hosted) and use remote API access to collect metadata from multiple code repository systems maintained at CDC.</w:t>
      </w:r>
    </w:p>
    <w:p>
      <w:pPr>
        <w:pStyle w:val="Heading1"/>
      </w:pPr>
      <w:r>
        <w:t>🔁 How It Works</w:t>
      </w:r>
    </w:p>
    <w:p>
      <w:r>
        <w:t>1. Scheduled or Triggered Execution:</w:t>
        <w:br/>
        <w:t xml:space="preserve">   - A script, cron job, or CI/CD pipeline runs periodically (e.g., daily or weekly).</w:t>
        <w:br/>
        <w:br/>
        <w:t>2. Environment Loads Config &amp; Credentials:</w:t>
        <w:br/>
        <w:t xml:space="preserve">   - Loads `.env` and `config.yaml` at runtime for API tokens and settings.</w:t>
        <w:br/>
        <w:br/>
        <w:t>3. Each Client Connects via API:</w:t>
        <w:br/>
        <w:t xml:space="preserve">   - GitHub, GitLab, Bitbucket, and TFS are queried using their official REST APIs.</w:t>
        <w:br/>
        <w:br/>
        <w:t>4. Metadata Normalization:</w:t>
        <w:br/>
        <w:t xml:space="preserve">   - Data is extracted and transformed into a common structure (name, URL, usageType, etc.).</w:t>
        <w:br/>
        <w:br/>
        <w:t>5. code.json Generation:</w:t>
        <w:br/>
        <w:t xml:space="preserve">   - All repository metadata is aggregated into a single `code.json` per the code.gov schema.</w:t>
        <w:br/>
        <w:br/>
        <w:t>6. Publishing:</w:t>
        <w:br/>
        <w:t xml:space="preserve">   - The resulting file is copied to the public-facing web server at CDC (e.g., `/var/www/html/code.json`).</w:t>
      </w:r>
    </w:p>
    <w:p>
      <w:pPr>
        <w:pStyle w:val="Heading1"/>
      </w:pPr>
      <w:r>
        <w:t>🛡️ Security &amp; Network Assumptions</w:t>
      </w:r>
    </w:p>
    <w:p>
      <w:r>
        <w:t>- The execution server must have network access to the GitHub, GitLab, Bitbucket, and TFS endpoints.</w:t>
        <w:br/>
        <w:t>- Authentication is done using Personal Access Tokens (PATs), loaded securely from environment variables.</w:t>
        <w:br/>
        <w:t>- The solution requires read-only API access and never modifies source code.</w:t>
        <w:br/>
        <w:t>- Secrets and credentials are not stored in code — `.env` and Azure DevOps secrets are used.</w:t>
      </w:r>
    </w:p>
    <w:p>
      <w:pPr>
        <w:pStyle w:val="Heading1"/>
      </w:pPr>
      <w:r>
        <w:t>🧩 Suggested Execution Environments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Benefit</w:t>
            </w:r>
          </w:p>
        </w:tc>
      </w:tr>
      <w:tr>
        <w:tc>
          <w:tcPr>
            <w:tcW w:type="dxa" w:w="4320"/>
          </w:tcPr>
          <w:p>
            <w:r>
              <w:t>Internal CDC Linux Server</w:t>
            </w:r>
          </w:p>
        </w:tc>
        <w:tc>
          <w:tcPr>
            <w:tcW w:type="dxa" w:w="4320"/>
          </w:tcPr>
          <w:p>
            <w:r>
              <w:t>Secure, controlled, direct network access to on-prem systems.</w:t>
            </w:r>
          </w:p>
        </w:tc>
      </w:tr>
      <w:tr>
        <w:tc>
          <w:tcPr>
            <w:tcW w:type="dxa" w:w="4320"/>
          </w:tcPr>
          <w:p>
            <w:r>
              <w:t>Azure-hosted VM</w:t>
            </w:r>
          </w:p>
        </w:tc>
        <w:tc>
          <w:tcPr>
            <w:tcW w:type="dxa" w:w="4320"/>
          </w:tcPr>
          <w:p>
            <w:r>
              <w:t>Good for cloud-based scheduling and integration with Azure DevOps.</w:t>
            </w:r>
          </w:p>
        </w:tc>
      </w:tr>
      <w:tr>
        <w:tc>
          <w:tcPr>
            <w:tcW w:type="dxa" w:w="4320"/>
          </w:tcPr>
          <w:p>
            <w:r>
              <w:t>GitHub Actions or Bitbucket Pipelines</w:t>
            </w:r>
          </w:p>
        </w:tc>
        <w:tc>
          <w:tcPr>
            <w:tcW w:type="dxa" w:w="4320"/>
          </w:tcPr>
          <w:p>
            <w:r>
              <w:t>Only feasible if repositories are publicly accessible or credentials are scoped for API access across systems.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