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pPr>
    </w:p>
    <w:p>
      <w:pPr>
        <w:spacing w:before="0" w:after="80"/>
        <w:jc w:val="center"/>
      </w:pPr>
      <w:r>
        <w:rPr>
          <w:b/>
          <w:color w:val="0D2B4A"/>
          <w:sz w:val="52"/>
        </w:rPr>
        <w:t>LoopForgeLab</w:t>
      </w:r>
    </w:p>
    <w:p>
      <w:pPr>
        <w:spacing w:before="0" w:after="80"/>
        <w:jc w:val="center"/>
      </w:pPr>
      <w:r>
        <w:rPr>
          <w:b/>
          <w:color w:val="1A5F8A"/>
          <w:sz w:val="36"/>
        </w:rPr>
        <w:t>Competitive Intelligence Report</w:t>
      </w:r>
    </w:p>
    <w:p>
      <w:pPr>
        <w:spacing w:before="0" w:after="120"/>
        <w:jc w:val="center"/>
      </w:pPr>
      <w:r>
        <w:rPr>
          <w:b w:val="0"/>
          <w:color w:val="00A8CC"/>
          <w:sz w:val="24"/>
        </w:rPr>
        <w:t>Market &amp; Competitive Analysis  ·  Focus: Sales &amp; Quotes</w:t>
      </w:r>
    </w:p>
    <w:p>
      <w:pPr>
        <w:spacing w:before="0" w:after="40"/>
        <w:jc w:val="center"/>
      </w:pPr>
      <w:r>
        <w:rPr>
          <w:b w:val="0"/>
          <w:color w:val="808090"/>
          <w:sz w:val="18"/>
        </w:rPr>
        <w:t>Database: Competitive Intelligence DB v1.7  |  Date: March 2026</w:t>
      </w:r>
    </w:p>
    <w:p>
      <w:pPr>
        <w:spacing w:before="0" w:after="40"/>
        <w:jc w:val="center"/>
      </w:pPr>
      <w:r>
        <w:rPr>
          <w:b w:val="0"/>
          <w:color w:val="808090"/>
          <w:sz w:val="18"/>
        </w:rPr>
        <w:t>Prepared for: LoopForgeLab GbR · Berlin</w:t>
      </w:r>
    </w:p>
    <w:p>
      <w:r>
        <w:br w:type="page"/>
      </w:r>
    </w:p>
    <w:p>
      <w:pPr>
        <w:pStyle w:val="Heading1"/>
        <w:spacing w:before="200" w:after="80"/>
      </w:pPr>
      <w:r>
        <w:rPr>
          <w:color w:val="0D2B4A"/>
          <w:sz w:val="28"/>
        </w:rPr>
        <w:t>1  Executive Summary &amp; Market Overview</w:t>
      </w:r>
    </w:p>
    <w:p>
      <w:pPr>
        <w:spacing w:before="0" w:after="100"/>
      </w:pPr>
      <w:r>
        <w:rPr>
          <w:b w:val="0"/>
          <w:color w:val="1A1A2E"/>
          <w:sz w:val="20"/>
        </w:rPr>
        <w:t>This Competitive Intelligence Report analyses the competitive landscape for LoopForgeLab — a Berlin-based deep-tech start-up building an AI-powered Product Intelligence Engine for mechanical product development. The database covers version 1.7 of the internal CI database, built on 44 qualitative expert interviews and systematic market research.</w:t>
      </w:r>
    </w:p>
    <w:p>
      <w:pPr>
        <w:pStyle w:val="Heading2"/>
        <w:spacing w:before="160" w:after="60"/>
      </w:pPr>
      <w:r>
        <w:rPr>
          <w:color w:val="1A5F8A"/>
          <w:sz w:val="22"/>
        </w:rPr>
        <w:t>Database at a Glance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0D2B4A"/>
          </w:tcPr>
          <w:p>
            <w:pPr>
              <w:jc w:val="center"/>
            </w:pPr>
            <w:r>
              <w:rPr>
                <w:b/>
                <w:color w:val="FFFFFF"/>
                <w:sz w:val="18"/>
              </w:rPr>
              <w:t>Unique Companies</w:t>
            </w:r>
          </w:p>
        </w:tc>
        <w:tc>
          <w:tcPr>
            <w:tcW w:type="dxa" w:w="2379"/>
            <w:shd w:val="clear" w:color="auto" w:fill="0D2B4A"/>
          </w:tcPr>
          <w:p>
            <w:pPr>
              <w:jc w:val="center"/>
            </w:pPr>
            <w:r>
              <w:rPr>
                <w:b/>
                <w:color w:val="FFFFFF"/>
                <w:sz w:val="18"/>
              </w:rPr>
              <w:t>Products / Solutions</w:t>
            </w:r>
          </w:p>
        </w:tc>
        <w:tc>
          <w:tcPr>
            <w:tcW w:type="dxa" w:w="2379"/>
            <w:shd w:val="clear" w:color="auto" w:fill="0D2B4A"/>
          </w:tcPr>
          <w:p>
            <w:pPr>
              <w:jc w:val="center"/>
            </w:pPr>
            <w:r>
              <w:rPr>
                <w:b/>
                <w:color w:val="FFFFFF"/>
                <w:sz w:val="18"/>
              </w:rPr>
              <w:t>Large Enterprises</w:t>
            </w:r>
          </w:p>
        </w:tc>
        <w:tc>
          <w:tcPr>
            <w:tcW w:type="dxa" w:w="2379"/>
            <w:shd w:val="clear" w:color="auto" w:fill="0D2B4A"/>
          </w:tcPr>
          <w:p>
            <w:pPr>
              <w:jc w:val="center"/>
            </w:pPr>
            <w:r>
              <w:rPr>
                <w:b/>
                <w:color w:val="FFFFFF"/>
                <w:sz w:val="18"/>
              </w:rPr>
              <w:t>Start-ups</w:t>
            </w:r>
          </w:p>
        </w:tc>
      </w:tr>
      <w:tr>
        <w:tc>
          <w:tcPr>
            <w:tcW w:type="dxa" w:w="2379"/>
            <w:shd w:val="clear" w:color="auto" w:fill="E8F4F8"/>
          </w:tcPr>
          <w:p>
            <w:pPr>
              <w:jc w:val="center"/>
            </w:pPr>
            <w:r>
              <w:rPr>
                <w:b/>
                <w:color w:val="0D2B4A"/>
                <w:sz w:val="26"/>
              </w:rPr>
              <w:t>371</w:t>
            </w:r>
          </w:p>
        </w:tc>
        <w:tc>
          <w:tcPr>
            <w:tcW w:type="dxa" w:w="2379"/>
            <w:shd w:val="clear" w:color="auto" w:fill="E8F4F8"/>
          </w:tcPr>
          <w:p>
            <w:pPr>
              <w:jc w:val="center"/>
            </w:pPr>
            <w:r>
              <w:rPr>
                <w:b/>
                <w:color w:val="0D2B4A"/>
                <w:sz w:val="26"/>
              </w:rPr>
              <w:t>541</w:t>
            </w:r>
          </w:p>
        </w:tc>
        <w:tc>
          <w:tcPr>
            <w:tcW w:type="dxa" w:w="2379"/>
            <w:shd w:val="clear" w:color="auto" w:fill="E8F4F8"/>
          </w:tcPr>
          <w:p>
            <w:pPr>
              <w:jc w:val="center"/>
            </w:pPr>
            <w:r>
              <w:rPr>
                <w:b/>
                <w:color w:val="0D2B4A"/>
                <w:sz w:val="26"/>
              </w:rPr>
              <w:t>76  (20 %)</w:t>
            </w:r>
          </w:p>
        </w:tc>
        <w:tc>
          <w:tcPr>
            <w:tcW w:type="dxa" w:w="2379"/>
            <w:shd w:val="clear" w:color="auto" w:fill="E8F4F8"/>
          </w:tcPr>
          <w:p>
            <w:pPr>
              <w:jc w:val="center"/>
            </w:pPr>
            <w:r>
              <w:rPr>
                <w:b/>
                <w:color w:val="0D2B4A"/>
                <w:sz w:val="26"/>
              </w:rPr>
              <w:t>295  (80 %)</w:t>
            </w:r>
          </w:p>
        </w:tc>
      </w:tr>
    </w:tbl>
    <w:p>
      <w:pPr>
        <w:spacing w:before="0" w:after="100"/>
      </w:pPr>
    </w:p>
    <w:p>
      <w:pPr>
        <w:pStyle w:val="Heading2"/>
        <w:spacing w:before="160" w:after="60"/>
      </w:pPr>
      <w:r>
        <w:rPr>
          <w:color w:val="1A5F8A"/>
          <w:sz w:val="22"/>
        </w:rPr>
        <w:t>Market Split by Category</w:t>
      </w:r>
    </w:p>
    <w:tbl>
      <w:tblPr>
        <w:tblStyle w:val="TableGrid"/>
        <w:tblW w:type="auto" w:w="0"/>
        <w:jc w:val="center"/>
        <w:tblLook w:firstColumn="1" w:firstRow="1" w:lastColumn="0" w:lastRow="0" w:noHBand="0" w:noVBand="1" w:val="04A0"/>
      </w:tblPr>
      <w:tblGrid>
        <w:gridCol w:w="1058"/>
        <w:gridCol w:w="1058"/>
        <w:gridCol w:w="1058"/>
        <w:gridCol w:w="1058"/>
        <w:gridCol w:w="1058"/>
        <w:gridCol w:w="1058"/>
        <w:gridCol w:w="1058"/>
        <w:gridCol w:w="1058"/>
        <w:gridCol w:w="1058"/>
      </w:tblGrid>
      <w:tr>
        <w:tc>
          <w:tcPr>
            <w:tcW w:type="dxa" w:w="1928"/>
            <w:shd w:val="clear" w:color="auto" w:fill="0D2B4A"/>
          </w:tcPr>
          <w:p>
            <w:pPr>
              <w:jc w:val="center"/>
            </w:pPr>
            <w:r>
              <w:rPr>
                <w:b/>
                <w:color w:val="FFFFFF"/>
                <w:sz w:val="16"/>
              </w:rPr>
              <w:t>Category</w:t>
            </w:r>
          </w:p>
        </w:tc>
        <w:tc>
          <w:tcPr>
            <w:tcW w:type="dxa" w:w="624"/>
            <w:shd w:val="clear" w:color="auto" w:fill="0D2B4A"/>
          </w:tcPr>
          <w:p>
            <w:pPr>
              <w:jc w:val="center"/>
            </w:pPr>
            <w:r>
              <w:rPr>
                <w:b/>
                <w:color w:val="FFFFFF"/>
                <w:sz w:val="16"/>
              </w:rPr>
              <w:t># Co.</w:t>
            </w:r>
          </w:p>
        </w:tc>
        <w:tc>
          <w:tcPr>
            <w:tcW w:type="dxa" w:w="680"/>
            <w:shd w:val="clear" w:color="auto" w:fill="0D2B4A"/>
          </w:tcPr>
          <w:p>
            <w:pPr>
              <w:jc w:val="center"/>
            </w:pPr>
            <w:r>
              <w:rPr>
                <w:b/>
                <w:color w:val="FFFFFF"/>
                <w:sz w:val="16"/>
              </w:rPr>
              <w:t>Share</w:t>
            </w:r>
          </w:p>
        </w:tc>
        <w:tc>
          <w:tcPr>
            <w:tcW w:type="dxa" w:w="680"/>
            <w:shd w:val="clear" w:color="auto" w:fill="0D2B4A"/>
          </w:tcPr>
          <w:p>
            <w:pPr>
              <w:jc w:val="center"/>
            </w:pPr>
            <w:r>
              <w:rPr>
                <w:b/>
                <w:color w:val="FFFFFF"/>
                <w:sz w:val="16"/>
              </w:rPr>
              <w:t># Prod.</w:t>
            </w:r>
          </w:p>
        </w:tc>
        <w:tc>
          <w:tcPr>
            <w:tcW w:type="dxa" w:w="680"/>
            <w:shd w:val="clear" w:color="auto" w:fill="0D2B4A"/>
          </w:tcPr>
          <w:p>
            <w:pPr>
              <w:jc w:val="center"/>
            </w:pPr>
            <w:r>
              <w:rPr>
                <w:b/>
                <w:color w:val="FFFFFF"/>
                <w:sz w:val="16"/>
              </w:rPr>
              <w:t>Share</w:t>
            </w:r>
          </w:p>
        </w:tc>
        <w:tc>
          <w:tcPr>
            <w:tcW w:type="dxa" w:w="680"/>
            <w:shd w:val="clear" w:color="auto" w:fill="0D2B4A"/>
          </w:tcPr>
          <w:p>
            <w:pPr>
              <w:jc w:val="center"/>
            </w:pPr>
            <w:r>
              <w:rPr>
                <w:b/>
                <w:color w:val="FFFFFF"/>
                <w:sz w:val="16"/>
              </w:rPr>
              <w:t># Large</w:t>
            </w:r>
          </w:p>
        </w:tc>
        <w:tc>
          <w:tcPr>
            <w:tcW w:type="dxa" w:w="794"/>
            <w:shd w:val="clear" w:color="auto" w:fill="0D2B4A"/>
          </w:tcPr>
          <w:p>
            <w:pPr>
              <w:jc w:val="center"/>
            </w:pPr>
            <w:r>
              <w:rPr>
                <w:b/>
                <w:color w:val="FFFFFF"/>
                <w:sz w:val="16"/>
              </w:rPr>
              <w:t># Startup</w:t>
            </w:r>
          </w:p>
        </w:tc>
        <w:tc>
          <w:tcPr>
            <w:tcW w:type="dxa" w:w="794"/>
            <w:shd w:val="clear" w:color="auto" w:fill="0D2B4A"/>
          </w:tcPr>
          <w:p>
            <w:pPr>
              <w:jc w:val="center"/>
            </w:pPr>
            <w:r>
              <w:rPr>
                <w:b/>
                <w:color w:val="FFFFFF"/>
                <w:sz w:val="16"/>
              </w:rPr>
              <w:t>Startup%</w:t>
            </w:r>
          </w:p>
        </w:tc>
        <w:tc>
          <w:tcPr>
            <w:tcW w:type="dxa" w:w="3061"/>
            <w:shd w:val="clear" w:color="auto" w:fill="0D2B4A"/>
          </w:tcPr>
          <w:p>
            <w:pPr>
              <w:jc w:val="center"/>
            </w:pPr>
            <w:r>
              <w:rPr>
                <w:b/>
                <w:color w:val="FFFFFF"/>
                <w:sz w:val="16"/>
              </w:rPr>
              <w:t>Focus Areas</w:t>
            </w:r>
          </w:p>
        </w:tc>
      </w:tr>
      <w:tr>
        <w:tc>
          <w:tcPr>
            <w:tcW w:type="dxa" w:w="1058"/>
            <w:shd w:val="clear" w:color="auto" w:fill="FFFFFF"/>
          </w:tcPr>
          <w:p>
            <w:r>
              <w:rPr>
                <w:b w:val="0"/>
                <w:sz w:val="16"/>
              </w:rPr>
              <w:t>Engineering</w:t>
            </w:r>
          </w:p>
        </w:tc>
        <w:tc>
          <w:tcPr>
            <w:tcW w:type="dxa" w:w="1058"/>
            <w:shd w:val="clear" w:color="auto" w:fill="FFFFFF"/>
          </w:tcPr>
          <w:p>
            <w:pPr>
              <w:jc w:val="center"/>
            </w:pPr>
            <w:r>
              <w:rPr>
                <w:b w:val="0"/>
                <w:sz w:val="16"/>
              </w:rPr>
              <w:t>270</w:t>
            </w:r>
          </w:p>
        </w:tc>
        <w:tc>
          <w:tcPr>
            <w:tcW w:type="dxa" w:w="1058"/>
            <w:shd w:val="clear" w:color="auto" w:fill="FFFFFF"/>
          </w:tcPr>
          <w:p>
            <w:pPr>
              <w:jc w:val="center"/>
            </w:pPr>
            <w:r>
              <w:rPr>
                <w:b w:val="0"/>
                <w:sz w:val="16"/>
              </w:rPr>
              <w:t>72.8%</w:t>
            </w:r>
          </w:p>
        </w:tc>
        <w:tc>
          <w:tcPr>
            <w:tcW w:type="dxa" w:w="1058"/>
            <w:shd w:val="clear" w:color="auto" w:fill="FFFFFF"/>
          </w:tcPr>
          <w:p>
            <w:pPr>
              <w:jc w:val="center"/>
            </w:pPr>
            <w:r>
              <w:rPr>
                <w:b w:val="0"/>
                <w:sz w:val="16"/>
              </w:rPr>
              <w:t>380</w:t>
            </w:r>
          </w:p>
        </w:tc>
        <w:tc>
          <w:tcPr>
            <w:tcW w:type="dxa" w:w="1058"/>
            <w:shd w:val="clear" w:color="auto" w:fill="FFFFFF"/>
          </w:tcPr>
          <w:p>
            <w:pPr>
              <w:jc w:val="center"/>
            </w:pPr>
            <w:r>
              <w:rPr>
                <w:b w:val="0"/>
                <w:sz w:val="16"/>
              </w:rPr>
              <w:t>70.2%</w:t>
            </w:r>
          </w:p>
        </w:tc>
        <w:tc>
          <w:tcPr>
            <w:tcW w:type="dxa" w:w="1058"/>
            <w:shd w:val="clear" w:color="auto" w:fill="FFFFFF"/>
          </w:tcPr>
          <w:p>
            <w:pPr>
              <w:jc w:val="center"/>
            </w:pPr>
            <w:r>
              <w:rPr>
                <w:b w:val="0"/>
                <w:sz w:val="16"/>
              </w:rPr>
              <w:t>54</w:t>
            </w:r>
          </w:p>
        </w:tc>
        <w:tc>
          <w:tcPr>
            <w:tcW w:type="dxa" w:w="1058"/>
            <w:shd w:val="clear" w:color="auto" w:fill="FFFFFF"/>
          </w:tcPr>
          <w:p>
            <w:pPr>
              <w:jc w:val="center"/>
            </w:pPr>
            <w:r>
              <w:rPr>
                <w:b w:val="0"/>
                <w:sz w:val="16"/>
              </w:rPr>
              <w:t>216</w:t>
            </w:r>
          </w:p>
        </w:tc>
        <w:tc>
          <w:tcPr>
            <w:tcW w:type="dxa" w:w="1058"/>
            <w:shd w:val="clear" w:color="auto" w:fill="FFFFFF"/>
          </w:tcPr>
          <w:p>
            <w:pPr>
              <w:jc w:val="center"/>
            </w:pPr>
            <w:r>
              <w:rPr>
                <w:b w:val="0"/>
                <w:sz w:val="16"/>
              </w:rPr>
              <w:t>80%</w:t>
            </w:r>
          </w:p>
        </w:tc>
        <w:tc>
          <w:tcPr>
            <w:tcW w:type="dxa" w:w="1058"/>
            <w:shd w:val="clear" w:color="auto" w:fill="FFFFFF"/>
          </w:tcPr>
          <w:p>
            <w:r>
              <w:rPr>
                <w:b w:val="0"/>
                <w:sz w:val="16"/>
              </w:rPr>
              <w:t>Factory Intelligence &amp; IoT, BIM &amp; Construction,</w:t>
              <w:br/>
              <w:t>Engineering Copilots &amp; AI Assistants, Generative Design</w:t>
            </w:r>
          </w:p>
        </w:tc>
      </w:tr>
      <w:tr>
        <w:tc>
          <w:tcPr>
            <w:tcW w:type="dxa" w:w="1058"/>
            <w:shd w:val="clear" w:color="auto" w:fill="F2F5F8"/>
          </w:tcPr>
          <w:p>
            <w:r>
              <w:rPr>
                <w:b w:val="0"/>
                <w:sz w:val="16"/>
              </w:rPr>
              <w:t>Data &amp; Requirements Mgmt</w:t>
            </w:r>
          </w:p>
        </w:tc>
        <w:tc>
          <w:tcPr>
            <w:tcW w:type="dxa" w:w="1058"/>
            <w:shd w:val="clear" w:color="auto" w:fill="F2F5F8"/>
          </w:tcPr>
          <w:p>
            <w:pPr>
              <w:jc w:val="center"/>
            </w:pPr>
            <w:r>
              <w:rPr>
                <w:b w:val="0"/>
                <w:sz w:val="16"/>
              </w:rPr>
              <w:t>40</w:t>
            </w:r>
          </w:p>
        </w:tc>
        <w:tc>
          <w:tcPr>
            <w:tcW w:type="dxa" w:w="1058"/>
            <w:shd w:val="clear" w:color="auto" w:fill="F2F5F8"/>
          </w:tcPr>
          <w:p>
            <w:pPr>
              <w:jc w:val="center"/>
            </w:pPr>
            <w:r>
              <w:rPr>
                <w:b w:val="0"/>
                <w:sz w:val="16"/>
              </w:rPr>
              <w:t>10.8%</w:t>
            </w:r>
          </w:p>
        </w:tc>
        <w:tc>
          <w:tcPr>
            <w:tcW w:type="dxa" w:w="1058"/>
            <w:shd w:val="clear" w:color="auto" w:fill="F2F5F8"/>
          </w:tcPr>
          <w:p>
            <w:pPr>
              <w:jc w:val="center"/>
            </w:pPr>
            <w:r>
              <w:rPr>
                <w:b w:val="0"/>
                <w:sz w:val="16"/>
              </w:rPr>
              <w:t>65</w:t>
            </w:r>
          </w:p>
        </w:tc>
        <w:tc>
          <w:tcPr>
            <w:tcW w:type="dxa" w:w="1058"/>
            <w:shd w:val="clear" w:color="auto" w:fill="F2F5F8"/>
          </w:tcPr>
          <w:p>
            <w:pPr>
              <w:jc w:val="center"/>
            </w:pPr>
            <w:r>
              <w:rPr>
                <w:b w:val="0"/>
                <w:sz w:val="16"/>
              </w:rPr>
              <w:t>12.0%</w:t>
            </w:r>
          </w:p>
        </w:tc>
        <w:tc>
          <w:tcPr>
            <w:tcW w:type="dxa" w:w="1058"/>
            <w:shd w:val="clear" w:color="auto" w:fill="F2F5F8"/>
          </w:tcPr>
          <w:p>
            <w:pPr>
              <w:jc w:val="center"/>
            </w:pPr>
            <w:r>
              <w:rPr>
                <w:b w:val="0"/>
                <w:sz w:val="16"/>
              </w:rPr>
              <w:t>7</w:t>
            </w:r>
          </w:p>
        </w:tc>
        <w:tc>
          <w:tcPr>
            <w:tcW w:type="dxa" w:w="1058"/>
            <w:shd w:val="clear" w:color="auto" w:fill="F2F5F8"/>
          </w:tcPr>
          <w:p>
            <w:pPr>
              <w:jc w:val="center"/>
            </w:pPr>
            <w:r>
              <w:rPr>
                <w:b w:val="0"/>
                <w:sz w:val="16"/>
              </w:rPr>
              <w:t>33</w:t>
            </w:r>
          </w:p>
        </w:tc>
        <w:tc>
          <w:tcPr>
            <w:tcW w:type="dxa" w:w="1058"/>
            <w:shd w:val="clear" w:color="auto" w:fill="F2F5F8"/>
          </w:tcPr>
          <w:p>
            <w:pPr>
              <w:jc w:val="center"/>
            </w:pPr>
            <w:r>
              <w:rPr>
                <w:b w:val="0"/>
                <w:sz w:val="16"/>
              </w:rPr>
              <w:t>82%</w:t>
            </w:r>
          </w:p>
        </w:tc>
        <w:tc>
          <w:tcPr>
            <w:tcW w:type="dxa" w:w="1058"/>
            <w:shd w:val="clear" w:color="auto" w:fill="F2F5F8"/>
          </w:tcPr>
          <w:p>
            <w:r>
              <w:rPr>
                <w:b w:val="0"/>
                <w:sz w:val="16"/>
              </w:rPr>
              <w:t>MBSE &amp; Systems Engineering, PLM &amp; PDM Platforms,</w:t>
              <w:br/>
              <w:t>Engineering Collaboration, CAD &amp; Modeling</w:t>
            </w:r>
          </w:p>
        </w:tc>
      </w:tr>
      <w:tr>
        <w:tc>
          <w:tcPr>
            <w:tcW w:type="dxa" w:w="1058"/>
            <w:shd w:val="clear" w:color="auto" w:fill="FFFFFF"/>
          </w:tcPr>
          <w:p>
            <w:r>
              <w:rPr>
                <w:b w:val="0"/>
                <w:sz w:val="16"/>
              </w:rPr>
              <w:t>Sales &amp; Quotes</w:t>
            </w:r>
          </w:p>
        </w:tc>
        <w:tc>
          <w:tcPr>
            <w:tcW w:type="dxa" w:w="1058"/>
            <w:shd w:val="clear" w:color="auto" w:fill="FFFFFF"/>
          </w:tcPr>
          <w:p>
            <w:pPr>
              <w:jc w:val="center"/>
            </w:pPr>
            <w:r>
              <w:rPr>
                <w:b w:val="0"/>
                <w:sz w:val="16"/>
              </w:rPr>
              <w:t>35</w:t>
            </w:r>
          </w:p>
        </w:tc>
        <w:tc>
          <w:tcPr>
            <w:tcW w:type="dxa" w:w="1058"/>
            <w:shd w:val="clear" w:color="auto" w:fill="FFFFFF"/>
          </w:tcPr>
          <w:p>
            <w:pPr>
              <w:jc w:val="center"/>
            </w:pPr>
            <w:r>
              <w:rPr>
                <w:b w:val="0"/>
                <w:sz w:val="16"/>
              </w:rPr>
              <w:t>9.4%</w:t>
            </w:r>
          </w:p>
        </w:tc>
        <w:tc>
          <w:tcPr>
            <w:tcW w:type="dxa" w:w="1058"/>
            <w:shd w:val="clear" w:color="auto" w:fill="FFFFFF"/>
          </w:tcPr>
          <w:p>
            <w:pPr>
              <w:jc w:val="center"/>
            </w:pPr>
            <w:r>
              <w:rPr>
                <w:b w:val="0"/>
                <w:sz w:val="16"/>
              </w:rPr>
              <w:t>39</w:t>
            </w:r>
          </w:p>
        </w:tc>
        <w:tc>
          <w:tcPr>
            <w:tcW w:type="dxa" w:w="1058"/>
            <w:shd w:val="clear" w:color="auto" w:fill="FFFFFF"/>
          </w:tcPr>
          <w:p>
            <w:pPr>
              <w:jc w:val="center"/>
            </w:pPr>
            <w:r>
              <w:rPr>
                <w:b w:val="0"/>
                <w:sz w:val="16"/>
              </w:rPr>
              <w:t>7.2%</w:t>
            </w:r>
          </w:p>
        </w:tc>
        <w:tc>
          <w:tcPr>
            <w:tcW w:type="dxa" w:w="1058"/>
            <w:shd w:val="clear" w:color="auto" w:fill="FFFFFF"/>
          </w:tcPr>
          <w:p>
            <w:pPr>
              <w:jc w:val="center"/>
            </w:pPr>
            <w:r>
              <w:rPr>
                <w:b w:val="0"/>
                <w:sz w:val="16"/>
              </w:rPr>
              <w:t>13</w:t>
            </w:r>
          </w:p>
        </w:tc>
        <w:tc>
          <w:tcPr>
            <w:tcW w:type="dxa" w:w="1058"/>
            <w:shd w:val="clear" w:color="auto" w:fill="FFFFFF"/>
          </w:tcPr>
          <w:p>
            <w:pPr>
              <w:jc w:val="center"/>
            </w:pPr>
            <w:r>
              <w:rPr>
                <w:b w:val="0"/>
                <w:sz w:val="16"/>
              </w:rPr>
              <w:t>22</w:t>
            </w:r>
          </w:p>
        </w:tc>
        <w:tc>
          <w:tcPr>
            <w:tcW w:type="dxa" w:w="1058"/>
            <w:shd w:val="clear" w:color="auto" w:fill="FFFFFF"/>
          </w:tcPr>
          <w:p>
            <w:pPr>
              <w:jc w:val="center"/>
            </w:pPr>
            <w:r>
              <w:rPr>
                <w:b w:val="0"/>
                <w:sz w:val="16"/>
              </w:rPr>
              <w:t>63%</w:t>
            </w:r>
          </w:p>
        </w:tc>
        <w:tc>
          <w:tcPr>
            <w:tcW w:type="dxa" w:w="1058"/>
            <w:shd w:val="clear" w:color="auto" w:fill="FFFFFF"/>
          </w:tcPr>
          <w:p>
            <w:r>
              <w:rPr>
                <w:b w:val="0"/>
                <w:sz w:val="16"/>
              </w:rPr>
              <w:t>Supply Chain &amp; Procurement, CPQ, RfP/RfQ Mgmt,</w:t>
              <w:br/>
              <w:t>E-Sourcing, Supply Chain Planning</w:t>
            </w:r>
          </w:p>
        </w:tc>
      </w:tr>
      <w:tr>
        <w:tc>
          <w:tcPr>
            <w:tcW w:type="dxa" w:w="1058"/>
            <w:shd w:val="clear" w:color="auto" w:fill="F2F5F8"/>
          </w:tcPr>
          <w:p>
            <w:r>
              <w:rPr>
                <w:b w:val="0"/>
                <w:sz w:val="16"/>
              </w:rPr>
              <w:t>Sustainability</w:t>
            </w:r>
          </w:p>
        </w:tc>
        <w:tc>
          <w:tcPr>
            <w:tcW w:type="dxa" w:w="1058"/>
            <w:shd w:val="clear" w:color="auto" w:fill="F2F5F8"/>
          </w:tcPr>
          <w:p>
            <w:pPr>
              <w:jc w:val="center"/>
            </w:pPr>
            <w:r>
              <w:rPr>
                <w:b w:val="0"/>
                <w:sz w:val="16"/>
              </w:rPr>
              <w:t>26</w:t>
            </w:r>
          </w:p>
        </w:tc>
        <w:tc>
          <w:tcPr>
            <w:tcW w:type="dxa" w:w="1058"/>
            <w:shd w:val="clear" w:color="auto" w:fill="F2F5F8"/>
          </w:tcPr>
          <w:p>
            <w:pPr>
              <w:jc w:val="center"/>
            </w:pPr>
            <w:r>
              <w:rPr>
                <w:b w:val="0"/>
                <w:sz w:val="16"/>
              </w:rPr>
              <w:t>7.0%</w:t>
            </w:r>
          </w:p>
        </w:tc>
        <w:tc>
          <w:tcPr>
            <w:tcW w:type="dxa" w:w="1058"/>
            <w:shd w:val="clear" w:color="auto" w:fill="F2F5F8"/>
          </w:tcPr>
          <w:p>
            <w:pPr>
              <w:jc w:val="center"/>
            </w:pPr>
            <w:r>
              <w:rPr>
                <w:b w:val="0"/>
                <w:sz w:val="16"/>
              </w:rPr>
              <w:t>57</w:t>
            </w:r>
          </w:p>
        </w:tc>
        <w:tc>
          <w:tcPr>
            <w:tcW w:type="dxa" w:w="1058"/>
            <w:shd w:val="clear" w:color="auto" w:fill="F2F5F8"/>
          </w:tcPr>
          <w:p>
            <w:pPr>
              <w:jc w:val="center"/>
            </w:pPr>
            <w:r>
              <w:rPr>
                <w:b w:val="0"/>
                <w:sz w:val="16"/>
              </w:rPr>
              <w:t>10.5%</w:t>
            </w:r>
          </w:p>
        </w:tc>
        <w:tc>
          <w:tcPr>
            <w:tcW w:type="dxa" w:w="1058"/>
            <w:shd w:val="clear" w:color="auto" w:fill="F2F5F8"/>
          </w:tcPr>
          <w:p>
            <w:pPr>
              <w:jc w:val="center"/>
            </w:pPr>
            <w:r>
              <w:rPr>
                <w:b w:val="0"/>
                <w:sz w:val="16"/>
              </w:rPr>
              <w:t>2</w:t>
            </w:r>
          </w:p>
        </w:tc>
        <w:tc>
          <w:tcPr>
            <w:tcW w:type="dxa" w:w="1058"/>
            <w:shd w:val="clear" w:color="auto" w:fill="F2F5F8"/>
          </w:tcPr>
          <w:p>
            <w:pPr>
              <w:jc w:val="center"/>
            </w:pPr>
            <w:r>
              <w:rPr>
                <w:b w:val="0"/>
                <w:sz w:val="16"/>
              </w:rPr>
              <w:t>24</w:t>
            </w:r>
          </w:p>
        </w:tc>
        <w:tc>
          <w:tcPr>
            <w:tcW w:type="dxa" w:w="1058"/>
            <w:shd w:val="clear" w:color="auto" w:fill="F2F5F8"/>
          </w:tcPr>
          <w:p>
            <w:pPr>
              <w:jc w:val="center"/>
            </w:pPr>
            <w:r>
              <w:rPr>
                <w:b w:val="0"/>
                <w:sz w:val="16"/>
              </w:rPr>
              <w:t>92%</w:t>
            </w:r>
          </w:p>
        </w:tc>
        <w:tc>
          <w:tcPr>
            <w:tcW w:type="dxa" w:w="1058"/>
            <w:shd w:val="clear" w:color="auto" w:fill="F2F5F8"/>
          </w:tcPr>
          <w:p>
            <w:r>
              <w:rPr>
                <w:b w:val="0"/>
                <w:sz w:val="16"/>
              </w:rPr>
              <w:t>LCA Software &amp; Platforms, Carbon &amp; Eco-Design,</w:t>
              <w:br/>
              <w:t>Circular Economy, Regulatory &amp; Compliance (DPP)</w:t>
            </w:r>
          </w:p>
        </w:tc>
      </w:tr>
      <w:tr>
        <w:tc>
          <w:tcPr>
            <w:tcW w:type="dxa" w:w="1058"/>
            <w:shd w:val="clear" w:color="auto" w:fill="E8F4F8"/>
          </w:tcPr>
          <w:p>
            <w:r>
              <w:rPr>
                <w:b/>
                <w:color w:val="0D2B4A"/>
                <w:sz w:val="16"/>
              </w:rPr>
              <w:t>TOTAL</w:t>
            </w:r>
          </w:p>
        </w:tc>
        <w:tc>
          <w:tcPr>
            <w:tcW w:type="dxa" w:w="1058"/>
            <w:shd w:val="clear" w:color="auto" w:fill="E8F4F8"/>
          </w:tcPr>
          <w:p>
            <w:pPr>
              <w:jc w:val="center"/>
            </w:pPr>
            <w:r>
              <w:rPr>
                <w:b/>
                <w:color w:val="0D2B4A"/>
                <w:sz w:val="16"/>
              </w:rPr>
              <w:t>371</w:t>
            </w:r>
          </w:p>
        </w:tc>
        <w:tc>
          <w:tcPr>
            <w:tcW w:type="dxa" w:w="1058"/>
            <w:shd w:val="clear" w:color="auto" w:fill="E8F4F8"/>
          </w:tcPr>
          <w:p>
            <w:pPr>
              <w:jc w:val="center"/>
            </w:pPr>
            <w:r>
              <w:rPr>
                <w:b/>
                <w:color w:val="0D2B4A"/>
                <w:sz w:val="16"/>
              </w:rPr>
              <w:t>100%</w:t>
            </w:r>
          </w:p>
        </w:tc>
        <w:tc>
          <w:tcPr>
            <w:tcW w:type="dxa" w:w="1058"/>
            <w:shd w:val="clear" w:color="auto" w:fill="E8F4F8"/>
          </w:tcPr>
          <w:p>
            <w:pPr>
              <w:jc w:val="center"/>
            </w:pPr>
            <w:r>
              <w:rPr>
                <w:b/>
                <w:color w:val="0D2B4A"/>
                <w:sz w:val="16"/>
              </w:rPr>
              <w:t>541</w:t>
            </w:r>
          </w:p>
        </w:tc>
        <w:tc>
          <w:tcPr>
            <w:tcW w:type="dxa" w:w="1058"/>
            <w:shd w:val="clear" w:color="auto" w:fill="E8F4F8"/>
          </w:tcPr>
          <w:p>
            <w:pPr>
              <w:jc w:val="center"/>
            </w:pPr>
            <w:r>
              <w:rPr>
                <w:b/>
                <w:color w:val="0D2B4A"/>
                <w:sz w:val="16"/>
              </w:rPr>
              <w:t>100%</w:t>
            </w:r>
          </w:p>
        </w:tc>
        <w:tc>
          <w:tcPr>
            <w:tcW w:type="dxa" w:w="1058"/>
            <w:shd w:val="clear" w:color="auto" w:fill="E8F4F8"/>
          </w:tcPr>
          <w:p>
            <w:pPr>
              <w:jc w:val="center"/>
            </w:pPr>
            <w:r>
              <w:rPr>
                <w:b/>
                <w:color w:val="0D2B4A"/>
                <w:sz w:val="16"/>
              </w:rPr>
              <w:t>76</w:t>
            </w:r>
          </w:p>
        </w:tc>
        <w:tc>
          <w:tcPr>
            <w:tcW w:type="dxa" w:w="1058"/>
            <w:shd w:val="clear" w:color="auto" w:fill="E8F4F8"/>
          </w:tcPr>
          <w:p>
            <w:pPr>
              <w:jc w:val="center"/>
            </w:pPr>
            <w:r>
              <w:rPr>
                <w:b/>
                <w:color w:val="0D2B4A"/>
                <w:sz w:val="16"/>
              </w:rPr>
              <w:t>295</w:t>
            </w:r>
          </w:p>
        </w:tc>
        <w:tc>
          <w:tcPr>
            <w:tcW w:type="dxa" w:w="1058"/>
            <w:shd w:val="clear" w:color="auto" w:fill="E8F4F8"/>
          </w:tcPr>
          <w:p>
            <w:pPr>
              <w:jc w:val="center"/>
            </w:pPr>
            <w:r>
              <w:rPr>
                <w:b/>
                <w:color w:val="0D2B4A"/>
                <w:sz w:val="16"/>
              </w:rPr>
              <w:t>80%</w:t>
            </w:r>
          </w:p>
        </w:tc>
        <w:tc>
          <w:tcPr>
            <w:tcW w:type="dxa" w:w="1058"/>
            <w:shd w:val="clear" w:color="auto" w:fill="E8F4F8"/>
          </w:tcPr>
          <w:p>
            <w:r>
              <w:rPr>
                <w:b/>
                <w:color w:val="0D2B4A"/>
                <w:sz w:val="16"/>
              </w:rPr>
            </w:r>
          </w:p>
        </w:tc>
      </w:tr>
    </w:tbl>
    <w:p>
      <w:pPr>
        <w:spacing w:before="0" w:after="100"/>
      </w:pPr>
    </w:p>
    <w:p>
      <w:pPr>
        <w:pStyle w:val="Heading2"/>
        <w:spacing w:before="160" w:after="60"/>
      </w:pPr>
      <w:r>
        <w:rPr>
          <w:color w:val="1A5F8A"/>
          <w:sz w:val="22"/>
        </w:rPr>
        <w:t>Company Distribution by Category</w:t>
      </w:r>
    </w:p>
    <w:p>
      <w:pPr>
        <w:spacing w:before="40" w:after="80"/>
        <w:jc w:val="center"/>
      </w:pPr>
      <w:r>
        <w:drawing>
          <wp:inline xmlns:a="http://schemas.openxmlformats.org/drawingml/2006/main" xmlns:pic="http://schemas.openxmlformats.org/drawingml/2006/picture">
            <wp:extent cx="3600000" cy="293473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2934731"/>
                    </a:xfrm>
                    <a:prstGeom prst="rect"/>
                  </pic:spPr>
                </pic:pic>
              </a:graphicData>
            </a:graphic>
          </wp:inline>
        </w:drawing>
      </w:r>
    </w:p>
    <w:p>
      <w:pPr>
        <w:spacing w:before="0" w:after="80"/>
      </w:pPr>
      <w:r>
        <w:rPr>
          <w:b w:val="0"/>
          <w:color w:val="1A1A2E"/>
          <w:sz w:val="20"/>
        </w:rPr>
        <w:t>The Engineering category dominates with 72.8% — reflecting the broad wave of digitisation in CAD, CAE, IoT and AI-assisted development tools. Sales &amp; Quotes (9.4%) and Sustainability (7.0%) are smaller by headcount but show high start-up density, signalling intense innovation dynamics and unresolved core problems in these areas.</w:t>
      </w:r>
    </w:p>
    <w:p>
      <w:r>
        <w:br w:type="page"/>
      </w:r>
    </w:p>
    <w:p>
      <w:pPr>
        <w:pStyle w:val="Heading1"/>
        <w:spacing w:before="200" w:after="80"/>
      </w:pPr>
      <w:r>
        <w:rPr>
          <w:color w:val="0D2B4A"/>
          <w:sz w:val="28"/>
        </w:rPr>
        <w:t>2  Market Segments: Short Profile of the Four Categories</w:t>
      </w:r>
    </w:p>
    <w:p>
      <w:pPr>
        <w:pStyle w:val="Heading2"/>
        <w:spacing w:before="160" w:after="60"/>
      </w:pPr>
      <w:r>
        <w:rPr>
          <w:color w:val="1A5F8A"/>
          <w:sz w:val="22"/>
        </w:rPr>
        <w:t>2.1  Engineering  (270 Companies | 380 Products)</w:t>
      </w:r>
    </w:p>
    <w:p>
      <w:pPr>
        <w:spacing w:before="0" w:after="60"/>
      </w:pPr>
      <w:r>
        <w:rPr>
          <w:b w:val="0"/>
          <w:color w:val="1A1A2E"/>
          <w:sz w:val="20"/>
        </w:rPr>
        <w:t>The Engineering category is by far the largest and most diverse. It covers all tools that directly intervene in the product development and manufacturing process: from classical CAD/CAE/CAM software to AI-powered design copilots, Industrial IoT platforms, BIM solutions and factory intelligence systems. 80% of the 270 companies are start-ups — a sign of intense innovation. Established giants (Autodesk, Siemens, Ansys, Dassault) compete with agile newcomers occupying niches in generative design, digital twins and AI assistance.</w:t>
      </w:r>
    </w:p>
    <w:p>
      <w:pPr>
        <w:pStyle w:val="ListBullet"/>
        <w:spacing w:before="20" w:after="20"/>
      </w:pPr>
      <w:r>
        <w:rPr>
          <w:color w:val="1A1A2E"/>
          <w:sz w:val="18"/>
        </w:rPr>
        <w:t>Sub-categories: Factory Intelligence &amp; IoT · BIM &amp; Construction · Engineering Copilots &amp; AI Assistants · Generative &amp; Computational Design</w:t>
      </w:r>
    </w:p>
    <w:p>
      <w:pPr>
        <w:pStyle w:val="ListBullet"/>
        <w:spacing w:before="20" w:after="20"/>
      </w:pPr>
      <w:r>
        <w:rPr>
          <w:color w:val="1A1A2E"/>
          <w:sz w:val="18"/>
        </w:rPr>
        <w:t>LFL relevance: Direct overlap with LoopForgeLab's Design Copilot approach; competitors like Autodesk Fusion and Siemens NX are rapidly adding AI capabilities</w:t>
      </w:r>
    </w:p>
    <w:p>
      <w:pPr>
        <w:spacing w:before="0" w:after="80"/>
      </w:pPr>
    </w:p>
    <w:p>
      <w:pPr>
        <w:pStyle w:val="Heading2"/>
        <w:spacing w:before="160" w:after="60"/>
      </w:pPr>
      <w:r>
        <w:rPr>
          <w:color w:val="1A5F8A"/>
          <w:sz w:val="22"/>
        </w:rPr>
        <w:t>2.2  Data &amp; Requirements Management  (40 Companies | 65 Products)</w:t>
      </w:r>
    </w:p>
    <w:p>
      <w:pPr>
        <w:spacing w:before="0" w:after="60"/>
      </w:pPr>
      <w:r>
        <w:rPr>
          <w:b w:val="0"/>
          <w:color w:val="1A1A2E"/>
          <w:sz w:val="20"/>
        </w:rPr>
        <w:t>This category addresses the core problem of fragmented data in product development: PLM platforms, MBSE tools, engineering collaboration solutions and requirements management software. With only 7 large companies out of 40 (82% start-ups), dynamism is high. Established players such as PTC (Windchill), Dassault (ENOVIA) and SAP PLM dominate the enterprise market, while start-ups pioneer new approaches for digital thread concepts, collaborative requirements management and AI-driven data aggregation.</w:t>
      </w:r>
    </w:p>
    <w:p>
      <w:pPr>
        <w:pStyle w:val="ListBullet"/>
        <w:spacing w:before="20" w:after="20"/>
      </w:pPr>
      <w:r>
        <w:rPr>
          <w:color w:val="1A1A2E"/>
          <w:sz w:val="18"/>
        </w:rPr>
        <w:t>Sub-categories: MBSE &amp; Systems Engineering · PLM &amp; PDM Platforms · Engineering Collaboration &amp; Data · CAD &amp; Modeling</w:t>
      </w:r>
    </w:p>
    <w:p>
      <w:pPr>
        <w:pStyle w:val="ListBullet"/>
        <w:spacing w:before="20" w:after="20"/>
      </w:pPr>
      <w:r>
        <w:rPr>
          <w:color w:val="1A1A2E"/>
          <w:sz w:val="18"/>
        </w:rPr>
        <w:t>LFL relevance: The "Data Desert" finding from the White Paper (fragmented PLM/ERP data) is the central gap that LFL's Product Intelligence Engine aims to close</w:t>
      </w:r>
    </w:p>
    <w:p>
      <w:pPr>
        <w:spacing w:before="0" w:after="80"/>
      </w:pPr>
    </w:p>
    <w:p>
      <w:pPr>
        <w:pStyle w:val="Heading2"/>
        <w:spacing w:before="160" w:after="60"/>
      </w:pPr>
      <w:r>
        <w:rPr>
          <w:color w:val="1A5F8A"/>
          <w:sz w:val="22"/>
        </w:rPr>
        <w:t>2.3  Sales &amp; Quotes  (35 Companies | 39 Products)</w:t>
      </w:r>
    </w:p>
    <w:p>
      <w:pPr>
        <w:spacing w:before="0" w:after="60"/>
      </w:pPr>
      <w:r>
        <w:rPr>
          <w:b w:val="0"/>
          <w:color w:val="1A1A2E"/>
          <w:sz w:val="20"/>
        </w:rPr>
        <w:t>Sales &amp; Quotes is the category with the most direct relevance to LoopForgeLab's core solution. It covers solutions around quoting, procurement and supply chain: RfP/Bid-Response Management, e-Sourcing &amp; RfQ platforms, CPQ systems for complex products and supply chain planning. At 63% start-up share, the category is more balanced between large and small players. Despite comparatively fewer companies, the depth of problem-solving is high — and measurable customer pain is substantial.</w:t>
      </w:r>
    </w:p>
    <w:p>
      <w:pPr>
        <w:pStyle w:val="ListBullet"/>
        <w:spacing w:before="20" w:after="20"/>
      </w:pPr>
      <w:r>
        <w:rPr>
          <w:color w:val="1A1A2E"/>
          <w:sz w:val="18"/>
        </w:rPr>
        <w:t>Sub-categories: A — RfP/Bid Response Management · B — E-Sourcing/RfQ · C — CPQ (Configure Price Quote) · D — Supply Chain Planning</w:t>
      </w:r>
    </w:p>
    <w:p>
      <w:pPr>
        <w:pStyle w:val="ListBullet"/>
        <w:spacing w:before="20" w:after="20"/>
      </w:pPr>
      <w:r>
        <w:rPr>
          <w:color w:val="1A1A2E"/>
          <w:sz w:val="18"/>
        </w:rPr>
        <w:t>LFL relevance: LFL's RFQ module (in development from Q2 2026) and quote cost analysis directly address problems in sub-clusters B and C</w:t>
      </w:r>
    </w:p>
    <w:p>
      <w:pPr>
        <w:pStyle w:val="ListBullet"/>
        <w:spacing w:before="20" w:after="20"/>
      </w:pPr>
      <w:r>
        <w:rPr>
          <w:color w:val="1A1A2E"/>
          <w:sz w:val="18"/>
        </w:rPr>
        <w:t>Notable: 39 products from only 35 companies — many providers offer multiple product lines</w:t>
      </w:r>
    </w:p>
    <w:p>
      <w:pPr>
        <w:spacing w:before="0" w:after="80"/>
      </w:pPr>
    </w:p>
    <w:p>
      <w:pPr>
        <w:pStyle w:val="Heading2"/>
        <w:spacing w:before="160" w:after="60"/>
      </w:pPr>
      <w:r>
        <w:rPr>
          <w:color w:val="1A5F8A"/>
          <w:sz w:val="22"/>
        </w:rPr>
        <w:t>2.4  Sustainability  (26 Companies | 57 Products)</w:t>
      </w:r>
    </w:p>
    <w:p>
      <w:pPr>
        <w:spacing w:before="0" w:after="60"/>
      </w:pPr>
      <w:r>
        <w:rPr>
          <w:b w:val="0"/>
          <w:color w:val="1A1A2E"/>
          <w:sz w:val="20"/>
        </w:rPr>
        <w:t>The smallest category by company count but with the highest product density per company (avg. 2.2 products/company). Sustainability covers LCA software, CO₂ calculation tools, circular economy platforms and compliance solutions for CSRD/DPP requirements. With 92% start-up share, this is the most innovative and fastest-growing segment — driven by EU regulatory pressure. Only 2 established large companies (CarbonBright, Sphera) have gained a foothold so far.</w:t>
      </w:r>
    </w:p>
    <w:p>
      <w:pPr>
        <w:pStyle w:val="ListBullet"/>
        <w:spacing w:before="20" w:after="20"/>
      </w:pPr>
      <w:r>
        <w:rPr>
          <w:color w:val="1A1A2E"/>
          <w:sz w:val="18"/>
        </w:rPr>
        <w:t>Sub-categories: LCA Software &amp; Platforms · Carbon &amp; Eco-Design · Circular Economy &amp; R-Strategies · Regulatory &amp; Compliance (DPP)</w:t>
      </w:r>
    </w:p>
    <w:p>
      <w:pPr>
        <w:pStyle w:val="ListBullet"/>
        <w:spacing w:before="20" w:after="20"/>
      </w:pPr>
      <w:r>
        <w:rPr>
          <w:color w:val="1A1A2E"/>
          <w:sz w:val="18"/>
        </w:rPr>
        <w:t>LFL relevance: LFL's "Carbon Case" (10.5M tCO₂e savings by year 10) and real-time CO₂ feedback position LFL as a bridge between Engineering and Sustainability</w:t>
      </w:r>
    </w:p>
    <w:p>
      <w:pPr>
        <w:pStyle w:val="ListBullet"/>
        <w:spacing w:before="20" w:after="20"/>
      </w:pPr>
      <w:r>
        <w:rPr>
          <w:color w:val="1A1A2E"/>
          <w:sz w:val="18"/>
        </w:rPr>
        <w:t>Regulatory driver: CSRD obligation from 2025 for ~50,000 EU companies creates immense pressure to act</w:t>
      </w:r>
    </w:p>
    <w:p>
      <w:pPr>
        <w:spacing w:before="0" w:after="80"/>
      </w:pPr>
    </w:p>
    <w:p>
      <w:r>
        <w:br w:type="page"/>
      </w:r>
    </w:p>
    <w:p>
      <w:pPr>
        <w:pStyle w:val="Heading1"/>
        <w:spacing w:before="200" w:after="80"/>
      </w:pPr>
      <w:r>
        <w:rPr>
          <w:color w:val="0D2B4A"/>
          <w:sz w:val="28"/>
        </w:rPr>
        <w:t>3  Deep Dive: Sales &amp; Quotes</w:t>
      </w:r>
    </w:p>
    <w:p>
      <w:pPr>
        <w:spacing w:before="0" w:after="100"/>
      </w:pPr>
      <w:r>
        <w:rPr>
          <w:b w:val="0"/>
          <w:color w:val="1A1A2E"/>
          <w:sz w:val="20"/>
        </w:rPr>
        <w:t>The following in-depth analysis of the Sales &amp; Quotes category combines structured market data from CI database v1.7 with qualitative insights from the LoopForgeLab White Paper ("Optimized for Performance, Approved for Price", Feb. 2026) and the Pitch Deck (March 2026). The objective is to quantify customer problem fields and show where and how LoopForgeLab's solution enters the market.</w:t>
      </w:r>
    </w:p>
    <w:p>
      <w:pPr>
        <w:pStyle w:val="Heading2"/>
        <w:spacing w:before="160" w:after="60"/>
      </w:pPr>
      <w:r>
        <w:rPr>
          <w:color w:val="1A5F8A"/>
          <w:sz w:val="22"/>
        </w:rPr>
        <w:t>3.1  Market Structure: The Four Sub-Clusters</w:t>
      </w:r>
    </w:p>
    <w:p>
      <w:pPr>
        <w:spacing w:before="0" w:after="60"/>
      </w:pPr>
      <w:r>
        <w:rPr>
          <w:b w:val="0"/>
          <w:color w:val="1A1A2E"/>
          <w:sz w:val="20"/>
        </w:rPr>
        <w:t>The Sales &amp; Quotes category is divided into four functional sub-clusters with distinct customers, technologies and problems:</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397"/>
            <w:shd w:val="clear" w:color="auto" w:fill="1A5F8A"/>
          </w:tcPr>
          <w:p>
            <w:pPr>
              <w:jc w:val="center"/>
            </w:pPr>
            <w:r>
              <w:rPr>
                <w:b/>
                <w:color w:val="FFFFFF"/>
                <w:sz w:val="16"/>
              </w:rPr>
              <w:t>ID</w:t>
            </w:r>
          </w:p>
        </w:tc>
        <w:tc>
          <w:tcPr>
            <w:tcW w:type="dxa" w:w="2438"/>
            <w:shd w:val="clear" w:color="auto" w:fill="1A5F8A"/>
          </w:tcPr>
          <w:p>
            <w:pPr>
              <w:jc w:val="center"/>
            </w:pPr>
            <w:r>
              <w:rPr>
                <w:b/>
                <w:color w:val="FFFFFF"/>
                <w:sz w:val="16"/>
              </w:rPr>
              <w:t>Sub-Cluster</w:t>
            </w:r>
          </w:p>
        </w:tc>
        <w:tc>
          <w:tcPr>
            <w:tcW w:type="dxa" w:w="510"/>
            <w:shd w:val="clear" w:color="auto" w:fill="1A5F8A"/>
          </w:tcPr>
          <w:p>
            <w:pPr>
              <w:jc w:val="center"/>
            </w:pPr>
            <w:r>
              <w:rPr>
                <w:b/>
                <w:color w:val="FFFFFF"/>
                <w:sz w:val="16"/>
              </w:rPr>
              <w:t># Co.</w:t>
            </w:r>
          </w:p>
        </w:tc>
        <w:tc>
          <w:tcPr>
            <w:tcW w:type="dxa" w:w="3175"/>
            <w:shd w:val="clear" w:color="auto" w:fill="1A5F8A"/>
          </w:tcPr>
          <w:p>
            <w:pPr>
              <w:jc w:val="center"/>
            </w:pPr>
            <w:r>
              <w:rPr>
                <w:b/>
                <w:color w:val="FFFFFF"/>
                <w:sz w:val="16"/>
              </w:rPr>
              <w:t>Key Technologies</w:t>
            </w:r>
          </w:p>
        </w:tc>
        <w:tc>
          <w:tcPr>
            <w:tcW w:type="dxa" w:w="3288"/>
            <w:shd w:val="clear" w:color="auto" w:fill="1A5F8A"/>
          </w:tcPr>
          <w:p>
            <w:pPr>
              <w:jc w:val="center"/>
            </w:pPr>
            <w:r>
              <w:rPr>
                <w:b/>
                <w:color w:val="FFFFFF"/>
                <w:sz w:val="16"/>
              </w:rPr>
              <w:t>Primary Target Sectors</w:t>
            </w:r>
          </w:p>
        </w:tc>
      </w:tr>
      <w:tr>
        <w:tc>
          <w:tcPr>
            <w:tcW w:type="dxa" w:w="1904"/>
            <w:shd w:val="clear" w:color="auto" w:fill="FFFFFF"/>
          </w:tcPr>
          <w:p>
            <w:pPr>
              <w:jc w:val="center"/>
            </w:pPr>
            <w:r>
              <w:rPr>
                <w:b/>
                <w:color w:val="1A5F8A"/>
                <w:sz w:val="16"/>
              </w:rPr>
              <w:t>A</w:t>
            </w:r>
          </w:p>
        </w:tc>
        <w:tc>
          <w:tcPr>
            <w:tcW w:type="dxa" w:w="1904"/>
            <w:shd w:val="clear" w:color="auto" w:fill="FFFFFF"/>
          </w:tcPr>
          <w:p>
            <w:r>
              <w:rPr>
                <w:b w:val="0"/>
                <w:sz w:val="16"/>
              </w:rPr>
              <w:t>RfP / Bid Response Management (AI-assisted)</w:t>
            </w:r>
          </w:p>
        </w:tc>
        <w:tc>
          <w:tcPr>
            <w:tcW w:type="dxa" w:w="1904"/>
            <w:shd w:val="clear" w:color="auto" w:fill="FFFFFF"/>
          </w:tcPr>
          <w:p>
            <w:pPr>
              <w:jc w:val="center"/>
            </w:pPr>
            <w:r>
              <w:rPr>
                <w:b w:val="0"/>
                <w:sz w:val="16"/>
              </w:rPr>
              <w:t>8</w:t>
            </w:r>
          </w:p>
        </w:tc>
        <w:tc>
          <w:tcPr>
            <w:tcW w:type="dxa" w:w="1904"/>
            <w:shd w:val="clear" w:color="auto" w:fill="FFFFFF"/>
          </w:tcPr>
          <w:p>
            <w:r>
              <w:rPr>
                <w:b w:val="0"/>
                <w:sz w:val="16"/>
              </w:rPr>
              <w:t>Generative AI (GPT-4/Claude), RAG, AI Agents, CRM Integration</w:t>
            </w:r>
          </w:p>
        </w:tc>
        <w:tc>
          <w:tcPr>
            <w:tcW w:type="dxa" w:w="1904"/>
            <w:shd w:val="clear" w:color="auto" w:fill="FFFFFF"/>
          </w:tcPr>
          <w:p>
            <w:r>
              <w:rPr>
                <w:b w:val="0"/>
                <w:sz w:val="16"/>
              </w:rPr>
              <w:t>B2B Technology, Engineering Services, SaaS, Defence, Consulting</w:t>
            </w:r>
          </w:p>
        </w:tc>
      </w:tr>
      <w:tr>
        <w:tc>
          <w:tcPr>
            <w:tcW w:type="dxa" w:w="1904"/>
            <w:shd w:val="clear" w:color="auto" w:fill="F2F5F8"/>
          </w:tcPr>
          <w:p>
            <w:pPr>
              <w:jc w:val="center"/>
            </w:pPr>
            <w:r>
              <w:rPr>
                <w:b/>
                <w:color w:val="1A5F8A"/>
                <w:sz w:val="16"/>
              </w:rPr>
              <w:t>B</w:t>
            </w:r>
          </w:p>
        </w:tc>
        <w:tc>
          <w:tcPr>
            <w:tcW w:type="dxa" w:w="1904"/>
            <w:shd w:val="clear" w:color="auto" w:fill="F2F5F8"/>
          </w:tcPr>
          <w:p>
            <w:r>
              <w:rPr>
                <w:b w:val="0"/>
                <w:sz w:val="16"/>
              </w:rPr>
              <w:t>E-Sourcing / RfQ Management (Procurement)</w:t>
            </w:r>
          </w:p>
        </w:tc>
        <w:tc>
          <w:tcPr>
            <w:tcW w:type="dxa" w:w="1904"/>
            <w:shd w:val="clear" w:color="auto" w:fill="F2F5F8"/>
          </w:tcPr>
          <w:p>
            <w:pPr>
              <w:jc w:val="center"/>
            </w:pPr>
            <w:r>
              <w:rPr>
                <w:b w:val="0"/>
                <w:sz w:val="16"/>
              </w:rPr>
              <w:t>8</w:t>
            </w:r>
          </w:p>
        </w:tc>
        <w:tc>
          <w:tcPr>
            <w:tcW w:type="dxa" w:w="1904"/>
            <w:shd w:val="clear" w:color="auto" w:fill="F2F5F8"/>
          </w:tcPr>
          <w:p>
            <w:r>
              <w:rPr>
                <w:b w:val="0"/>
                <w:sz w:val="16"/>
              </w:rPr>
              <w:t>Autonomous AI Sourcing Bots, Reverse Auctions, ERP Integration (SAP/Oracle), Spend Analytics</w:t>
            </w:r>
          </w:p>
        </w:tc>
        <w:tc>
          <w:tcPr>
            <w:tcW w:type="dxa" w:w="1904"/>
            <w:shd w:val="clear" w:color="auto" w:fill="F2F5F8"/>
          </w:tcPr>
          <w:p>
            <w:r>
              <w:rPr>
                <w:b w:val="0"/>
                <w:sz w:val="16"/>
              </w:rPr>
              <w:t>Enterprise/Mid-Market Procurement: Manufacturing, Pharma, Automotive, Public Sector</w:t>
            </w:r>
          </w:p>
        </w:tc>
      </w:tr>
      <w:tr>
        <w:tc>
          <w:tcPr>
            <w:tcW w:type="dxa" w:w="1904"/>
            <w:shd w:val="clear" w:color="auto" w:fill="FFFFFF"/>
          </w:tcPr>
          <w:p>
            <w:pPr>
              <w:jc w:val="center"/>
            </w:pPr>
            <w:r>
              <w:rPr>
                <w:b/>
                <w:color w:val="1A5F8A"/>
                <w:sz w:val="16"/>
              </w:rPr>
              <w:t>C</w:t>
            </w:r>
          </w:p>
        </w:tc>
        <w:tc>
          <w:tcPr>
            <w:tcW w:type="dxa" w:w="1904"/>
            <w:shd w:val="clear" w:color="auto" w:fill="FFFFFF"/>
          </w:tcPr>
          <w:p>
            <w:r>
              <w:rPr>
                <w:b w:val="0"/>
                <w:sz w:val="16"/>
              </w:rPr>
              <w:t>CPQ – Configure Price Quote</w:t>
            </w:r>
          </w:p>
        </w:tc>
        <w:tc>
          <w:tcPr>
            <w:tcW w:type="dxa" w:w="1904"/>
            <w:shd w:val="clear" w:color="auto" w:fill="FFFFFF"/>
          </w:tcPr>
          <w:p>
            <w:pPr>
              <w:jc w:val="center"/>
            </w:pPr>
            <w:r>
              <w:rPr>
                <w:b w:val="0"/>
                <w:sz w:val="16"/>
              </w:rPr>
              <w:t>3</w:t>
            </w:r>
          </w:p>
        </w:tc>
        <w:tc>
          <w:tcPr>
            <w:tcW w:type="dxa" w:w="1904"/>
            <w:shd w:val="clear" w:color="auto" w:fill="FFFFFF"/>
          </w:tcPr>
          <w:p>
            <w:r>
              <w:rPr>
                <w:b w:val="0"/>
                <w:sz w:val="16"/>
              </w:rPr>
              <w:t>Constraint-based AI Configuration, CAD Integration, ERP/CRM Coupling, CO₂ Calculation</w:t>
            </w:r>
          </w:p>
        </w:tc>
        <w:tc>
          <w:tcPr>
            <w:tcW w:type="dxa" w:w="1904"/>
            <w:shd w:val="clear" w:color="auto" w:fill="FFFFFF"/>
          </w:tcPr>
          <w:p>
            <w:r>
              <w:rPr>
                <w:b w:val="0"/>
                <w:sz w:val="16"/>
              </w:rPr>
              <w:t>ETO Manufacturers: Industrial Machinery, Automotive Suppliers, High-Tech</w:t>
            </w:r>
          </w:p>
        </w:tc>
      </w:tr>
      <w:tr>
        <w:tc>
          <w:tcPr>
            <w:tcW w:type="dxa" w:w="1904"/>
            <w:shd w:val="clear" w:color="auto" w:fill="F2F5F8"/>
          </w:tcPr>
          <w:p>
            <w:pPr>
              <w:jc w:val="center"/>
            </w:pPr>
            <w:r>
              <w:rPr>
                <w:b/>
                <w:color w:val="1A5F8A"/>
                <w:sz w:val="16"/>
              </w:rPr>
              <w:t>D</w:t>
            </w:r>
          </w:p>
        </w:tc>
        <w:tc>
          <w:tcPr>
            <w:tcW w:type="dxa" w:w="1904"/>
            <w:shd w:val="clear" w:color="auto" w:fill="F2F5F8"/>
          </w:tcPr>
          <w:p>
            <w:r>
              <w:rPr>
                <w:b w:val="0"/>
                <w:sz w:val="16"/>
              </w:rPr>
              <w:t>Supply Chain Planning &amp; Optimisation</w:t>
            </w:r>
          </w:p>
        </w:tc>
        <w:tc>
          <w:tcPr>
            <w:tcW w:type="dxa" w:w="1904"/>
            <w:shd w:val="clear" w:color="auto" w:fill="F2F5F8"/>
          </w:tcPr>
          <w:p>
            <w:pPr>
              <w:jc w:val="center"/>
            </w:pPr>
            <w:r>
              <w:rPr>
                <w:b w:val="0"/>
                <w:sz w:val="16"/>
              </w:rPr>
              <w:t>14</w:t>
            </w:r>
          </w:p>
        </w:tc>
        <w:tc>
          <w:tcPr>
            <w:tcW w:type="dxa" w:w="1904"/>
            <w:shd w:val="clear" w:color="auto" w:fill="F2F5F8"/>
          </w:tcPr>
          <w:p>
            <w:r>
              <w:rPr>
                <w:b w:val="0"/>
                <w:sz w:val="16"/>
              </w:rPr>
              <w:t>AI/ML Demand Forecasting, Digital Twins, Concurrent Planning, Graph Neural Networks, Maths Optimisation</w:t>
            </w:r>
          </w:p>
        </w:tc>
        <w:tc>
          <w:tcPr>
            <w:tcW w:type="dxa" w:w="1904"/>
            <w:shd w:val="clear" w:color="auto" w:fill="F2F5F8"/>
          </w:tcPr>
          <w:p>
            <w:r>
              <w:rPr>
                <w:b w:val="0"/>
                <w:sz w:val="16"/>
              </w:rPr>
              <w:t>Automotive, Consumer Goods, Pharma, Aerospace, Retail, High-Tech</w:t>
            </w:r>
          </w:p>
        </w:tc>
      </w:tr>
    </w:tbl>
    <w:p>
      <w:pPr>
        <w:spacing w:before="0" w:after="100"/>
      </w:pPr>
    </w:p>
    <w:p>
      <w:pPr>
        <w:pStyle w:val="Heading2"/>
        <w:spacing w:before="160" w:after="60"/>
      </w:pPr>
      <w:r>
        <w:rPr>
          <w:color w:val="1A5F8A"/>
          <w:sz w:val="22"/>
        </w:rPr>
        <w:t>3.2  Customer Problem Fields — and the LFL Context</w:t>
      </w:r>
    </w:p>
    <w:p>
      <w:pPr>
        <w:spacing w:before="0" w:after="80"/>
      </w:pPr>
      <w:r>
        <w:rPr>
          <w:b w:val="0"/>
          <w:color w:val="1A1A2E"/>
          <w:sz w:val="20"/>
        </w:rPr>
        <w:t>LoopForgeLab's White Paper documents four structural barriers to profitable and sustainable product development, based on 44 expert interviews. These barriers are directly mirrored in the measured customer problems of the Sales &amp; Quotes category:</w:t>
      </w:r>
    </w:p>
    <w:p>
      <w:pPr>
        <w:spacing w:before="100" w:after="20"/>
      </w:pPr>
      <w:r>
        <w:rPr>
          <w:b/>
          <w:color w:val="0D2B4A"/>
          <w:sz w:val="20"/>
        </w:rPr>
        <w:t>■  The "Economic Gatekeeper"</w:t>
      </w:r>
    </w:p>
    <w:p>
      <w:pPr>
        <w:spacing w:before="0" w:after="40"/>
      </w:pPr>
      <w:r>
        <w:rPr>
          <w:b w:val="0"/>
          <w:color w:val="1A1A2E"/>
          <w:sz w:val="20"/>
        </w:rPr>
        <w:t>"The price tag decides everything" — the near-universal sentiment from 44 LFL expert interviews. This is directly reflected in the CPQ and RfQ world: engineers spend 30–40% of their time on quoting rather than design, because configuration and pricing are manual, error-prone and completely decoupled from the CAD model.</w:t>
      </w:r>
    </w:p>
    <w:p>
      <w:pPr>
        <w:spacing w:before="100" w:after="20"/>
      </w:pPr>
      <w:r>
        <w:rPr>
          <w:b/>
          <w:color w:val="0D2B4A"/>
          <w:sz w:val="20"/>
        </w:rPr>
        <w:t>■  The "Data Desert"</w:t>
      </w:r>
    </w:p>
    <w:p>
      <w:pPr>
        <w:spacing w:before="0" w:after="40"/>
      </w:pPr>
      <w:r>
        <w:rPr>
          <w:b w:val="0"/>
          <w:color w:val="1A1A2E"/>
          <w:sz w:val="20"/>
        </w:rPr>
        <w:t>Critical product data — CO₂ footprints, supplier prices, manufacturing constraints — are scattered across PLM, ERP, Excel and local documents. The result: RfP teams rewrite 30–40% of all responses from scratch even though the information exists somewhere in the organisation. The Loopio benchmark measures 17+ hours per RfP response.</w:t>
      </w:r>
    </w:p>
    <w:p>
      <w:pPr>
        <w:spacing w:before="100" w:after="20"/>
      </w:pPr>
      <w:r>
        <w:rPr>
          <w:b/>
          <w:color w:val="0D2B4A"/>
          <w:sz w:val="20"/>
        </w:rPr>
        <w:t>■  The "Redesign Trap"</w:t>
      </w:r>
    </w:p>
    <w:p>
      <w:pPr>
        <w:spacing w:before="0" w:after="40"/>
      </w:pPr>
      <w:r>
        <w:rPr>
          <w:b w:val="0"/>
          <w:color w:val="1A1A2E"/>
          <w:sz w:val="20"/>
        </w:rPr>
        <w:t>Because quoting and CAD design are fully decoupled, 50–70% of all engineering changes originate from inconsistency between quote and CAD (DriveWorks studies). Every late change multiplies cost — typically 5–15% of order value in error correction after contract award.</w:t>
      </w:r>
    </w:p>
    <w:p>
      <w:pPr>
        <w:spacing w:before="100" w:after="20"/>
      </w:pPr>
      <w:r>
        <w:rPr>
          <w:b/>
          <w:color w:val="0D2B4A"/>
          <w:sz w:val="20"/>
        </w:rPr>
        <w:t>■  The "Tribal Knowledge" Erosion</w:t>
      </w:r>
    </w:p>
    <w:p>
      <w:pPr>
        <w:spacing w:before="0" w:after="40"/>
      </w:pPr>
      <w:r>
        <w:rPr>
          <w:b w:val="0"/>
          <w:color w:val="1A1A2E"/>
          <w:sz w:val="20"/>
        </w:rPr>
        <w:t>When experienced engineers retire, the implicit knowledge of why certain configurations work — or why certain suppliers are preferred — disappears. CPQ systems can only scale this knowledge if it is explicitly codified. Today, that codification largely does not exist.</w:t>
      </w:r>
    </w:p>
    <w:p>
      <w:pPr>
        <w:spacing w:before="0" w:after="80"/>
      </w:pPr>
    </w:p>
    <w:p>
      <w:pPr>
        <w:pStyle w:val="Heading3"/>
        <w:spacing w:before="120" w:after="40"/>
      </w:pPr>
      <w:r>
        <w:rPr>
          <w:color w:val="1A5F8A"/>
          <w:sz w:val="20"/>
        </w:rPr>
        <w:t>Customer Problem Fields by Sub-Cluster</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701"/>
            <w:shd w:val="clear" w:color="auto" w:fill="0D2B4A"/>
          </w:tcPr>
          <w:p>
            <w:pPr>
              <w:jc w:val="center"/>
            </w:pPr>
            <w:r>
              <w:rPr>
                <w:b/>
                <w:color w:val="FFFFFF"/>
                <w:sz w:val="16"/>
              </w:rPr>
              <w:t>Sub-Cluster</w:t>
            </w:r>
          </w:p>
        </w:tc>
        <w:tc>
          <w:tcPr>
            <w:tcW w:type="dxa" w:w="1474"/>
            <w:shd w:val="clear" w:color="auto" w:fill="0D2B4A"/>
          </w:tcPr>
          <w:p>
            <w:pPr>
              <w:jc w:val="center"/>
            </w:pPr>
            <w:r>
              <w:rPr>
                <w:b/>
                <w:color w:val="FFFFFF"/>
                <w:sz w:val="16"/>
              </w:rPr>
              <w:t>Problem</w:t>
            </w:r>
          </w:p>
        </w:tc>
        <w:tc>
          <w:tcPr>
            <w:tcW w:type="dxa" w:w="3061"/>
            <w:shd w:val="clear" w:color="auto" w:fill="0D2B4A"/>
          </w:tcPr>
          <w:p>
            <w:pPr>
              <w:jc w:val="center"/>
            </w:pPr>
            <w:r>
              <w:rPr>
                <w:b/>
                <w:color w:val="FFFFFF"/>
                <w:sz w:val="16"/>
              </w:rPr>
              <w:t>Description</w:t>
            </w:r>
          </w:p>
        </w:tc>
        <w:tc>
          <w:tcPr>
            <w:tcW w:type="dxa" w:w="2948"/>
            <w:shd w:val="clear" w:color="auto" w:fill="0D2B4A"/>
          </w:tcPr>
          <w:p>
            <w:pPr>
              <w:jc w:val="center"/>
            </w:pPr>
            <w:r>
              <w:rPr>
                <w:b/>
                <w:color w:val="FFFFFF"/>
                <w:sz w:val="16"/>
              </w:rPr>
              <w:t>Measurable Impact</w:t>
            </w:r>
          </w:p>
        </w:tc>
        <w:tc>
          <w:tcPr>
            <w:tcW w:type="dxa" w:w="850"/>
            <w:shd w:val="clear" w:color="auto" w:fill="0D2B4A"/>
          </w:tcPr>
          <w:p>
            <w:pPr>
              <w:jc w:val="center"/>
            </w:pPr>
            <w:r>
              <w:rPr>
                <w:b/>
                <w:color w:val="FFFFFF"/>
                <w:sz w:val="16"/>
              </w:rPr>
              <w:t>Priority</w:t>
            </w:r>
          </w:p>
        </w:tc>
      </w:tr>
      <w:tr>
        <w:tc>
          <w:tcPr>
            <w:tcW w:type="dxa" w:w="1904"/>
            <w:shd w:val="clear" w:color="auto" w:fill="FFFFFF"/>
          </w:tcPr>
          <w:p>
            <w:r>
              <w:rPr>
                <w:b/>
                <w:color w:val="1A5F8A"/>
                <w:sz w:val="16"/>
              </w:rPr>
              <w:t>A – RfP/Bid Response</w:t>
            </w:r>
          </w:p>
        </w:tc>
        <w:tc>
          <w:tcPr>
            <w:tcW w:type="dxa" w:w="1904"/>
            <w:shd w:val="clear" w:color="auto" w:fill="FFFFFF"/>
          </w:tcPr>
          <w:p>
            <w:r>
              <w:rPr>
                <w:b w:val="0"/>
                <w:sz w:val="16"/>
              </w:rPr>
              <w:t>Time burden</w:t>
            </w:r>
          </w:p>
        </w:tc>
        <w:tc>
          <w:tcPr>
            <w:tcW w:type="dxa" w:w="1904"/>
            <w:shd w:val="clear" w:color="auto" w:fill="FFFFFF"/>
          </w:tcPr>
          <w:p>
            <w:r>
              <w:rPr>
                <w:b w:val="0"/>
                <w:sz w:val="16"/>
              </w:rPr>
              <w:t>17+ h/RfP response (Loopio benchmark)</w:t>
            </w:r>
          </w:p>
        </w:tc>
        <w:tc>
          <w:tcPr>
            <w:tcW w:type="dxa" w:w="1904"/>
            <w:shd w:val="clear" w:color="auto" w:fill="FFFFFF"/>
          </w:tcPr>
          <w:p>
            <w:r>
              <w:rPr>
                <w:b w:val="0"/>
                <w:sz w:val="16"/>
              </w:rPr>
              <w:t>68 h/month = ~1.7 FTE solely for RfP work</w:t>
            </w:r>
          </w:p>
        </w:tc>
        <w:tc>
          <w:tcPr>
            <w:tcW w:type="dxa" w:w="1904"/>
            <w:shd w:val="clear" w:color="auto" w:fill="FFFFFF"/>
          </w:tcPr>
          <w:p>
            <w:pPr>
              <w:jc w:val="center"/>
            </w:pPr>
            <w:r>
              <w:rPr>
                <w:b w:val="0"/>
                <w:sz w:val="16"/>
              </w:rPr>
              <w:t>★★★★★</w:t>
            </w:r>
          </w:p>
        </w:tc>
      </w:tr>
      <w:tr>
        <w:tc>
          <w:tcPr>
            <w:tcW w:type="dxa" w:w="1904"/>
            <w:shd w:val="clear" w:color="auto" w:fill="F2F5F8"/>
          </w:tcPr>
          <w:p>
            <w:r>
              <w:rPr>
                <w:b/>
                <w:color w:val="1A5F8A"/>
                <w:sz w:val="16"/>
              </w:rPr>
              <w:t>A – RfP/Bid Response</w:t>
            </w:r>
          </w:p>
        </w:tc>
        <w:tc>
          <w:tcPr>
            <w:tcW w:type="dxa" w:w="1904"/>
            <w:shd w:val="clear" w:color="auto" w:fill="F2F5F8"/>
          </w:tcPr>
          <w:p>
            <w:r>
              <w:rPr>
                <w:b w:val="0"/>
                <w:sz w:val="16"/>
              </w:rPr>
              <w:t>Knowledge silos</w:t>
            </w:r>
          </w:p>
        </w:tc>
        <w:tc>
          <w:tcPr>
            <w:tcW w:type="dxa" w:w="1904"/>
            <w:shd w:val="clear" w:color="auto" w:fill="F2F5F8"/>
          </w:tcPr>
          <w:p>
            <w:r>
              <w:rPr>
                <w:b w:val="0"/>
                <w:sz w:val="16"/>
              </w:rPr>
              <w:t>30–40% of answers rewritten from scratch</w:t>
            </w:r>
          </w:p>
        </w:tc>
        <w:tc>
          <w:tcPr>
            <w:tcW w:type="dxa" w:w="1904"/>
            <w:shd w:val="clear" w:color="auto" w:fill="F2F5F8"/>
          </w:tcPr>
          <w:p>
            <w:r>
              <w:rPr>
                <w:b w:val="0"/>
                <w:sz w:val="16"/>
              </w:rPr>
              <w:t>Massive duplication; no institutional memory</w:t>
            </w:r>
          </w:p>
        </w:tc>
        <w:tc>
          <w:tcPr>
            <w:tcW w:type="dxa" w:w="1904"/>
            <w:shd w:val="clear" w:color="auto" w:fill="F2F5F8"/>
          </w:tcPr>
          <w:p>
            <w:pPr>
              <w:jc w:val="center"/>
            </w:pPr>
            <w:r>
              <w:rPr>
                <w:b w:val="0"/>
                <w:sz w:val="16"/>
              </w:rPr>
              <w:t>★★★★★</w:t>
            </w:r>
          </w:p>
        </w:tc>
      </w:tr>
      <w:tr>
        <w:tc>
          <w:tcPr>
            <w:tcW w:type="dxa" w:w="1904"/>
            <w:shd w:val="clear" w:color="auto" w:fill="FFFFFF"/>
          </w:tcPr>
          <w:p>
            <w:r>
              <w:rPr>
                <w:b/>
                <w:color w:val="1A5F8A"/>
                <w:sz w:val="16"/>
              </w:rPr>
              <w:t>A – RfP/Bid Response</w:t>
            </w:r>
          </w:p>
        </w:tc>
        <w:tc>
          <w:tcPr>
            <w:tcW w:type="dxa" w:w="1904"/>
            <w:shd w:val="clear" w:color="auto" w:fill="FFFFFF"/>
          </w:tcPr>
          <w:p>
            <w:r>
              <w:rPr>
                <w:b w:val="0"/>
                <w:sz w:val="16"/>
              </w:rPr>
              <w:t>Bid/No-Bid</w:t>
            </w:r>
          </w:p>
        </w:tc>
        <w:tc>
          <w:tcPr>
            <w:tcW w:type="dxa" w:w="1904"/>
            <w:shd w:val="clear" w:color="auto" w:fill="FFFFFF"/>
          </w:tcPr>
          <w:p>
            <w:r>
              <w:rPr>
                <w:b w:val="0"/>
                <w:sz w:val="16"/>
              </w:rPr>
              <w:t>Gut-feeling decision, no win-probability score</w:t>
            </w:r>
          </w:p>
        </w:tc>
        <w:tc>
          <w:tcPr>
            <w:tcW w:type="dxa" w:w="1904"/>
            <w:shd w:val="clear" w:color="auto" w:fill="FFFFFF"/>
          </w:tcPr>
          <w:p>
            <w:r>
              <w:rPr>
                <w:b w:val="0"/>
                <w:sz w:val="16"/>
              </w:rPr>
              <w:t>80–85% of effort spent on losing bids</w:t>
            </w:r>
          </w:p>
        </w:tc>
        <w:tc>
          <w:tcPr>
            <w:tcW w:type="dxa" w:w="1904"/>
            <w:shd w:val="clear" w:color="auto" w:fill="FFFFFF"/>
          </w:tcPr>
          <w:p>
            <w:pPr>
              <w:jc w:val="center"/>
            </w:pPr>
            <w:r>
              <w:rPr>
                <w:b w:val="0"/>
                <w:sz w:val="16"/>
              </w:rPr>
              <w:t>★★★★☆</w:t>
            </w:r>
          </w:p>
        </w:tc>
      </w:tr>
      <w:tr>
        <w:tc>
          <w:tcPr>
            <w:tcW w:type="dxa" w:w="1904"/>
            <w:shd w:val="clear" w:color="auto" w:fill="F2F5F8"/>
          </w:tcPr>
          <w:p>
            <w:r>
              <w:rPr>
                <w:b/>
                <w:color w:val="1A5F8A"/>
                <w:sz w:val="16"/>
              </w:rPr>
              <w:t>A – RfP/Bid Response</w:t>
            </w:r>
          </w:p>
        </w:tc>
        <w:tc>
          <w:tcPr>
            <w:tcW w:type="dxa" w:w="1904"/>
            <w:shd w:val="clear" w:color="auto" w:fill="F2F5F8"/>
          </w:tcPr>
          <w:p>
            <w:r>
              <w:rPr>
                <w:b w:val="0"/>
                <w:sz w:val="16"/>
              </w:rPr>
              <w:t>Win-theme gap</w:t>
            </w:r>
          </w:p>
        </w:tc>
        <w:tc>
          <w:tcPr>
            <w:tcW w:type="dxa" w:w="1904"/>
            <w:shd w:val="clear" w:color="auto" w:fill="F2F5F8"/>
          </w:tcPr>
          <w:p>
            <w:r>
              <w:rPr>
                <w:b w:val="0"/>
                <w:sz w:val="16"/>
              </w:rPr>
              <w:t>No access to CRM/call data for positioning</w:t>
            </w:r>
          </w:p>
        </w:tc>
        <w:tc>
          <w:tcPr>
            <w:tcW w:type="dxa" w:w="1904"/>
            <w:shd w:val="clear" w:color="auto" w:fill="F2F5F8"/>
          </w:tcPr>
          <w:p>
            <w:r>
              <w:rPr>
                <w:b w:val="0"/>
                <w:sz w:val="16"/>
              </w:rPr>
              <w:t>Generic proposals → low win rate</w:t>
            </w:r>
          </w:p>
        </w:tc>
        <w:tc>
          <w:tcPr>
            <w:tcW w:type="dxa" w:w="1904"/>
            <w:shd w:val="clear" w:color="auto" w:fill="F2F5F8"/>
          </w:tcPr>
          <w:p>
            <w:pPr>
              <w:jc w:val="center"/>
            </w:pPr>
            <w:r>
              <w:rPr>
                <w:b w:val="0"/>
                <w:sz w:val="16"/>
              </w:rPr>
              <w:t>★★★★☆</w:t>
            </w:r>
          </w:p>
        </w:tc>
      </w:tr>
      <w:tr>
        <w:tc>
          <w:tcPr>
            <w:tcW w:type="dxa" w:w="1904"/>
            <w:shd w:val="clear" w:color="auto" w:fill="FFFFFF"/>
          </w:tcPr>
          <w:p>
            <w:r>
              <w:rPr>
                <w:b/>
                <w:color w:val="1A5F8A"/>
                <w:sz w:val="16"/>
              </w:rPr>
              <w:t>B – E-Sourcing/RfQ</w:t>
            </w:r>
          </w:p>
        </w:tc>
        <w:tc>
          <w:tcPr>
            <w:tcW w:type="dxa" w:w="1904"/>
            <w:shd w:val="clear" w:color="auto" w:fill="FFFFFF"/>
          </w:tcPr>
          <w:p>
            <w:r>
              <w:rPr>
                <w:b w:val="0"/>
                <w:sz w:val="16"/>
              </w:rPr>
              <w:t>Excel/email chaos</w:t>
            </w:r>
          </w:p>
        </w:tc>
        <w:tc>
          <w:tcPr>
            <w:tcW w:type="dxa" w:w="1904"/>
            <w:shd w:val="clear" w:color="auto" w:fill="FFFFFF"/>
          </w:tcPr>
          <w:p>
            <w:r>
              <w:rPr>
                <w:b w:val="0"/>
                <w:sz w:val="16"/>
              </w:rPr>
              <w:t>RfX processes via Excel without versioning</w:t>
            </w:r>
          </w:p>
        </w:tc>
        <w:tc>
          <w:tcPr>
            <w:tcW w:type="dxa" w:w="1904"/>
            <w:shd w:val="clear" w:color="auto" w:fill="FFFFFF"/>
          </w:tcPr>
          <w:p>
            <w:r>
              <w:rPr>
                <w:b w:val="0"/>
                <w:sz w:val="16"/>
              </w:rPr>
              <w:t>3–5 day lead time; frequent errors from version confusion</w:t>
            </w:r>
          </w:p>
        </w:tc>
        <w:tc>
          <w:tcPr>
            <w:tcW w:type="dxa" w:w="1904"/>
            <w:shd w:val="clear" w:color="auto" w:fill="FFFFFF"/>
          </w:tcPr>
          <w:p>
            <w:pPr>
              <w:jc w:val="center"/>
            </w:pPr>
            <w:r>
              <w:rPr>
                <w:b w:val="0"/>
                <w:sz w:val="16"/>
              </w:rPr>
              <w:t>★★★★★</w:t>
            </w:r>
          </w:p>
        </w:tc>
      </w:tr>
      <w:tr>
        <w:tc>
          <w:tcPr>
            <w:tcW w:type="dxa" w:w="1904"/>
            <w:shd w:val="clear" w:color="auto" w:fill="F2F5F8"/>
          </w:tcPr>
          <w:p>
            <w:r>
              <w:rPr>
                <w:b/>
                <w:color w:val="1A5F8A"/>
                <w:sz w:val="16"/>
              </w:rPr>
              <w:t>B – E-Sourcing/RfQ</w:t>
            </w:r>
          </w:p>
        </w:tc>
        <w:tc>
          <w:tcPr>
            <w:tcW w:type="dxa" w:w="1904"/>
            <w:shd w:val="clear" w:color="auto" w:fill="F2F5F8"/>
          </w:tcPr>
          <w:p>
            <w:r>
              <w:rPr>
                <w:b w:val="0"/>
                <w:sz w:val="16"/>
              </w:rPr>
              <w:t>CSRD/Scope-3</w:t>
            </w:r>
          </w:p>
        </w:tc>
        <w:tc>
          <w:tcPr>
            <w:tcW w:type="dxa" w:w="1904"/>
            <w:shd w:val="clear" w:color="auto" w:fill="F2F5F8"/>
          </w:tcPr>
          <w:p>
            <w:r>
              <w:rPr>
                <w:b w:val="0"/>
                <w:sz w:val="16"/>
              </w:rPr>
              <w:t>~50,000 EU companies must report Scope-3 emissions</w:t>
            </w:r>
          </w:p>
        </w:tc>
        <w:tc>
          <w:tcPr>
            <w:tcW w:type="dxa" w:w="1904"/>
            <w:shd w:val="clear" w:color="auto" w:fill="F2F5F8"/>
          </w:tcPr>
          <w:p>
            <w:r>
              <w:rPr>
                <w:b w:val="0"/>
                <w:sz w:val="16"/>
              </w:rPr>
              <w:t>Manual supplier surveys for hundreds of Tier-1 suppliers</w:t>
            </w:r>
          </w:p>
        </w:tc>
        <w:tc>
          <w:tcPr>
            <w:tcW w:type="dxa" w:w="1904"/>
            <w:shd w:val="clear" w:color="auto" w:fill="F2F5F8"/>
          </w:tcPr>
          <w:p>
            <w:pPr>
              <w:jc w:val="center"/>
            </w:pPr>
            <w:r>
              <w:rPr>
                <w:b w:val="0"/>
                <w:sz w:val="16"/>
              </w:rPr>
              <w:t>★★★★★</w:t>
            </w:r>
          </w:p>
        </w:tc>
      </w:tr>
      <w:tr>
        <w:tc>
          <w:tcPr>
            <w:tcW w:type="dxa" w:w="1904"/>
            <w:shd w:val="clear" w:color="auto" w:fill="FFFFFF"/>
          </w:tcPr>
          <w:p>
            <w:r>
              <w:rPr>
                <w:b/>
                <w:color w:val="1A5F8A"/>
                <w:sz w:val="16"/>
              </w:rPr>
              <w:t>B – E-Sourcing/RfQ</w:t>
            </w:r>
          </w:p>
        </w:tc>
        <w:tc>
          <w:tcPr>
            <w:tcW w:type="dxa" w:w="1904"/>
            <w:shd w:val="clear" w:color="auto" w:fill="FFFFFF"/>
          </w:tcPr>
          <w:p>
            <w:r>
              <w:rPr>
                <w:b w:val="0"/>
                <w:sz w:val="16"/>
              </w:rPr>
              <w:t>SME access barrier</w:t>
            </w:r>
          </w:p>
        </w:tc>
        <w:tc>
          <w:tcPr>
            <w:tcW w:type="dxa" w:w="1904"/>
            <w:shd w:val="clear" w:color="auto" w:fill="FFFFFF"/>
          </w:tcPr>
          <w:p>
            <w:r>
              <w:rPr>
                <w:b w:val="0"/>
                <w:sz w:val="16"/>
              </w:rPr>
              <w:t>Enterprise suites cost €100K+/year</w:t>
            </w:r>
          </w:p>
        </w:tc>
        <w:tc>
          <w:tcPr>
            <w:tcW w:type="dxa" w:w="1904"/>
            <w:shd w:val="clear" w:color="auto" w:fill="FFFFFF"/>
          </w:tcPr>
          <w:p>
            <w:r>
              <w:rPr>
                <w:b w:val="0"/>
                <w:sz w:val="16"/>
              </w:rPr>
              <w:t>99.8% of European manufacturers are SMEs without digital sourcing</w:t>
            </w:r>
          </w:p>
        </w:tc>
        <w:tc>
          <w:tcPr>
            <w:tcW w:type="dxa" w:w="1904"/>
            <w:shd w:val="clear" w:color="auto" w:fill="FFFFFF"/>
          </w:tcPr>
          <w:p>
            <w:pPr>
              <w:jc w:val="center"/>
            </w:pPr>
            <w:r>
              <w:rPr>
                <w:b w:val="0"/>
                <w:sz w:val="16"/>
              </w:rPr>
              <w:t>★★★★★</w:t>
            </w:r>
          </w:p>
        </w:tc>
      </w:tr>
      <w:tr>
        <w:tc>
          <w:tcPr>
            <w:tcW w:type="dxa" w:w="1904"/>
            <w:shd w:val="clear" w:color="auto" w:fill="F2F5F8"/>
          </w:tcPr>
          <w:p>
            <w:r>
              <w:rPr>
                <w:b/>
                <w:color w:val="1A5F8A"/>
                <w:sz w:val="16"/>
              </w:rPr>
              <w:t>C – CPQ</w:t>
            </w:r>
          </w:p>
        </w:tc>
        <w:tc>
          <w:tcPr>
            <w:tcW w:type="dxa" w:w="1904"/>
            <w:shd w:val="clear" w:color="auto" w:fill="F2F5F8"/>
          </w:tcPr>
          <w:p>
            <w:r>
              <w:rPr>
                <w:b w:val="0"/>
                <w:sz w:val="16"/>
              </w:rPr>
              <w:t>Engineer bottleneck</w:t>
            </w:r>
          </w:p>
        </w:tc>
        <w:tc>
          <w:tcPr>
            <w:tcW w:type="dxa" w:w="1904"/>
            <w:shd w:val="clear" w:color="auto" w:fill="F2F5F8"/>
          </w:tcPr>
          <w:p>
            <w:r>
              <w:rPr>
                <w:b w:val="0"/>
                <w:sz w:val="16"/>
              </w:rPr>
              <w:t>Every quote for custom products requires engineer</w:t>
            </w:r>
          </w:p>
        </w:tc>
        <w:tc>
          <w:tcPr>
            <w:tcW w:type="dxa" w:w="1904"/>
            <w:shd w:val="clear" w:color="auto" w:fill="F2F5F8"/>
          </w:tcPr>
          <w:p>
            <w:r>
              <w:rPr>
                <w:b w:val="0"/>
                <w:sz w:val="16"/>
              </w:rPr>
              <w:t>ETO lead time: 2–4 weeks; engineers spend 30–40% on quoting</w:t>
            </w:r>
          </w:p>
        </w:tc>
        <w:tc>
          <w:tcPr>
            <w:tcW w:type="dxa" w:w="1904"/>
            <w:shd w:val="clear" w:color="auto" w:fill="F2F5F8"/>
          </w:tcPr>
          <w:p>
            <w:pPr>
              <w:jc w:val="center"/>
            </w:pPr>
            <w:r>
              <w:rPr>
                <w:b w:val="0"/>
                <w:sz w:val="16"/>
              </w:rPr>
              <w:t>★★★★★</w:t>
            </w:r>
          </w:p>
        </w:tc>
      </w:tr>
      <w:tr>
        <w:tc>
          <w:tcPr>
            <w:tcW w:type="dxa" w:w="1904"/>
            <w:shd w:val="clear" w:color="auto" w:fill="FFFFFF"/>
          </w:tcPr>
          <w:p>
            <w:r>
              <w:rPr>
                <w:b/>
                <w:color w:val="1A5F8A"/>
                <w:sz w:val="16"/>
              </w:rPr>
              <w:t>C – CPQ</w:t>
            </w:r>
          </w:p>
        </w:tc>
        <w:tc>
          <w:tcPr>
            <w:tcW w:type="dxa" w:w="1904"/>
            <w:shd w:val="clear" w:color="auto" w:fill="FFFFFF"/>
          </w:tcPr>
          <w:p>
            <w:r>
              <w:rPr>
                <w:b w:val="0"/>
                <w:sz w:val="16"/>
              </w:rPr>
              <w:t>No CAD-quote link</w:t>
            </w:r>
          </w:p>
        </w:tc>
        <w:tc>
          <w:tcPr>
            <w:tcW w:type="dxa" w:w="1904"/>
            <w:shd w:val="clear" w:color="auto" w:fill="FFFFFF"/>
          </w:tcPr>
          <w:p>
            <w:r>
              <w:rPr>
                <w:b w:val="0"/>
                <w:sz w:val="16"/>
              </w:rPr>
              <w:t>Quote and CAD fully decoupled</w:t>
            </w:r>
          </w:p>
        </w:tc>
        <w:tc>
          <w:tcPr>
            <w:tcW w:type="dxa" w:w="1904"/>
            <w:shd w:val="clear" w:color="auto" w:fill="FFFFFF"/>
          </w:tcPr>
          <w:p>
            <w:r>
              <w:rPr>
                <w:b w:val="0"/>
                <w:sz w:val="16"/>
              </w:rPr>
              <w:t>50–70% engineering changes from quote/CAD inconsistency</w:t>
            </w:r>
          </w:p>
        </w:tc>
        <w:tc>
          <w:tcPr>
            <w:tcW w:type="dxa" w:w="1904"/>
            <w:shd w:val="clear" w:color="auto" w:fill="FFFFFF"/>
          </w:tcPr>
          <w:p>
            <w:pPr>
              <w:jc w:val="center"/>
            </w:pPr>
            <w:r>
              <w:rPr>
                <w:b w:val="0"/>
                <w:sz w:val="16"/>
              </w:rPr>
              <w:t>★★★★☆</w:t>
            </w:r>
          </w:p>
        </w:tc>
      </w:tr>
      <w:tr>
        <w:tc>
          <w:tcPr>
            <w:tcW w:type="dxa" w:w="1904"/>
            <w:shd w:val="clear" w:color="auto" w:fill="F2F5F8"/>
          </w:tcPr>
          <w:p>
            <w:r>
              <w:rPr>
                <w:b/>
                <w:color w:val="1A5F8A"/>
                <w:sz w:val="16"/>
              </w:rPr>
              <w:t>C – CPQ</w:t>
            </w:r>
          </w:p>
        </w:tc>
        <w:tc>
          <w:tcPr>
            <w:tcW w:type="dxa" w:w="1904"/>
            <w:shd w:val="clear" w:color="auto" w:fill="F2F5F8"/>
          </w:tcPr>
          <w:p>
            <w:r>
              <w:rPr>
                <w:b w:val="0"/>
                <w:sz w:val="16"/>
              </w:rPr>
              <w:t>ETO without solution</w:t>
            </w:r>
          </w:p>
        </w:tc>
        <w:tc>
          <w:tcPr>
            <w:tcW w:type="dxa" w:w="1904"/>
            <w:shd w:val="clear" w:color="auto" w:fill="F2F5F8"/>
          </w:tcPr>
          <w:p>
            <w:r>
              <w:rPr>
                <w:b w:val="0"/>
                <w:sz w:val="16"/>
              </w:rPr>
              <w:t>No standard CPQ for true ETO products</w:t>
            </w:r>
          </w:p>
        </w:tc>
        <w:tc>
          <w:tcPr>
            <w:tcW w:type="dxa" w:w="1904"/>
            <w:shd w:val="clear" w:color="auto" w:fill="F2F5F8"/>
          </w:tcPr>
          <w:p>
            <w:r>
              <w:rPr>
                <w:b w:val="0"/>
                <w:sz w:val="16"/>
              </w:rPr>
              <w:t>~60% of EU machinery orders are custom-engineered</w:t>
            </w:r>
          </w:p>
        </w:tc>
        <w:tc>
          <w:tcPr>
            <w:tcW w:type="dxa" w:w="1904"/>
            <w:shd w:val="clear" w:color="auto" w:fill="F2F5F8"/>
          </w:tcPr>
          <w:p>
            <w:pPr>
              <w:jc w:val="center"/>
            </w:pPr>
            <w:r>
              <w:rPr>
                <w:b w:val="0"/>
                <w:sz w:val="16"/>
              </w:rPr>
              <w:t>★★★★★</w:t>
            </w:r>
          </w:p>
        </w:tc>
      </w:tr>
      <w:tr>
        <w:tc>
          <w:tcPr>
            <w:tcW w:type="dxa" w:w="1904"/>
            <w:shd w:val="clear" w:color="auto" w:fill="FFFFFF"/>
          </w:tcPr>
          <w:p>
            <w:r>
              <w:rPr>
                <w:b/>
                <w:color w:val="1A5F8A"/>
                <w:sz w:val="16"/>
              </w:rPr>
              <w:t>D – SC Planning</w:t>
            </w:r>
          </w:p>
        </w:tc>
        <w:tc>
          <w:tcPr>
            <w:tcW w:type="dxa" w:w="1904"/>
            <w:shd w:val="clear" w:color="auto" w:fill="FFFFFF"/>
          </w:tcPr>
          <w:p>
            <w:r>
              <w:rPr>
                <w:b w:val="0"/>
                <w:sz w:val="16"/>
              </w:rPr>
              <w:t>Forecast errors</w:t>
            </w:r>
          </w:p>
        </w:tc>
        <w:tc>
          <w:tcPr>
            <w:tcW w:type="dxa" w:w="1904"/>
            <w:shd w:val="clear" w:color="auto" w:fill="FFFFFF"/>
          </w:tcPr>
          <w:p>
            <w:r>
              <w:rPr>
                <w:b w:val="0"/>
                <w:sz w:val="16"/>
              </w:rPr>
              <w:t>Excel + legacy APS, no real-time updates</w:t>
            </w:r>
          </w:p>
        </w:tc>
        <w:tc>
          <w:tcPr>
            <w:tcW w:type="dxa" w:w="1904"/>
            <w:shd w:val="clear" w:color="auto" w:fill="FFFFFF"/>
          </w:tcPr>
          <w:p>
            <w:r>
              <w:rPr>
                <w:b w:val="0"/>
                <w:sz w:val="16"/>
              </w:rPr>
              <w:t>Avg. 30–40% MAPE forecast error; excessive inventory costs</w:t>
            </w:r>
          </w:p>
        </w:tc>
        <w:tc>
          <w:tcPr>
            <w:tcW w:type="dxa" w:w="1904"/>
            <w:shd w:val="clear" w:color="auto" w:fill="FFFFFF"/>
          </w:tcPr>
          <w:p>
            <w:pPr>
              <w:jc w:val="center"/>
            </w:pPr>
            <w:r>
              <w:rPr>
                <w:b w:val="0"/>
                <w:sz w:val="16"/>
              </w:rPr>
              <w:t>★★★★★</w:t>
            </w:r>
          </w:p>
        </w:tc>
      </w:tr>
      <w:tr>
        <w:tc>
          <w:tcPr>
            <w:tcW w:type="dxa" w:w="1904"/>
            <w:shd w:val="clear" w:color="auto" w:fill="F2F5F8"/>
          </w:tcPr>
          <w:p>
            <w:r>
              <w:rPr>
                <w:b/>
                <w:color w:val="1A5F8A"/>
                <w:sz w:val="16"/>
              </w:rPr>
              <w:t>D – SC Planning</w:t>
            </w:r>
          </w:p>
        </w:tc>
        <w:tc>
          <w:tcPr>
            <w:tcW w:type="dxa" w:w="1904"/>
            <w:shd w:val="clear" w:color="auto" w:fill="F2F5F8"/>
          </w:tcPr>
          <w:p>
            <w:r>
              <w:rPr>
                <w:b w:val="0"/>
                <w:sz w:val="16"/>
              </w:rPr>
              <w:t>Multi-tier blindness</w:t>
            </w:r>
          </w:p>
        </w:tc>
        <w:tc>
          <w:tcPr>
            <w:tcW w:type="dxa" w:w="1904"/>
            <w:shd w:val="clear" w:color="auto" w:fill="F2F5F8"/>
          </w:tcPr>
          <w:p>
            <w:r>
              <w:rPr>
                <w:b w:val="0"/>
                <w:sz w:val="16"/>
              </w:rPr>
              <w:t>Only Tier-1 suppliers visible</w:t>
            </w:r>
          </w:p>
        </w:tc>
        <w:tc>
          <w:tcPr>
            <w:tcW w:type="dxa" w:w="1904"/>
            <w:shd w:val="clear" w:color="auto" w:fill="F2F5F8"/>
          </w:tcPr>
          <w:p>
            <w:r>
              <w:rPr>
                <w:b w:val="0"/>
                <w:sz w:val="16"/>
              </w:rPr>
              <w:t>77% of disruptions originate at Tier-2+ suppliers</w:t>
            </w:r>
          </w:p>
        </w:tc>
        <w:tc>
          <w:tcPr>
            <w:tcW w:type="dxa" w:w="1904"/>
            <w:shd w:val="clear" w:color="auto" w:fill="F2F5F8"/>
          </w:tcPr>
          <w:p>
            <w:pPr>
              <w:jc w:val="center"/>
            </w:pPr>
            <w:r>
              <w:rPr>
                <w:b w:val="0"/>
                <w:sz w:val="16"/>
              </w:rPr>
              <w:t>★★★★☆</w:t>
            </w:r>
          </w:p>
        </w:tc>
      </w:tr>
    </w:tbl>
    <w:p>
      <w:pPr>
        <w:spacing w:before="0" w:after="100"/>
      </w:pPr>
    </w:p>
    <w:p>
      <w:pPr>
        <w:pStyle w:val="Heading2"/>
        <w:spacing w:before="160" w:after="60"/>
      </w:pPr>
      <w:r>
        <w:rPr>
          <w:color w:val="1A5F8A"/>
          <w:sz w:val="22"/>
        </w:rPr>
        <w:t>3.3  Relevance for LoopForgeLab — the Strategic Fit</w:t>
      </w:r>
    </w:p>
    <w:p>
      <w:pPr>
        <w:spacing w:before="0" w:after="80"/>
      </w:pPr>
      <w:r>
        <w:rPr>
          <w:b w:val="0"/>
          <w:color w:val="1A1A2E"/>
          <w:sz w:val="20"/>
        </w:rPr>
        <w:t>LoopForgeLab positions its Product Intelligence Engine as the economic integration layer across the engineering ecosystem. The Pitch Deck identifies four direct competitive fields: Engineering, Data &amp; Requirements Management, Sustainability and Sales &amp; Quotes. From the measured customer problems, a clear strategic fit emerges:</w:t>
      </w:r>
    </w:p>
    <w:p>
      <w:pPr>
        <w:spacing w:before="100" w:after="20"/>
      </w:pPr>
      <w:r>
        <w:rPr>
          <w:b/>
          <w:color w:val="0D2B4A"/>
          <w:sz w:val="20"/>
        </w:rPr>
        <w:t>▶  RFQ Module (from Q2 2026)</w:t>
      </w:r>
      <w:r>
        <w:rPr>
          <w:color w:val="00A8CC"/>
          <w:sz w:val="18"/>
        </w:rPr>
        <w:t xml:space="preserve">   [Sub-cluster B &amp; C]</w:t>
      </w:r>
    </w:p>
    <w:p>
      <w:pPr>
        <w:spacing w:before="0" w:after="40"/>
      </w:pPr>
      <w:r>
        <w:rPr>
          <w:b w:val="0"/>
          <w:color w:val="1A1A2E"/>
          <w:sz w:val="20"/>
        </w:rPr>
        <w:t>LFL's first core module automates quote calculation for mechanical products. It resolves the "engineer bottleneck" (30–40% of engineering time on quoting) and closes the gap between CAD model and quote configuration — the core problem of CPQ for ETO.</w:t>
      </w:r>
    </w:p>
    <w:p>
      <w:pPr>
        <w:spacing w:before="100" w:after="20"/>
      </w:pPr>
      <w:r>
        <w:rPr>
          <w:b/>
          <w:color w:val="0D2B4A"/>
          <w:sz w:val="20"/>
        </w:rPr>
        <w:t>▶  Manufacturing Cost Intelligence</w:t>
      </w:r>
      <w:r>
        <w:rPr>
          <w:color w:val="00A8CC"/>
          <w:sz w:val="18"/>
        </w:rPr>
        <w:t xml:space="preserve">   [Sub-cluster B, C]</w:t>
      </w:r>
    </w:p>
    <w:p>
      <w:pPr>
        <w:spacing w:before="0" w:after="40"/>
      </w:pPr>
      <w:r>
        <w:rPr>
          <w:b w:val="0"/>
          <w:color w:val="1A1A2E"/>
          <w:sz w:val="20"/>
        </w:rPr>
        <w:t>Real-time manufacturing costs derived directly from engineering data — without Excel. Addresses the "Economic Gatekeeper" finding: cost-based decisions can be made earlier in the design process rather than at the final stage.</w:t>
      </w:r>
    </w:p>
    <w:p>
      <w:pPr>
        <w:spacing w:before="100" w:after="20"/>
      </w:pPr>
      <w:r>
        <w:rPr>
          <w:b/>
          <w:color w:val="0D2B4A"/>
          <w:sz w:val="20"/>
        </w:rPr>
        <w:t>▶  Compliance &amp; Risk</w:t>
      </w:r>
      <w:r>
        <w:rPr>
          <w:color w:val="00A8CC"/>
          <w:sz w:val="18"/>
        </w:rPr>
        <w:t xml:space="preserve">   [Sub-cluster B, D]</w:t>
      </w:r>
    </w:p>
    <w:p>
      <w:pPr>
        <w:spacing w:before="0" w:after="40"/>
      </w:pPr>
      <w:r>
        <w:rPr>
          <w:b w:val="0"/>
          <w:color w:val="1A1A2E"/>
          <w:sz w:val="20"/>
        </w:rPr>
        <w:t>Integration of CSRD/Scope-3 requirements into the design and procurement process. Addresses the growing regulatory pressure that applies to ~50,000 EU companies from 2025.</w:t>
      </w:r>
    </w:p>
    <w:p>
      <w:pPr>
        <w:spacing w:before="100" w:after="20"/>
      </w:pPr>
      <w:r>
        <w:rPr>
          <w:b/>
          <w:color w:val="0D2B4A"/>
          <w:sz w:val="20"/>
        </w:rPr>
        <w:t>▶  Life Cycle Cost &amp; Operator Insights</w:t>
      </w:r>
      <w:r>
        <w:rPr>
          <w:color w:val="00A8CC"/>
          <w:sz w:val="18"/>
        </w:rPr>
        <w:t xml:space="preserve">   [Sub-cluster C, D]</w:t>
      </w:r>
    </w:p>
    <w:p>
      <w:pPr>
        <w:spacing w:before="0" w:after="40"/>
      </w:pPr>
      <w:r>
        <w:rPr>
          <w:b w:val="0"/>
          <w:color w:val="1A1A2E"/>
          <w:sz w:val="20"/>
        </w:rPr>
        <w:t>Total Cost of Ownership, repairability and circular economy potential as native design parameters — making sustainability an innovation driver rather than a compliance burden.</w:t>
      </w:r>
    </w:p>
    <w:p>
      <w:pPr>
        <w:spacing w:before="0" w:after="60"/>
      </w:pPr>
    </w:p>
    <w:p>
      <w:pPr>
        <w:spacing w:before="0" w:after="40"/>
      </w:pPr>
      <w:r>
        <w:rPr>
          <w:b/>
          <w:color w:val="0D2B4A"/>
          <w:sz w:val="20"/>
        </w:rPr>
        <w:t>Market size (Pitch Deck):  TAM € 16.6B · SAM € 5.6B · SOM € 98M  (415,000 mechanical engineering companies, engineering software CAGR 15%)</w:t>
      </w:r>
    </w:p>
    <w:p>
      <w:pPr>
        <w:spacing w:before="0" w:after="80"/>
      </w:pPr>
      <w:r>
        <w:rPr>
          <w:b w:val="0"/>
          <w:color w:val="1A1A2E"/>
          <w:sz w:val="20"/>
        </w:rPr>
        <w:t>Primary target markets: Packaging Machinery producers · Material Handling Machinery · Engineering Services — OEM in DE/AT/CH/PL/CZ/NL/BE with ≥ 30 employees</w:t>
      </w:r>
    </w:p>
    <w:p>
      <w:r>
        <w:br w:type="page"/>
      </w:r>
    </w:p>
    <w:p>
      <w:pPr>
        <w:pStyle w:val="Heading1"/>
        <w:spacing w:before="200" w:after="80"/>
      </w:pPr>
      <w:r>
        <w:rPr>
          <w:color w:val="0D2B4A"/>
          <w:sz w:val="28"/>
        </w:rPr>
        <w:t>4  Solution Providers &amp; Technologies in Sales &amp; Quotes</w:t>
      </w:r>
    </w:p>
    <w:p>
      <w:pPr>
        <w:pStyle w:val="Heading2"/>
        <w:spacing w:before="160" w:after="60"/>
      </w:pPr>
      <w:r>
        <w:rPr>
          <w:color w:val="1A5F8A"/>
          <w:sz w:val="22"/>
        </w:rPr>
        <w:t>4.1  Provider Profiles by Sub-Cluster</w:t>
      </w:r>
    </w:p>
    <w:p>
      <w:pPr>
        <w:pStyle w:val="Heading3"/>
        <w:spacing w:before="120" w:after="40"/>
      </w:pPr>
      <w:r>
        <w:rPr>
          <w:color w:val="1A5F8A"/>
          <w:sz w:val="20"/>
        </w:rPr>
        <w:t>Sub-Cluster A — RfP / Bid Response Management</w:t>
      </w:r>
    </w:p>
    <w:p>
      <w:pPr>
        <w:spacing w:before="0" w:after="60"/>
      </w:pPr>
      <w:r>
        <w:rPr>
          <w:b w:val="0"/>
          <w:color w:val="1A1A2E"/>
          <w:sz w:val="20"/>
        </w:rPr>
        <w:t>This sub-cluster focuses on AI-assisted automation of responses to tenders (RfP, RfI, DDQ). The market exploded in 2023–2025, disrupted by a wave of AI-native start-ups challenging legacy providers such as Loopio.</w:t>
      </w:r>
    </w:p>
    <w:tbl>
      <w:tblPr>
        <w:tblStyle w:val="TableGrid"/>
        <w:tblW w:type="auto" w:w="0"/>
        <w:jc w:val="center"/>
        <w:tblLook w:firstColumn="1" w:firstRow="1" w:lastColumn="0" w:lastRow="0" w:noHBand="0" w:noVBand="1" w:val="04A0"/>
      </w:tblPr>
      <w:tblGrid>
        <w:gridCol w:w="3173"/>
        <w:gridCol w:w="3173"/>
        <w:gridCol w:w="3173"/>
      </w:tblGrid>
      <w:tr>
        <w:tc>
          <w:tcPr>
            <w:tcW w:type="dxa" w:w="1587"/>
            <w:shd w:val="clear" w:color="auto" w:fill="1A5F8A"/>
          </w:tcPr>
          <w:p>
            <w:pPr>
              <w:jc w:val="center"/>
            </w:pPr>
            <w:r>
              <w:rPr>
                <w:b/>
                <w:color w:val="FFFFFF"/>
                <w:sz w:val="16"/>
              </w:rPr>
              <w:t>Company</w:t>
            </w:r>
          </w:p>
        </w:tc>
        <w:tc>
          <w:tcPr>
            <w:tcW w:type="dxa" w:w="794"/>
            <w:shd w:val="clear" w:color="auto" w:fill="1A5F8A"/>
          </w:tcPr>
          <w:p>
            <w:pPr>
              <w:jc w:val="center"/>
            </w:pPr>
            <w:r>
              <w:rPr>
                <w:b/>
                <w:color w:val="FFFFFF"/>
                <w:sz w:val="16"/>
              </w:rPr>
              <w:t>Type</w:t>
            </w:r>
          </w:p>
        </w:tc>
        <w:tc>
          <w:tcPr>
            <w:tcW w:type="dxa" w:w="7427"/>
            <w:shd w:val="clear" w:color="auto" w:fill="1A5F8A"/>
          </w:tcPr>
          <w:p>
            <w:pPr>
              <w:jc w:val="center"/>
            </w:pPr>
            <w:r>
              <w:rPr>
                <w:b/>
                <w:color w:val="FFFFFF"/>
                <w:sz w:val="16"/>
              </w:rPr>
              <w:t>Solution / USP</w:t>
            </w:r>
          </w:p>
        </w:tc>
      </w:tr>
      <w:tr>
        <w:tc>
          <w:tcPr>
            <w:tcW w:type="dxa" w:w="3173"/>
            <w:shd w:val="clear" w:color="auto" w:fill="FFFFFF"/>
          </w:tcPr>
          <w:p>
            <w:r>
              <w:rPr>
                <w:b/>
                <w:color w:val="0D2B4A"/>
                <w:sz w:val="16"/>
              </w:rPr>
              <w:t>Loopio</w:t>
            </w:r>
          </w:p>
        </w:tc>
        <w:tc>
          <w:tcPr>
            <w:tcW w:type="dxa" w:w="3173"/>
            <w:shd w:val="clear" w:color="auto" w:fill="FFFFFF"/>
          </w:tcPr>
          <w:p>
            <w:pPr>
              <w:jc w:val="center"/>
            </w:pPr>
            <w:r>
              <w:rPr>
                <w:b w:val="0"/>
                <w:color w:val="C0392B"/>
                <w:sz w:val="16"/>
              </w:rPr>
              <w:t>Large</w:t>
            </w:r>
          </w:p>
        </w:tc>
        <w:tc>
          <w:tcPr>
            <w:tcW w:type="dxa" w:w="3173"/>
            <w:shd w:val="clear" w:color="auto" w:fill="FFFFFF"/>
          </w:tcPr>
          <w:p>
            <w:r>
              <w:rPr>
                <w:b w:val="0"/>
                <w:sz w:val="16"/>
              </w:rPr>
              <w:t>RfP market leader, 1,500+ customers. AI trained on 10+ years of proposal data. Strengths: UX, support (9.7/10 G2). Weakness: library-based AI, no live connections, slower than newer AI-native tools.</w:t>
            </w:r>
          </w:p>
        </w:tc>
      </w:tr>
      <w:tr>
        <w:tc>
          <w:tcPr>
            <w:tcW w:type="dxa" w:w="3173"/>
            <w:shd w:val="clear" w:color="auto" w:fill="F2F5F8"/>
          </w:tcPr>
          <w:p>
            <w:r>
              <w:rPr>
                <w:b/>
                <w:color w:val="0D2B4A"/>
                <w:sz w:val="16"/>
              </w:rPr>
              <w:t>Responsive.io</w:t>
            </w:r>
          </w:p>
        </w:tc>
        <w:tc>
          <w:tcPr>
            <w:tcW w:type="dxa" w:w="3173"/>
            <w:shd w:val="clear" w:color="auto" w:fill="F2F5F8"/>
          </w:tcPr>
          <w:p>
            <w:pPr>
              <w:jc w:val="center"/>
            </w:pPr>
            <w:r>
              <w:rPr>
                <w:b w:val="0"/>
                <w:color w:val="C0392B"/>
                <w:sz w:val="16"/>
              </w:rPr>
              <w:t>Large</w:t>
            </w:r>
          </w:p>
        </w:tc>
        <w:tc>
          <w:tcPr>
            <w:tcW w:type="dxa" w:w="3173"/>
            <w:shd w:val="clear" w:color="auto" w:fill="F2F5F8"/>
          </w:tcPr>
          <w:p>
            <w:r>
              <w:rPr>
                <w:b w:val="0"/>
                <w:sz w:val="16"/>
              </w:rPr>
              <w:t>2,000+ customers, 100+ integrations (Salesforce, Slack, MS Teams), 50+ languages. Strengths: broad integration ecosystem, analytics. Weakness: steep learning curve, complex pricing.</w:t>
            </w:r>
          </w:p>
        </w:tc>
      </w:tr>
      <w:tr>
        <w:tc>
          <w:tcPr>
            <w:tcW w:type="dxa" w:w="3173"/>
            <w:shd w:val="clear" w:color="auto" w:fill="FFFFFF"/>
          </w:tcPr>
          <w:p>
            <w:r>
              <w:rPr>
                <w:b/>
                <w:color w:val="0D2B4A"/>
                <w:sz w:val="16"/>
              </w:rPr>
              <w:t>Arphie</w:t>
            </w:r>
          </w:p>
        </w:tc>
        <w:tc>
          <w:tcPr>
            <w:tcW w:type="dxa" w:w="3173"/>
            <w:shd w:val="clear" w:color="auto" w:fill="FFFFFF"/>
          </w:tcPr>
          <w:p>
            <w:pPr>
              <w:jc w:val="center"/>
            </w:pPr>
            <w:r>
              <w:rPr>
                <w:b w:val="0"/>
                <w:color w:val="1A5F8A"/>
                <w:sz w:val="16"/>
              </w:rPr>
              <w:t>Startup</w:t>
            </w:r>
          </w:p>
        </w:tc>
        <w:tc>
          <w:tcPr>
            <w:tcW w:type="dxa" w:w="3173"/>
            <w:shd w:val="clear" w:color="auto" w:fill="FFFFFF"/>
          </w:tcPr>
          <w:p>
            <w:r>
              <w:rPr>
                <w:b w:val="0"/>
                <w:sz w:val="16"/>
              </w:rPr>
              <w:t>AI-native with live KB connections (Google Drive, SharePoint, Confluence). 80%+ time saving vs. Loopio benchmark, 84% AI acceptance rate. Flat-rate pricing (unlimited users). Zero data retention as trust feature.</w:t>
            </w:r>
          </w:p>
        </w:tc>
      </w:tr>
      <w:tr>
        <w:tc>
          <w:tcPr>
            <w:tcW w:type="dxa" w:w="3173"/>
            <w:shd w:val="clear" w:color="auto" w:fill="F2F5F8"/>
          </w:tcPr>
          <w:p>
            <w:r>
              <w:rPr>
                <w:b/>
                <w:color w:val="0D2B4A"/>
                <w:sz w:val="16"/>
              </w:rPr>
              <w:t>Altura</w:t>
            </w:r>
          </w:p>
        </w:tc>
        <w:tc>
          <w:tcPr>
            <w:tcW w:type="dxa" w:w="3173"/>
            <w:shd w:val="clear" w:color="auto" w:fill="F2F5F8"/>
          </w:tcPr>
          <w:p>
            <w:pPr>
              <w:jc w:val="center"/>
            </w:pPr>
            <w:r>
              <w:rPr>
                <w:b w:val="0"/>
                <w:color w:val="1A5F8A"/>
                <w:sz w:val="16"/>
              </w:rPr>
              <w:t>Startup</w:t>
            </w:r>
          </w:p>
        </w:tc>
        <w:tc>
          <w:tcPr>
            <w:tcW w:type="dxa" w:w="3173"/>
            <w:shd w:val="clear" w:color="auto" w:fill="F2F5F8"/>
          </w:tcPr>
          <w:p>
            <w:r>
              <w:rPr>
                <w:b w:val="0"/>
                <w:sz w:val="16"/>
              </w:rPr>
              <w:t>Autonomous "Bid Companion" AI agent that independently completes RfP tasks and proactively flags compliance risks. European focus, real-time bid/no-bid intelligence.</w:t>
            </w:r>
          </w:p>
        </w:tc>
      </w:tr>
      <w:tr>
        <w:tc>
          <w:tcPr>
            <w:tcW w:type="dxa" w:w="3173"/>
            <w:shd w:val="clear" w:color="auto" w:fill="FFFFFF"/>
          </w:tcPr>
          <w:p>
            <w:r>
              <w:rPr>
                <w:b/>
                <w:color w:val="0D2B4A"/>
                <w:sz w:val="16"/>
              </w:rPr>
              <w:t>AutogenAI</w:t>
            </w:r>
          </w:p>
        </w:tc>
        <w:tc>
          <w:tcPr>
            <w:tcW w:type="dxa" w:w="3173"/>
            <w:shd w:val="clear" w:color="auto" w:fill="FFFFFF"/>
          </w:tcPr>
          <w:p>
            <w:pPr>
              <w:jc w:val="center"/>
            </w:pPr>
            <w:r>
              <w:rPr>
                <w:b w:val="0"/>
                <w:color w:val="1A5F8A"/>
                <w:sz w:val="16"/>
              </w:rPr>
              <w:t>Startup</w:t>
            </w:r>
          </w:p>
        </w:tc>
        <w:tc>
          <w:tcPr>
            <w:tcW w:type="dxa" w:w="3173"/>
            <w:shd w:val="clear" w:color="auto" w:fill="FFFFFF"/>
          </w:tcPr>
          <w:p>
            <w:r>
              <w:rPr>
                <w:b w:val="0"/>
                <w:sz w:val="16"/>
              </w:rPr>
              <w:t>$36.1M revenue (2025), 200+ enterprise customers. Generates complete bid documents for complex government and engineering RfPs. Best for narrative-heavy bids; less suited for structured RfQ forms.</w:t>
            </w:r>
          </w:p>
        </w:tc>
      </w:tr>
      <w:tr>
        <w:tc>
          <w:tcPr>
            <w:tcW w:type="dxa" w:w="3173"/>
            <w:shd w:val="clear" w:color="auto" w:fill="F2F5F8"/>
          </w:tcPr>
          <w:p>
            <w:r>
              <w:rPr>
                <w:b/>
                <w:color w:val="0D2B4A"/>
                <w:sz w:val="16"/>
              </w:rPr>
              <w:t>Inventive AI</w:t>
            </w:r>
          </w:p>
        </w:tc>
        <w:tc>
          <w:tcPr>
            <w:tcW w:type="dxa" w:w="3173"/>
            <w:shd w:val="clear" w:color="auto" w:fill="F2F5F8"/>
          </w:tcPr>
          <w:p>
            <w:pPr>
              <w:jc w:val="center"/>
            </w:pPr>
            <w:r>
              <w:rPr>
                <w:b w:val="0"/>
                <w:color w:val="1A5F8A"/>
                <w:sz w:val="16"/>
              </w:rPr>
              <w:t>Startup</w:t>
            </w:r>
          </w:p>
        </w:tc>
        <w:tc>
          <w:tcPr>
            <w:tcW w:type="dxa" w:w="3173"/>
            <w:shd w:val="clear" w:color="auto" w:fill="F2F5F8"/>
          </w:tcPr>
          <w:p>
            <w:r>
              <w:rPr>
                <w:b w:val="0"/>
                <w:sz w:val="16"/>
              </w:rPr>
              <w:t>Identifies "Win Themes" from CRM + Slack + sales calls for strategically superior RfP responses. Deep Salesforce/CRM integration. $1.7M ARR bootstrapped.</w:t>
            </w:r>
          </w:p>
        </w:tc>
      </w:tr>
      <w:tr>
        <w:tc>
          <w:tcPr>
            <w:tcW w:type="dxa" w:w="3173"/>
            <w:shd w:val="clear" w:color="auto" w:fill="FFFFFF"/>
          </w:tcPr>
          <w:p>
            <w:r>
              <w:rPr>
                <w:b/>
                <w:color w:val="0D2B4A"/>
                <w:sz w:val="16"/>
              </w:rPr>
              <w:t>DeepRFP</w:t>
            </w:r>
          </w:p>
        </w:tc>
        <w:tc>
          <w:tcPr>
            <w:tcW w:type="dxa" w:w="3173"/>
            <w:shd w:val="clear" w:color="auto" w:fill="FFFFFF"/>
          </w:tcPr>
          <w:p>
            <w:pPr>
              <w:jc w:val="center"/>
            </w:pPr>
            <w:r>
              <w:rPr>
                <w:b w:val="0"/>
                <w:color w:val="1A5F8A"/>
                <w:sz w:val="16"/>
              </w:rPr>
              <w:t>Startup</w:t>
            </w:r>
          </w:p>
        </w:tc>
        <w:tc>
          <w:tcPr>
            <w:tcW w:type="dxa" w:w="3173"/>
            <w:shd w:val="clear" w:color="auto" w:fill="FFFFFF"/>
          </w:tcPr>
          <w:p>
            <w:r>
              <w:rPr>
                <w:b w:val="0"/>
                <w:sz w:val="16"/>
              </w:rPr>
              <w:t>AI agent platform with 28-language support and dedicated compliance automation agents. Most comprehensive multilingual approach in the cluster.</w:t>
            </w:r>
          </w:p>
        </w:tc>
      </w:tr>
      <w:tr>
        <w:tc>
          <w:tcPr>
            <w:tcW w:type="dxa" w:w="3173"/>
            <w:shd w:val="clear" w:color="auto" w:fill="F2F5F8"/>
          </w:tcPr>
          <w:p>
            <w:r>
              <w:rPr>
                <w:b/>
                <w:color w:val="0D2B4A"/>
                <w:sz w:val="16"/>
              </w:rPr>
              <w:t>AutoRFP.ai</w:t>
            </w:r>
          </w:p>
        </w:tc>
        <w:tc>
          <w:tcPr>
            <w:tcW w:type="dxa" w:w="3173"/>
            <w:shd w:val="clear" w:color="auto" w:fill="F2F5F8"/>
          </w:tcPr>
          <w:p>
            <w:pPr>
              <w:jc w:val="center"/>
            </w:pPr>
            <w:r>
              <w:rPr>
                <w:b w:val="0"/>
                <w:color w:val="1A5F8A"/>
                <w:sz w:val="16"/>
              </w:rPr>
              <w:t>Startup</w:t>
            </w:r>
          </w:p>
        </w:tc>
        <w:tc>
          <w:tcPr>
            <w:tcW w:type="dxa" w:w="3173"/>
            <w:shd w:val="clear" w:color="auto" w:fill="F2F5F8"/>
          </w:tcPr>
          <w:p>
            <w:r>
              <w:rPr>
                <w:b w:val="0"/>
                <w:sz w:val="16"/>
              </w:rPr>
              <w:t>Browser-based RfP automation via Chrome Extension — works directly inside SAP Ariba and government portals. Unique workflow for procurement-driven organisations.</w:t>
            </w:r>
          </w:p>
        </w:tc>
      </w:tr>
    </w:tbl>
    <w:p>
      <w:pPr>
        <w:spacing w:before="0" w:after="100"/>
      </w:pPr>
    </w:p>
    <w:p>
      <w:pPr>
        <w:pStyle w:val="Heading3"/>
        <w:spacing w:before="120" w:after="40"/>
      </w:pPr>
      <w:r>
        <w:rPr>
          <w:color w:val="1A5F8A"/>
          <w:sz w:val="20"/>
        </w:rPr>
        <w:t>Sub-Cluster B — E-Sourcing / RfQ Management (Procurement)</w:t>
      </w:r>
    </w:p>
    <w:p>
      <w:pPr>
        <w:spacing w:before="0" w:after="60"/>
      </w:pPr>
      <w:r>
        <w:rPr>
          <w:b w:val="0"/>
          <w:color w:val="1A1A2E"/>
          <w:sz w:val="20"/>
        </w:rPr>
        <w:t>E-sourcing platforms digitise the procurement process. The market is divided: enterprise suites for large corporations (Coupa, Ivalua, Jaggaer) and affordable alternatives for mid-market companies. The most pressing issue remains the unaffordability of large suites for SMEs.</w:t>
      </w:r>
    </w:p>
    <w:tbl>
      <w:tblPr>
        <w:tblStyle w:val="TableGrid"/>
        <w:tblW w:type="auto" w:w="0"/>
        <w:jc w:val="center"/>
        <w:tblLook w:firstColumn="1" w:firstRow="1" w:lastColumn="0" w:lastRow="0" w:noHBand="0" w:noVBand="1" w:val="04A0"/>
      </w:tblPr>
      <w:tblGrid>
        <w:gridCol w:w="3173"/>
        <w:gridCol w:w="3173"/>
        <w:gridCol w:w="3173"/>
      </w:tblGrid>
      <w:tr>
        <w:tc>
          <w:tcPr>
            <w:tcW w:type="dxa" w:w="1587"/>
            <w:shd w:val="clear" w:color="auto" w:fill="1A5F8A"/>
          </w:tcPr>
          <w:p>
            <w:pPr>
              <w:jc w:val="center"/>
            </w:pPr>
            <w:r>
              <w:rPr>
                <w:b/>
                <w:color w:val="FFFFFF"/>
                <w:sz w:val="16"/>
              </w:rPr>
              <w:t>Company</w:t>
            </w:r>
          </w:p>
        </w:tc>
        <w:tc>
          <w:tcPr>
            <w:tcW w:type="dxa" w:w="794"/>
            <w:shd w:val="clear" w:color="auto" w:fill="1A5F8A"/>
          </w:tcPr>
          <w:p>
            <w:pPr>
              <w:jc w:val="center"/>
            </w:pPr>
            <w:r>
              <w:rPr>
                <w:b/>
                <w:color w:val="FFFFFF"/>
                <w:sz w:val="16"/>
              </w:rPr>
              <w:t>Type</w:t>
            </w:r>
          </w:p>
        </w:tc>
        <w:tc>
          <w:tcPr>
            <w:tcW w:type="dxa" w:w="7427"/>
            <w:shd w:val="clear" w:color="auto" w:fill="1A5F8A"/>
          </w:tcPr>
          <w:p>
            <w:pPr>
              <w:jc w:val="center"/>
            </w:pPr>
            <w:r>
              <w:rPr>
                <w:b/>
                <w:color w:val="FFFFFF"/>
                <w:sz w:val="16"/>
              </w:rPr>
              <w:t>Solution / USP</w:t>
            </w:r>
          </w:p>
        </w:tc>
      </w:tr>
      <w:tr>
        <w:tc>
          <w:tcPr>
            <w:tcW w:type="dxa" w:w="3173"/>
            <w:shd w:val="clear" w:color="auto" w:fill="FFFFFF"/>
          </w:tcPr>
          <w:p>
            <w:r>
              <w:rPr>
                <w:b/>
                <w:color w:val="0D2B4A"/>
                <w:sz w:val="16"/>
              </w:rPr>
              <w:t>Coupa</w:t>
            </w:r>
          </w:p>
        </w:tc>
        <w:tc>
          <w:tcPr>
            <w:tcW w:type="dxa" w:w="3173"/>
            <w:shd w:val="clear" w:color="auto" w:fill="FFFFFF"/>
          </w:tcPr>
          <w:p>
            <w:pPr>
              <w:jc w:val="center"/>
            </w:pPr>
            <w:r>
              <w:rPr>
                <w:b w:val="0"/>
                <w:color w:val="C0392B"/>
                <w:sz w:val="16"/>
              </w:rPr>
              <w:t>Large</w:t>
            </w:r>
          </w:p>
        </w:tc>
        <w:tc>
          <w:tcPr>
            <w:tcW w:type="dxa" w:w="3173"/>
            <w:shd w:val="clear" w:color="auto" w:fill="FFFFFF"/>
          </w:tcPr>
          <w:p>
            <w:r>
              <w:rPr>
                <w:b w:val="0"/>
                <w:sz w:val="16"/>
              </w:rPr>
              <w:t>$619.4M revenue (FY2025), 3,500 employees. Community intelligence from $6T+ transactions for benchmarking and risk detection. End-to-end BSM. Weakness: premium pricing, unsuitable for SMEs.</w:t>
            </w:r>
          </w:p>
        </w:tc>
      </w:tr>
      <w:tr>
        <w:tc>
          <w:tcPr>
            <w:tcW w:type="dxa" w:w="3173"/>
            <w:shd w:val="clear" w:color="auto" w:fill="F2F5F8"/>
          </w:tcPr>
          <w:p>
            <w:r>
              <w:rPr>
                <w:b/>
                <w:color w:val="0D2B4A"/>
                <w:sz w:val="16"/>
              </w:rPr>
              <w:t>Ivalua</w:t>
            </w:r>
          </w:p>
        </w:tc>
        <w:tc>
          <w:tcPr>
            <w:tcW w:type="dxa" w:w="3173"/>
            <w:shd w:val="clear" w:color="auto" w:fill="F2F5F8"/>
          </w:tcPr>
          <w:p>
            <w:pPr>
              <w:jc w:val="center"/>
            </w:pPr>
            <w:r>
              <w:rPr>
                <w:b w:val="0"/>
                <w:color w:val="C0392B"/>
                <w:sz w:val="16"/>
              </w:rPr>
              <w:t>Large</w:t>
            </w:r>
          </w:p>
        </w:tc>
        <w:tc>
          <w:tcPr>
            <w:tcW w:type="dxa" w:w="3173"/>
            <w:shd w:val="clear" w:color="auto" w:fill="F2F5F8"/>
          </w:tcPr>
          <w:p>
            <w:r>
              <w:rPr>
                <w:b w:val="0"/>
                <w:sz w:val="16"/>
              </w:rPr>
              <w:t>Global S2P leader on a unified platform. Strong EU presence, CSRD reporting integration. High implementation costs.</w:t>
            </w:r>
          </w:p>
        </w:tc>
      </w:tr>
      <w:tr>
        <w:tc>
          <w:tcPr>
            <w:tcW w:type="dxa" w:w="3173"/>
            <w:shd w:val="clear" w:color="auto" w:fill="FFFFFF"/>
          </w:tcPr>
          <w:p>
            <w:r>
              <w:rPr>
                <w:b/>
                <w:color w:val="0D2B4A"/>
                <w:sz w:val="16"/>
              </w:rPr>
              <w:t>Jaggaer</w:t>
            </w:r>
          </w:p>
        </w:tc>
        <w:tc>
          <w:tcPr>
            <w:tcW w:type="dxa" w:w="3173"/>
            <w:shd w:val="clear" w:color="auto" w:fill="FFFFFF"/>
          </w:tcPr>
          <w:p>
            <w:pPr>
              <w:jc w:val="center"/>
            </w:pPr>
            <w:r>
              <w:rPr>
                <w:b w:val="0"/>
                <w:color w:val="C0392B"/>
                <w:sz w:val="16"/>
              </w:rPr>
              <w:t>Large</w:t>
            </w:r>
          </w:p>
        </w:tc>
        <w:tc>
          <w:tcPr>
            <w:tcW w:type="dxa" w:w="3173"/>
            <w:shd w:val="clear" w:color="auto" w:fill="FFFFFF"/>
          </w:tcPr>
          <w:p>
            <w:r>
              <w:rPr>
                <w:b w:val="0"/>
                <w:sz w:val="16"/>
              </w:rPr>
              <w:t>Autonomous procurement agents (JAI) for automated source-to-pay. Strong manufacturing industry focus. Enterprise-only.</w:t>
            </w:r>
          </w:p>
        </w:tc>
      </w:tr>
      <w:tr>
        <w:tc>
          <w:tcPr>
            <w:tcW w:type="dxa" w:w="3173"/>
            <w:shd w:val="clear" w:color="auto" w:fill="F2F5F8"/>
          </w:tcPr>
          <w:p>
            <w:r>
              <w:rPr>
                <w:b/>
                <w:color w:val="0D2B4A"/>
                <w:sz w:val="16"/>
              </w:rPr>
              <w:t>Keelvar</w:t>
            </w:r>
          </w:p>
        </w:tc>
        <w:tc>
          <w:tcPr>
            <w:tcW w:type="dxa" w:w="3173"/>
            <w:shd w:val="clear" w:color="auto" w:fill="F2F5F8"/>
          </w:tcPr>
          <w:p>
            <w:pPr>
              <w:jc w:val="center"/>
            </w:pPr>
            <w:r>
              <w:rPr>
                <w:b w:val="0"/>
                <w:color w:val="1A5F8A"/>
                <w:sz w:val="16"/>
              </w:rPr>
              <w:t>Startup</w:t>
            </w:r>
          </w:p>
        </w:tc>
        <w:tc>
          <w:tcPr>
            <w:tcW w:type="dxa" w:w="3173"/>
            <w:shd w:val="clear" w:color="auto" w:fill="F2F5F8"/>
          </w:tcPr>
          <w:p>
            <w:r>
              <w:rPr>
                <w:b w:val="0"/>
                <w:sz w:val="16"/>
              </w:rPr>
              <w:t>Only vendor in Gartner Market Guide 2025 for BOTH Advanced Sourcing Optimization AND Autonomous Sourcing. $90B+ spend managed. Autonomous AI bots run complete RfQ cycles without manual intervention.</w:t>
            </w:r>
          </w:p>
        </w:tc>
      </w:tr>
      <w:tr>
        <w:tc>
          <w:tcPr>
            <w:tcW w:type="dxa" w:w="3173"/>
            <w:shd w:val="clear" w:color="auto" w:fill="FFFFFF"/>
          </w:tcPr>
          <w:p>
            <w:r>
              <w:rPr>
                <w:b/>
                <w:color w:val="0D2B4A"/>
                <w:sz w:val="16"/>
              </w:rPr>
              <w:t>ProcurePort</w:t>
            </w:r>
          </w:p>
        </w:tc>
        <w:tc>
          <w:tcPr>
            <w:tcW w:type="dxa" w:w="3173"/>
            <w:shd w:val="clear" w:color="auto" w:fill="FFFFFF"/>
          </w:tcPr>
          <w:p>
            <w:pPr>
              <w:jc w:val="center"/>
            </w:pPr>
            <w:r>
              <w:rPr>
                <w:b w:val="0"/>
                <w:color w:val="1A5F8A"/>
                <w:sz w:val="16"/>
              </w:rPr>
              <w:t>Startup</w:t>
            </w:r>
          </w:p>
        </w:tc>
        <w:tc>
          <w:tcPr>
            <w:tcW w:type="dxa" w:w="3173"/>
            <w:shd w:val="clear" w:color="auto" w:fill="FFFFFF"/>
          </w:tcPr>
          <w:p>
            <w:r>
              <w:rPr>
                <w:b w:val="0"/>
                <w:sz w:val="16"/>
              </w:rPr>
              <w:t>Affordable full-suite eProcurement since 2011 (bootstrapped). Handles 1,000–15,000-item RfX events. Significantly cheaper than Coupa/Ivalua/Jaggaer — ideal SME entry point.</w:t>
            </w:r>
          </w:p>
        </w:tc>
      </w:tr>
      <w:tr>
        <w:tc>
          <w:tcPr>
            <w:tcW w:type="dxa" w:w="3173"/>
            <w:shd w:val="clear" w:color="auto" w:fill="F2F5F8"/>
          </w:tcPr>
          <w:p>
            <w:r>
              <w:rPr>
                <w:b/>
                <w:color w:val="0D2B4A"/>
                <w:sz w:val="16"/>
              </w:rPr>
              <w:t>QLM Sourcing</w:t>
            </w:r>
          </w:p>
        </w:tc>
        <w:tc>
          <w:tcPr>
            <w:tcW w:type="dxa" w:w="3173"/>
            <w:shd w:val="clear" w:color="auto" w:fill="F2F5F8"/>
          </w:tcPr>
          <w:p>
            <w:pPr>
              <w:jc w:val="center"/>
            </w:pPr>
            <w:r>
              <w:rPr>
                <w:b w:val="0"/>
                <w:color w:val="1A5F8A"/>
                <w:sz w:val="16"/>
              </w:rPr>
              <w:t>Startup</w:t>
            </w:r>
          </w:p>
        </w:tc>
        <w:tc>
          <w:tcPr>
            <w:tcW w:type="dxa" w:w="3173"/>
            <w:shd w:val="clear" w:color="auto" w:fill="F2F5F8"/>
          </w:tcPr>
          <w:p>
            <w:r>
              <w:rPr>
                <w:b w:val="0"/>
                <w:sz w:val="16"/>
              </w:rPr>
              <w:t>Custom eRfQ template engine: per-product-category customisable RfQ forms for engineering procurement. Strong supplier collaboration features.</w:t>
            </w:r>
          </w:p>
        </w:tc>
      </w:tr>
      <w:tr>
        <w:tc>
          <w:tcPr>
            <w:tcW w:type="dxa" w:w="3173"/>
            <w:shd w:val="clear" w:color="auto" w:fill="FFFFFF"/>
          </w:tcPr>
          <w:p>
            <w:r>
              <w:rPr>
                <w:b/>
                <w:color w:val="0D2B4A"/>
                <w:sz w:val="16"/>
              </w:rPr>
              <w:t>Bonfire</w:t>
            </w:r>
          </w:p>
        </w:tc>
        <w:tc>
          <w:tcPr>
            <w:tcW w:type="dxa" w:w="3173"/>
            <w:shd w:val="clear" w:color="auto" w:fill="FFFFFF"/>
          </w:tcPr>
          <w:p>
            <w:pPr>
              <w:jc w:val="center"/>
            </w:pPr>
            <w:r>
              <w:rPr>
                <w:b w:val="0"/>
                <w:color w:val="1A5F8A"/>
                <w:sz w:val="16"/>
              </w:rPr>
              <w:t>Startup</w:t>
            </w:r>
          </w:p>
        </w:tc>
        <w:tc>
          <w:tcPr>
            <w:tcW w:type="dxa" w:w="3173"/>
            <w:shd w:val="clear" w:color="auto" w:fill="FFFFFF"/>
          </w:tcPr>
          <w:p>
            <w:r>
              <w:rPr>
                <w:b w:val="0"/>
                <w:sz w:val="16"/>
              </w:rPr>
              <w:t>600+ public sector procurement teams, $18.2M revenue. Digital scorecards, weighted evaluation, what-if analysis. Weakness: primarily public sector.</w:t>
            </w:r>
          </w:p>
        </w:tc>
      </w:tr>
      <w:tr>
        <w:tc>
          <w:tcPr>
            <w:tcW w:type="dxa" w:w="3173"/>
            <w:shd w:val="clear" w:color="auto" w:fill="F2F5F8"/>
          </w:tcPr>
          <w:p>
            <w:r>
              <w:rPr>
                <w:b/>
                <w:color w:val="0D2B4A"/>
                <w:sz w:val="16"/>
              </w:rPr>
              <w:t>Vendorful</w:t>
            </w:r>
          </w:p>
        </w:tc>
        <w:tc>
          <w:tcPr>
            <w:tcW w:type="dxa" w:w="3173"/>
            <w:shd w:val="clear" w:color="auto" w:fill="F2F5F8"/>
          </w:tcPr>
          <w:p>
            <w:pPr>
              <w:jc w:val="center"/>
            </w:pPr>
            <w:r>
              <w:rPr>
                <w:b w:val="0"/>
                <w:color w:val="1A5F8A"/>
                <w:sz w:val="16"/>
              </w:rPr>
              <w:t>Startup</w:t>
            </w:r>
          </w:p>
        </w:tc>
        <w:tc>
          <w:tcPr>
            <w:tcW w:type="dxa" w:w="3173"/>
            <w:shd w:val="clear" w:color="auto" w:fill="F2F5F8"/>
          </w:tcPr>
          <w:p>
            <w:r>
              <w:rPr>
                <w:b w:val="0"/>
                <w:sz w:val="16"/>
              </w:rPr>
              <w:t>API-first e-sourcing with deep ERP integration, replaces Excel/SharePoint RfX workflows. Suitable for beginners and experts alike.</w:t>
            </w:r>
          </w:p>
        </w:tc>
      </w:tr>
    </w:tbl>
    <w:p>
      <w:pPr>
        <w:spacing w:before="0" w:after="100"/>
      </w:pPr>
    </w:p>
    <w:p>
      <w:pPr>
        <w:pStyle w:val="Heading3"/>
        <w:spacing w:before="120" w:after="40"/>
      </w:pPr>
      <w:r>
        <w:rPr>
          <w:color w:val="1A5F8A"/>
          <w:sz w:val="20"/>
        </w:rPr>
        <w:t>Sub-Cluster C — CPQ: Configure Price Quote</w:t>
      </w:r>
    </w:p>
    <w:p>
      <w:pPr>
        <w:spacing w:before="0" w:after="60"/>
      </w:pPr>
      <w:r>
        <w:rPr>
          <w:b w:val="0"/>
          <w:color w:val="1A1A2E"/>
          <w:sz w:val="20"/>
        </w:rPr>
        <w:t>CPQ is the smallest sub-cluster (3 companies) but holds the strongest strategic fit to LoopForgeLab. The core task: configure complex, customer-specific products (Engineer-to-Order) so that a correct quote is generated in minutes rather than weeks — including automatic CAD generation. Around 60% of all orders in European mechanical engineering are custom; a scalable standard solution is missing.</w:t>
      </w:r>
    </w:p>
    <w:tbl>
      <w:tblPr>
        <w:tblStyle w:val="TableGrid"/>
        <w:tblW w:type="auto" w:w="0"/>
        <w:jc w:val="center"/>
        <w:tblLook w:firstColumn="1" w:firstRow="1" w:lastColumn="0" w:lastRow="0" w:noHBand="0" w:noVBand="1" w:val="04A0"/>
      </w:tblPr>
      <w:tblGrid>
        <w:gridCol w:w="3173"/>
        <w:gridCol w:w="3173"/>
        <w:gridCol w:w="3173"/>
      </w:tblGrid>
      <w:tr>
        <w:tc>
          <w:tcPr>
            <w:tcW w:type="dxa" w:w="1587"/>
            <w:shd w:val="clear" w:color="auto" w:fill="1A5F8A"/>
          </w:tcPr>
          <w:p>
            <w:pPr>
              <w:jc w:val="center"/>
            </w:pPr>
            <w:r>
              <w:rPr>
                <w:b/>
                <w:color w:val="FFFFFF"/>
                <w:sz w:val="16"/>
              </w:rPr>
              <w:t>Company</w:t>
            </w:r>
          </w:p>
        </w:tc>
        <w:tc>
          <w:tcPr>
            <w:tcW w:type="dxa" w:w="794"/>
            <w:shd w:val="clear" w:color="auto" w:fill="1A5F8A"/>
          </w:tcPr>
          <w:p>
            <w:pPr>
              <w:jc w:val="center"/>
            </w:pPr>
            <w:r>
              <w:rPr>
                <w:b/>
                <w:color w:val="FFFFFF"/>
                <w:sz w:val="16"/>
              </w:rPr>
              <w:t>Type</w:t>
            </w:r>
          </w:p>
        </w:tc>
        <w:tc>
          <w:tcPr>
            <w:tcW w:type="dxa" w:w="7427"/>
            <w:shd w:val="clear" w:color="auto" w:fill="1A5F8A"/>
          </w:tcPr>
          <w:p>
            <w:pPr>
              <w:jc w:val="center"/>
            </w:pPr>
            <w:r>
              <w:rPr>
                <w:b/>
                <w:color w:val="FFFFFF"/>
                <w:sz w:val="16"/>
              </w:rPr>
              <w:t>Solution / USP</w:t>
            </w:r>
          </w:p>
        </w:tc>
      </w:tr>
      <w:tr>
        <w:tc>
          <w:tcPr>
            <w:tcW w:type="dxa" w:w="3173"/>
            <w:shd w:val="clear" w:color="auto" w:fill="FFFFFF"/>
          </w:tcPr>
          <w:p>
            <w:r>
              <w:rPr>
                <w:b/>
                <w:color w:val="0D2B4A"/>
                <w:sz w:val="16"/>
              </w:rPr>
              <w:t>Tacton</w:t>
            </w:r>
          </w:p>
        </w:tc>
        <w:tc>
          <w:tcPr>
            <w:tcW w:type="dxa" w:w="3173"/>
            <w:shd w:val="clear" w:color="auto" w:fill="FFFFFF"/>
          </w:tcPr>
          <w:p>
            <w:pPr>
              <w:jc w:val="center"/>
            </w:pPr>
            <w:r>
              <w:rPr>
                <w:b w:val="0"/>
                <w:color w:val="C0392B"/>
                <w:sz w:val="16"/>
              </w:rPr>
              <w:t>Large</w:t>
            </w:r>
          </w:p>
        </w:tc>
        <w:tc>
          <w:tcPr>
            <w:tcW w:type="dxa" w:w="3173"/>
            <w:shd w:val="clear" w:color="auto" w:fill="FFFFFF"/>
          </w:tcPr>
          <w:p>
            <w:r>
              <w:rPr>
                <w:b w:val="0"/>
                <w:sz w:val="16"/>
              </w:rPr>
              <w:t>Stockholm, 301 employees. Market leader CPQ for complex manufactured products. Only CPQ solution with integrated CO₂ footprint calculation and EPD generation directly in product configuration. Strong CAD and ERP/CRM coupling.</w:t>
            </w:r>
          </w:p>
        </w:tc>
      </w:tr>
      <w:tr>
        <w:tc>
          <w:tcPr>
            <w:tcW w:type="dxa" w:w="3173"/>
            <w:shd w:val="clear" w:color="auto" w:fill="F2F5F8"/>
          </w:tcPr>
          <w:p>
            <w:r>
              <w:rPr>
                <w:b/>
                <w:color w:val="0D2B4A"/>
                <w:sz w:val="16"/>
              </w:rPr>
              <w:t>DriveWorks</w:t>
            </w:r>
          </w:p>
        </w:tc>
        <w:tc>
          <w:tcPr>
            <w:tcW w:type="dxa" w:w="3173"/>
            <w:shd w:val="clear" w:color="auto" w:fill="F2F5F8"/>
          </w:tcPr>
          <w:p>
            <w:pPr>
              <w:jc w:val="center"/>
            </w:pPr>
            <w:r>
              <w:rPr>
                <w:b w:val="0"/>
                <w:color w:val="1A5F8A"/>
                <w:sz w:val="16"/>
              </w:rPr>
              <w:t>Startup</w:t>
            </w:r>
          </w:p>
        </w:tc>
        <w:tc>
          <w:tcPr>
            <w:tcW w:type="dxa" w:w="3173"/>
            <w:shd w:val="clear" w:color="auto" w:fill="F2F5F8"/>
          </w:tcPr>
          <w:p>
            <w:r>
              <w:rPr>
                <w:b w:val="0"/>
                <w:sz w:val="16"/>
              </w:rPr>
              <w:t>Sheffield, UK. Design automation + CPQ native to SolidWorks. Rule-based CAD generation directly from the quote — unique workflow: quote → CAD model automatically. Dominant in the SolidWorks ecosystem.</w:t>
            </w:r>
          </w:p>
        </w:tc>
      </w:tr>
      <w:tr>
        <w:tc>
          <w:tcPr>
            <w:tcW w:type="dxa" w:w="3173"/>
            <w:shd w:val="clear" w:color="auto" w:fill="FFFFFF"/>
          </w:tcPr>
          <w:p>
            <w:r>
              <w:rPr>
                <w:b/>
                <w:color w:val="0D2B4A"/>
                <w:sz w:val="16"/>
              </w:rPr>
              <w:t>Elfsquad</w:t>
            </w:r>
          </w:p>
        </w:tc>
        <w:tc>
          <w:tcPr>
            <w:tcW w:type="dxa" w:w="3173"/>
            <w:shd w:val="clear" w:color="auto" w:fill="FFFFFF"/>
          </w:tcPr>
          <w:p>
            <w:pPr>
              <w:jc w:val="center"/>
            </w:pPr>
            <w:r>
              <w:rPr>
                <w:b w:val="0"/>
                <w:color w:val="1A5F8A"/>
                <w:sz w:val="16"/>
              </w:rPr>
              <w:t>Startup</w:t>
            </w:r>
          </w:p>
        </w:tc>
        <w:tc>
          <w:tcPr>
            <w:tcW w:type="dxa" w:w="3173"/>
            <w:shd w:val="clear" w:color="auto" w:fill="FFFFFF"/>
          </w:tcPr>
          <w:p>
            <w:r>
              <w:rPr>
                <w:b w:val="0"/>
                <w:sz w:val="16"/>
              </w:rPr>
              <w:t>Groningen, NL. CPQ/configuration software specifically for manufacturing and industrial companies. Focus on visual product configuration and seamless ERP integration for DACH/Benelux mid-market.</w:t>
            </w:r>
          </w:p>
        </w:tc>
      </w:tr>
    </w:tbl>
    <w:p>
      <w:pPr>
        <w:spacing w:before="0" w:after="100"/>
      </w:pPr>
    </w:p>
    <w:p>
      <w:pPr>
        <w:pStyle w:val="Heading3"/>
        <w:spacing w:before="120" w:after="40"/>
      </w:pPr>
      <w:r>
        <w:rPr>
          <w:color w:val="1A5F8A"/>
          <w:sz w:val="20"/>
        </w:rPr>
        <w:t>Sub-Cluster D — Supply Chain Planning &amp; Optimisation</w:t>
      </w:r>
    </w:p>
    <w:p>
      <w:pPr>
        <w:spacing w:before="0" w:after="60"/>
      </w:pPr>
      <w:r>
        <w:rPr>
          <w:b w:val="0"/>
          <w:color w:val="1A1A2E"/>
          <w:sz w:val="20"/>
        </w:rPr>
        <w:t>With 14 companies, this is the largest sub-cluster. Supply chain planning solutions address forecast errors, real-time responsiveness and multi-tier supplier visibility. The market is dominated by a few large platform providers, complemented by specialised AI start-ups for risk management and optimisation.</w:t>
      </w:r>
    </w:p>
    <w:tbl>
      <w:tblPr>
        <w:tblStyle w:val="TableGrid"/>
        <w:tblW w:type="auto" w:w="0"/>
        <w:jc w:val="center"/>
        <w:tblLook w:firstColumn="1" w:firstRow="1" w:lastColumn="0" w:lastRow="0" w:noHBand="0" w:noVBand="1" w:val="04A0"/>
      </w:tblPr>
      <w:tblGrid>
        <w:gridCol w:w="3173"/>
        <w:gridCol w:w="3173"/>
        <w:gridCol w:w="3173"/>
      </w:tblGrid>
      <w:tr>
        <w:tc>
          <w:tcPr>
            <w:tcW w:type="dxa" w:w="1587"/>
            <w:shd w:val="clear" w:color="auto" w:fill="1A5F8A"/>
          </w:tcPr>
          <w:p>
            <w:pPr>
              <w:jc w:val="center"/>
            </w:pPr>
            <w:r>
              <w:rPr>
                <w:b/>
                <w:color w:val="FFFFFF"/>
                <w:sz w:val="16"/>
              </w:rPr>
              <w:t>Company</w:t>
            </w:r>
          </w:p>
        </w:tc>
        <w:tc>
          <w:tcPr>
            <w:tcW w:type="dxa" w:w="794"/>
            <w:shd w:val="clear" w:color="auto" w:fill="1A5F8A"/>
          </w:tcPr>
          <w:p>
            <w:pPr>
              <w:jc w:val="center"/>
            </w:pPr>
            <w:r>
              <w:rPr>
                <w:b/>
                <w:color w:val="FFFFFF"/>
                <w:sz w:val="16"/>
              </w:rPr>
              <w:t>Type</w:t>
            </w:r>
          </w:p>
        </w:tc>
        <w:tc>
          <w:tcPr>
            <w:tcW w:type="dxa" w:w="7427"/>
            <w:shd w:val="clear" w:color="auto" w:fill="1A5F8A"/>
          </w:tcPr>
          <w:p>
            <w:pPr>
              <w:jc w:val="center"/>
            </w:pPr>
            <w:r>
              <w:rPr>
                <w:b/>
                <w:color w:val="FFFFFF"/>
                <w:sz w:val="16"/>
              </w:rPr>
              <w:t>Solution / USP</w:t>
            </w:r>
          </w:p>
        </w:tc>
      </w:tr>
      <w:tr>
        <w:tc>
          <w:tcPr>
            <w:tcW w:type="dxa" w:w="3173"/>
            <w:shd w:val="clear" w:color="auto" w:fill="FFFFFF"/>
          </w:tcPr>
          <w:p>
            <w:r>
              <w:rPr>
                <w:b/>
                <w:color w:val="0D2B4A"/>
                <w:sz w:val="16"/>
              </w:rPr>
              <w:t>Kinaxis</w:t>
            </w:r>
          </w:p>
        </w:tc>
        <w:tc>
          <w:tcPr>
            <w:tcW w:type="dxa" w:w="3173"/>
            <w:shd w:val="clear" w:color="auto" w:fill="FFFFFF"/>
          </w:tcPr>
          <w:p>
            <w:pPr>
              <w:jc w:val="center"/>
            </w:pPr>
            <w:r>
              <w:rPr>
                <w:b w:val="0"/>
                <w:color w:val="C0392B"/>
                <w:sz w:val="16"/>
              </w:rPr>
              <w:t>Large</w:t>
            </w:r>
          </w:p>
        </w:tc>
        <w:tc>
          <w:tcPr>
            <w:tcW w:type="dxa" w:w="3173"/>
            <w:shd w:val="clear" w:color="auto" w:fill="FFFFFF"/>
          </w:tcPr>
          <w:p>
            <w:r>
              <w:rPr>
                <w:b w:val="0"/>
                <w:sz w:val="16"/>
              </w:rPr>
              <w:t>Ottawa, CA. Concurrent planning platform "Maestro" — the only AI-infused end-to-end SC orchestration platform. Real-time plan adjustment instead of sequential cycles. Dominant in automotive and high-tech.</w:t>
            </w:r>
          </w:p>
        </w:tc>
      </w:tr>
      <w:tr>
        <w:tc>
          <w:tcPr>
            <w:tcW w:type="dxa" w:w="3173"/>
            <w:shd w:val="clear" w:color="auto" w:fill="F2F5F8"/>
          </w:tcPr>
          <w:p>
            <w:r>
              <w:rPr>
                <w:b/>
                <w:color w:val="0D2B4A"/>
                <w:sz w:val="16"/>
              </w:rPr>
              <w:t>Blue Yonder</w:t>
            </w:r>
          </w:p>
        </w:tc>
        <w:tc>
          <w:tcPr>
            <w:tcW w:type="dxa" w:w="3173"/>
            <w:shd w:val="clear" w:color="auto" w:fill="F2F5F8"/>
          </w:tcPr>
          <w:p>
            <w:pPr>
              <w:jc w:val="center"/>
            </w:pPr>
            <w:r>
              <w:rPr>
                <w:b w:val="0"/>
                <w:color w:val="C0392B"/>
                <w:sz w:val="16"/>
              </w:rPr>
              <w:t>Large</w:t>
            </w:r>
          </w:p>
        </w:tc>
        <w:tc>
          <w:tcPr>
            <w:tcW w:type="dxa" w:w="3173"/>
            <w:shd w:val="clear" w:color="auto" w:fill="F2F5F8"/>
          </w:tcPr>
          <w:p>
            <w:r>
              <w:rPr>
                <w:b w:val="0"/>
                <w:sz w:val="16"/>
              </w:rPr>
              <w:t>Scottsdale, USA. AI/ML-powered supply chain planning &amp; execution. Broad industry coverage. Strong demand-sensing capabilities.</w:t>
            </w:r>
          </w:p>
        </w:tc>
      </w:tr>
      <w:tr>
        <w:tc>
          <w:tcPr>
            <w:tcW w:type="dxa" w:w="3173"/>
            <w:shd w:val="clear" w:color="auto" w:fill="FFFFFF"/>
          </w:tcPr>
          <w:p>
            <w:r>
              <w:rPr>
                <w:b/>
                <w:color w:val="0D2B4A"/>
                <w:sz w:val="16"/>
              </w:rPr>
              <w:t>o9 Solutions</w:t>
            </w:r>
          </w:p>
        </w:tc>
        <w:tc>
          <w:tcPr>
            <w:tcW w:type="dxa" w:w="3173"/>
            <w:shd w:val="clear" w:color="auto" w:fill="FFFFFF"/>
          </w:tcPr>
          <w:p>
            <w:pPr>
              <w:jc w:val="center"/>
            </w:pPr>
            <w:r>
              <w:rPr>
                <w:b w:val="0"/>
                <w:color w:val="1A5F8A"/>
                <w:sz w:val="16"/>
              </w:rPr>
              <w:t>Startup</w:t>
            </w:r>
          </w:p>
        </w:tc>
        <w:tc>
          <w:tcPr>
            <w:tcW w:type="dxa" w:w="3173"/>
            <w:shd w:val="clear" w:color="auto" w:fill="FFFFFF"/>
          </w:tcPr>
          <w:p>
            <w:r>
              <w:rPr>
                <w:b w:val="0"/>
                <w:sz w:val="16"/>
              </w:rPr>
              <w:t>Dallas, TX. Proprietary Enterprise Knowledge Graph (EKG) for end-to-end SC modelling. Neurosymbolic AI agents + GenAI/LLM composite agents for cross-functional planning.</w:t>
            </w:r>
          </w:p>
        </w:tc>
      </w:tr>
      <w:tr>
        <w:tc>
          <w:tcPr>
            <w:tcW w:type="dxa" w:w="3173"/>
            <w:shd w:val="clear" w:color="auto" w:fill="F2F5F8"/>
          </w:tcPr>
          <w:p>
            <w:r>
              <w:rPr>
                <w:b/>
                <w:color w:val="0D2B4A"/>
                <w:sz w:val="16"/>
              </w:rPr>
              <w:t>Resilinc</w:t>
            </w:r>
          </w:p>
        </w:tc>
        <w:tc>
          <w:tcPr>
            <w:tcW w:type="dxa" w:w="3173"/>
            <w:shd w:val="clear" w:color="auto" w:fill="F2F5F8"/>
          </w:tcPr>
          <w:p>
            <w:pPr>
              <w:jc w:val="center"/>
            </w:pPr>
            <w:r>
              <w:rPr>
                <w:b w:val="0"/>
                <w:color w:val="1A5F8A"/>
                <w:sz w:val="16"/>
              </w:rPr>
              <w:t>Startup</w:t>
            </w:r>
          </w:p>
        </w:tc>
        <w:tc>
          <w:tcPr>
            <w:tcW w:type="dxa" w:w="3173"/>
            <w:shd w:val="clear" w:color="auto" w:fill="F2F5F8"/>
          </w:tcPr>
          <w:p>
            <w:r>
              <w:rPr>
                <w:b w:val="0"/>
                <w:sz w:val="16"/>
              </w:rPr>
              <w:t>Milpitas, CA. Agentic AI trained on 15+ years of SC data. Autonomous risk detection and mitigation. Specialist in multi-tier visibility and disruption response.</w:t>
            </w:r>
          </w:p>
        </w:tc>
      </w:tr>
      <w:tr>
        <w:tc>
          <w:tcPr>
            <w:tcW w:type="dxa" w:w="3173"/>
            <w:shd w:val="clear" w:color="auto" w:fill="FFFFFF"/>
          </w:tcPr>
          <w:p>
            <w:r>
              <w:rPr>
                <w:b/>
                <w:color w:val="0D2B4A"/>
                <w:sz w:val="16"/>
              </w:rPr>
              <w:t>Scoutbee</w:t>
            </w:r>
          </w:p>
        </w:tc>
        <w:tc>
          <w:tcPr>
            <w:tcW w:type="dxa" w:w="3173"/>
            <w:shd w:val="clear" w:color="auto" w:fill="FFFFFF"/>
          </w:tcPr>
          <w:p>
            <w:pPr>
              <w:jc w:val="center"/>
            </w:pPr>
            <w:r>
              <w:rPr>
                <w:b w:val="0"/>
                <w:color w:val="1A5F8A"/>
                <w:sz w:val="16"/>
              </w:rPr>
              <w:t>Startup</w:t>
            </w:r>
          </w:p>
        </w:tc>
        <w:tc>
          <w:tcPr>
            <w:tcW w:type="dxa" w:w="3173"/>
            <w:shd w:val="clear" w:color="auto" w:fill="FFFFFF"/>
          </w:tcPr>
          <w:p>
            <w:r>
              <w:rPr>
                <w:b w:val="0"/>
                <w:sz w:val="16"/>
              </w:rPr>
              <w:t>Würzburg, DE. AI-driven supplier discovery and risk management using LLMs. European player, strong ties to German manufacturing industry.</w:t>
            </w:r>
          </w:p>
        </w:tc>
      </w:tr>
      <w:tr>
        <w:tc>
          <w:tcPr>
            <w:tcW w:type="dxa" w:w="3173"/>
            <w:shd w:val="clear" w:color="auto" w:fill="F2F5F8"/>
          </w:tcPr>
          <w:p>
            <w:r>
              <w:rPr>
                <w:b/>
                <w:color w:val="0D2B4A"/>
                <w:sz w:val="16"/>
              </w:rPr>
              <w:t>Cosmo Tech</w:t>
            </w:r>
          </w:p>
        </w:tc>
        <w:tc>
          <w:tcPr>
            <w:tcW w:type="dxa" w:w="3173"/>
            <w:shd w:val="clear" w:color="auto" w:fill="F2F5F8"/>
          </w:tcPr>
          <w:p>
            <w:pPr>
              <w:jc w:val="center"/>
            </w:pPr>
            <w:r>
              <w:rPr>
                <w:b w:val="0"/>
                <w:color w:val="1A5F8A"/>
                <w:sz w:val="16"/>
              </w:rPr>
              <w:t>Startup</w:t>
            </w:r>
          </w:p>
        </w:tc>
        <w:tc>
          <w:tcPr>
            <w:tcW w:type="dxa" w:w="3173"/>
            <w:shd w:val="clear" w:color="auto" w:fill="F2F5F8"/>
          </w:tcPr>
          <w:p>
            <w:r>
              <w:rPr>
                <w:b w:val="0"/>
                <w:sz w:val="16"/>
              </w:rPr>
              <w:t>Lyon, FR. Simulation-based supply chain optimisation with digital twins. Strength: complex scenario analysis for non-linear SC problems.</w:t>
            </w:r>
          </w:p>
        </w:tc>
      </w:tr>
    </w:tbl>
    <w:p>
      <w:pPr>
        <w:spacing w:before="0" w:after="100"/>
      </w:pPr>
    </w:p>
    <w:p>
      <w:r>
        <w:br w:type="page"/>
      </w:r>
    </w:p>
    <w:p>
      <w:pPr>
        <w:pStyle w:val="Heading2"/>
        <w:spacing w:before="160" w:after="60"/>
      </w:pPr>
      <w:r>
        <w:rPr>
          <w:color w:val="1A5F8A"/>
          <w:sz w:val="22"/>
        </w:rPr>
        <w:t>4.2  Technology Radar: Key Technologies in Sales &amp; Quotes</w:t>
      </w:r>
    </w:p>
    <w:p>
      <w:pPr>
        <w:spacing w:before="0" w:after="60"/>
      </w:pPr>
      <w:r>
        <w:rPr>
          <w:b w:val="0"/>
          <w:color w:val="1A1A2E"/>
          <w:sz w:val="20"/>
        </w:rPr>
        <w:t>The technology radar below shows the most important technologies in the Sales &amp; Quotes market, their maturity and relevance to LoopForgeLab:</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928"/>
            <w:shd w:val="clear" w:color="auto" w:fill="0D2B4A"/>
          </w:tcPr>
          <w:p>
            <w:pPr>
              <w:jc w:val="center"/>
            </w:pPr>
            <w:r>
              <w:rPr>
                <w:b/>
                <w:color w:val="FFFFFF"/>
                <w:sz w:val="16"/>
              </w:rPr>
              <w:t>Technology</w:t>
            </w:r>
          </w:p>
        </w:tc>
        <w:tc>
          <w:tcPr>
            <w:tcW w:type="dxa" w:w="1134"/>
            <w:shd w:val="clear" w:color="auto" w:fill="0D2B4A"/>
          </w:tcPr>
          <w:p>
            <w:pPr>
              <w:jc w:val="center"/>
            </w:pPr>
            <w:r>
              <w:rPr>
                <w:b/>
                <w:color w:val="FFFFFF"/>
                <w:sz w:val="16"/>
              </w:rPr>
              <w:t>Maturity</w:t>
            </w:r>
          </w:p>
        </w:tc>
        <w:tc>
          <w:tcPr>
            <w:tcW w:type="dxa" w:w="567"/>
            <w:shd w:val="clear" w:color="auto" w:fill="0D2B4A"/>
          </w:tcPr>
          <w:p>
            <w:pPr>
              <w:jc w:val="center"/>
            </w:pPr>
            <w:r>
              <w:rPr>
                <w:b/>
                <w:color w:val="FFFFFF"/>
                <w:sz w:val="16"/>
              </w:rPr>
              <w:t>Cluster</w:t>
            </w:r>
          </w:p>
        </w:tc>
        <w:tc>
          <w:tcPr>
            <w:tcW w:type="dxa" w:w="2154"/>
            <w:shd w:val="clear" w:color="auto" w:fill="0D2B4A"/>
          </w:tcPr>
          <w:p>
            <w:pPr>
              <w:jc w:val="center"/>
            </w:pPr>
            <w:r>
              <w:rPr>
                <w:b/>
                <w:color w:val="FFFFFF"/>
                <w:sz w:val="16"/>
              </w:rPr>
              <w:t>Example Providers</w:t>
            </w:r>
          </w:p>
        </w:tc>
        <w:tc>
          <w:tcPr>
            <w:tcW w:type="dxa" w:w="2211"/>
            <w:shd w:val="clear" w:color="auto" w:fill="0D2B4A"/>
          </w:tcPr>
          <w:p>
            <w:pPr>
              <w:jc w:val="center"/>
            </w:pPr>
            <w:r>
              <w:rPr>
                <w:b/>
                <w:color w:val="FFFFFF"/>
                <w:sz w:val="16"/>
              </w:rPr>
              <w:t>Competitive Differentiation</w:t>
            </w:r>
          </w:p>
        </w:tc>
        <w:tc>
          <w:tcPr>
            <w:tcW w:type="dxa" w:w="1814"/>
            <w:shd w:val="clear" w:color="auto" w:fill="0D2B4A"/>
          </w:tcPr>
          <w:p>
            <w:pPr>
              <w:jc w:val="center"/>
            </w:pPr>
            <w:r>
              <w:rPr>
                <w:b/>
                <w:color w:val="FFFFFF"/>
                <w:sz w:val="16"/>
              </w:rPr>
              <w:t>LFL Relevance</w:t>
            </w:r>
          </w:p>
        </w:tc>
      </w:tr>
      <w:tr>
        <w:tc>
          <w:tcPr>
            <w:tcW w:type="dxa" w:w="1586"/>
            <w:shd w:val="clear" w:color="auto" w:fill="FFFFFF"/>
          </w:tcPr>
          <w:p>
            <w:r>
              <w:rPr>
                <w:b w:val="0"/>
                <w:sz w:val="16"/>
              </w:rPr>
              <w:t>Generative AI (LLM) for Proposal Text</w:t>
            </w:r>
          </w:p>
        </w:tc>
        <w:tc>
          <w:tcPr>
            <w:tcW w:type="dxa" w:w="1586"/>
            <w:shd w:val="clear" w:color="auto" w:fill="FFFFFF"/>
          </w:tcPr>
          <w:p>
            <w:r>
              <w:rPr>
                <w:b w:val="0"/>
                <w:sz w:val="16"/>
              </w:rPr>
              <w:t>★★★★★ Production</w:t>
            </w:r>
          </w:p>
        </w:tc>
        <w:tc>
          <w:tcPr>
            <w:tcW w:type="dxa" w:w="1586"/>
            <w:shd w:val="clear" w:color="auto" w:fill="FFFFFF"/>
          </w:tcPr>
          <w:p>
            <w:pPr>
              <w:jc w:val="center"/>
            </w:pPr>
            <w:r>
              <w:rPr>
                <w:b w:val="0"/>
                <w:sz w:val="16"/>
              </w:rPr>
              <w:t>A</w:t>
            </w:r>
          </w:p>
        </w:tc>
        <w:tc>
          <w:tcPr>
            <w:tcW w:type="dxa" w:w="1586"/>
            <w:shd w:val="clear" w:color="auto" w:fill="FFFFFF"/>
          </w:tcPr>
          <w:p>
            <w:r>
              <w:rPr>
                <w:b w:val="0"/>
                <w:sz w:val="16"/>
              </w:rPr>
              <w:t>Arphie, AutogenAI, Inventive AI, Loopio, DeepRFP, Altura</w:t>
            </w:r>
          </w:p>
        </w:tc>
        <w:tc>
          <w:tcPr>
            <w:tcW w:type="dxa" w:w="1586"/>
            <w:shd w:val="clear" w:color="auto" w:fill="FFFFFF"/>
          </w:tcPr>
          <w:p>
            <w:r>
              <w:rPr>
                <w:b w:val="0"/>
                <w:sz w:val="16"/>
              </w:rPr>
              <w:t>Decisive — quality, speed, personalisation</w:t>
            </w:r>
          </w:p>
        </w:tc>
        <w:tc>
          <w:tcPr>
            <w:tcW w:type="dxa" w:w="1586"/>
            <w:shd w:val="clear" w:color="auto" w:fill="FFFFFF"/>
          </w:tcPr>
          <w:p>
            <w:r>
              <w:rPr>
                <w:b w:val="0"/>
                <w:i/>
                <w:color w:val="1A5F8A"/>
                <w:sz w:val="16"/>
              </w:rPr>
              <w:t>Directly relevant for LFL's RFQ text generation</w:t>
            </w:r>
          </w:p>
        </w:tc>
      </w:tr>
      <w:tr>
        <w:tc>
          <w:tcPr>
            <w:tcW w:type="dxa" w:w="1586"/>
            <w:shd w:val="clear" w:color="auto" w:fill="F2F5F8"/>
          </w:tcPr>
          <w:p>
            <w:r>
              <w:rPr>
                <w:b w:val="0"/>
                <w:sz w:val="16"/>
              </w:rPr>
              <w:t>RAG (Retrieval-Augmented Generation)</w:t>
            </w:r>
          </w:p>
        </w:tc>
        <w:tc>
          <w:tcPr>
            <w:tcW w:type="dxa" w:w="1586"/>
            <w:shd w:val="clear" w:color="auto" w:fill="F2F5F8"/>
          </w:tcPr>
          <w:p>
            <w:r>
              <w:rPr>
                <w:b w:val="0"/>
                <w:sz w:val="16"/>
              </w:rPr>
              <w:t>★★★★★ Production</w:t>
            </w:r>
          </w:p>
        </w:tc>
        <w:tc>
          <w:tcPr>
            <w:tcW w:type="dxa" w:w="1586"/>
            <w:shd w:val="clear" w:color="auto" w:fill="F2F5F8"/>
          </w:tcPr>
          <w:p>
            <w:pPr>
              <w:jc w:val="center"/>
            </w:pPr>
            <w:r>
              <w:rPr>
                <w:b w:val="0"/>
                <w:sz w:val="16"/>
              </w:rPr>
              <w:t>A+B</w:t>
            </w:r>
          </w:p>
        </w:tc>
        <w:tc>
          <w:tcPr>
            <w:tcW w:type="dxa" w:w="1586"/>
            <w:shd w:val="clear" w:color="auto" w:fill="F2F5F8"/>
          </w:tcPr>
          <w:p>
            <w:r>
              <w:rPr>
                <w:b w:val="0"/>
                <w:sz w:val="16"/>
              </w:rPr>
              <w:t>Arphie (live KB), Inventive AI, Responsive.io</w:t>
            </w:r>
          </w:p>
        </w:tc>
        <w:tc>
          <w:tcPr>
            <w:tcW w:type="dxa" w:w="1586"/>
            <w:shd w:val="clear" w:color="auto" w:fill="F2F5F8"/>
          </w:tcPr>
          <w:p>
            <w:r>
              <w:rPr>
                <w:b w:val="0"/>
                <w:sz w:val="16"/>
              </w:rPr>
              <w:t>Foundation for all AI-native tools — knowledge base access</w:t>
            </w:r>
          </w:p>
        </w:tc>
        <w:tc>
          <w:tcPr>
            <w:tcW w:type="dxa" w:w="1586"/>
            <w:shd w:val="clear" w:color="auto" w:fill="F2F5F8"/>
          </w:tcPr>
          <w:p>
            <w:r>
              <w:rPr>
                <w:b w:val="0"/>
                <w:i/>
                <w:color w:val="1A5F8A"/>
                <w:sz w:val="16"/>
              </w:rPr>
              <w:t>Core technology for LFL's Data Desert solution</w:t>
            </w:r>
          </w:p>
        </w:tc>
      </w:tr>
      <w:tr>
        <w:tc>
          <w:tcPr>
            <w:tcW w:type="dxa" w:w="1586"/>
            <w:shd w:val="clear" w:color="auto" w:fill="FFFFFF"/>
          </w:tcPr>
          <w:p>
            <w:r>
              <w:rPr>
                <w:b w:val="0"/>
                <w:sz w:val="16"/>
              </w:rPr>
              <w:t>Autonomous AI Agents</w:t>
            </w:r>
          </w:p>
        </w:tc>
        <w:tc>
          <w:tcPr>
            <w:tcW w:type="dxa" w:w="1586"/>
            <w:shd w:val="clear" w:color="auto" w:fill="FFFFFF"/>
          </w:tcPr>
          <w:p>
            <w:r>
              <w:rPr>
                <w:b w:val="0"/>
                <w:sz w:val="16"/>
              </w:rPr>
              <w:t>★★★★☆ Rising</w:t>
            </w:r>
          </w:p>
        </w:tc>
        <w:tc>
          <w:tcPr>
            <w:tcW w:type="dxa" w:w="1586"/>
            <w:shd w:val="clear" w:color="auto" w:fill="FFFFFF"/>
          </w:tcPr>
          <w:p>
            <w:pPr>
              <w:jc w:val="center"/>
            </w:pPr>
            <w:r>
              <w:rPr>
                <w:b w:val="0"/>
                <w:sz w:val="16"/>
              </w:rPr>
              <w:t>A+B</w:t>
            </w:r>
          </w:p>
        </w:tc>
        <w:tc>
          <w:tcPr>
            <w:tcW w:type="dxa" w:w="1586"/>
            <w:shd w:val="clear" w:color="auto" w:fill="FFFFFF"/>
          </w:tcPr>
          <w:p>
            <w:r>
              <w:rPr>
                <w:b w:val="0"/>
                <w:sz w:val="16"/>
              </w:rPr>
              <w:t>Keelvar (Sourcing Bots), Altura (Bid Companion), Arphie</w:t>
            </w:r>
          </w:p>
        </w:tc>
        <w:tc>
          <w:tcPr>
            <w:tcW w:type="dxa" w:w="1586"/>
            <w:shd w:val="clear" w:color="auto" w:fill="FFFFFF"/>
          </w:tcPr>
          <w:p>
            <w:r>
              <w:rPr>
                <w:b w:val="0"/>
                <w:sz w:val="16"/>
              </w:rPr>
              <w:t>Next evolution: from assist to autonomous</w:t>
            </w:r>
          </w:p>
        </w:tc>
        <w:tc>
          <w:tcPr>
            <w:tcW w:type="dxa" w:w="1586"/>
            <w:shd w:val="clear" w:color="auto" w:fill="FFFFFF"/>
          </w:tcPr>
          <w:p>
            <w:r>
              <w:rPr>
                <w:b w:val="0"/>
                <w:i/>
                <w:color w:val="1A5F8A"/>
                <w:sz w:val="16"/>
              </w:rPr>
              <w:t>Roadmap-relevant for LFL's Design Copilot</w:t>
            </w:r>
          </w:p>
        </w:tc>
      </w:tr>
      <w:tr>
        <w:tc>
          <w:tcPr>
            <w:tcW w:type="dxa" w:w="1586"/>
            <w:shd w:val="clear" w:color="auto" w:fill="F2F5F8"/>
          </w:tcPr>
          <w:p>
            <w:r>
              <w:rPr>
                <w:b w:val="0"/>
                <w:sz w:val="16"/>
              </w:rPr>
              <w:t>Constraint-based Configuration Engine</w:t>
            </w:r>
          </w:p>
        </w:tc>
        <w:tc>
          <w:tcPr>
            <w:tcW w:type="dxa" w:w="1586"/>
            <w:shd w:val="clear" w:color="auto" w:fill="F2F5F8"/>
          </w:tcPr>
          <w:p>
            <w:r>
              <w:rPr>
                <w:b w:val="0"/>
                <w:sz w:val="16"/>
              </w:rPr>
              <w:t>★★★★★ Production</w:t>
            </w:r>
          </w:p>
        </w:tc>
        <w:tc>
          <w:tcPr>
            <w:tcW w:type="dxa" w:w="1586"/>
            <w:shd w:val="clear" w:color="auto" w:fill="F2F5F8"/>
          </w:tcPr>
          <w:p>
            <w:pPr>
              <w:jc w:val="center"/>
            </w:pPr>
            <w:r>
              <w:rPr>
                <w:b w:val="0"/>
                <w:sz w:val="16"/>
              </w:rPr>
              <w:t>C</w:t>
            </w:r>
          </w:p>
        </w:tc>
        <w:tc>
          <w:tcPr>
            <w:tcW w:type="dxa" w:w="1586"/>
            <w:shd w:val="clear" w:color="auto" w:fill="F2F5F8"/>
          </w:tcPr>
          <w:p>
            <w:r>
              <w:rPr>
                <w:b w:val="0"/>
                <w:sz w:val="16"/>
              </w:rPr>
              <w:t>Tacton, DriveWorks, Elfsquad</w:t>
            </w:r>
          </w:p>
        </w:tc>
        <w:tc>
          <w:tcPr>
            <w:tcW w:type="dxa" w:w="1586"/>
            <w:shd w:val="clear" w:color="auto" w:fill="F2F5F8"/>
          </w:tcPr>
          <w:p>
            <w:r>
              <w:rPr>
                <w:b w:val="0"/>
                <w:sz w:val="16"/>
              </w:rPr>
              <w:t>Core IP for CPQ in ETO — differentiation through complexity depth</w:t>
            </w:r>
          </w:p>
        </w:tc>
        <w:tc>
          <w:tcPr>
            <w:tcW w:type="dxa" w:w="1586"/>
            <w:shd w:val="clear" w:color="auto" w:fill="F2F5F8"/>
          </w:tcPr>
          <w:p>
            <w:r>
              <w:rPr>
                <w:b w:val="0"/>
                <w:i/>
                <w:color w:val="1A5F8A"/>
                <w:sz w:val="16"/>
              </w:rPr>
              <w:t>Direct competition for LFL's RFQ module for ETO</w:t>
            </w:r>
          </w:p>
        </w:tc>
      </w:tr>
      <w:tr>
        <w:tc>
          <w:tcPr>
            <w:tcW w:type="dxa" w:w="1586"/>
            <w:shd w:val="clear" w:color="auto" w:fill="FFFFFF"/>
          </w:tcPr>
          <w:p>
            <w:r>
              <w:rPr>
                <w:b w:val="0"/>
                <w:sz w:val="16"/>
              </w:rPr>
              <w:t>CAD-CPQ Integration</w:t>
            </w:r>
          </w:p>
        </w:tc>
        <w:tc>
          <w:tcPr>
            <w:tcW w:type="dxa" w:w="1586"/>
            <w:shd w:val="clear" w:color="auto" w:fill="FFFFFF"/>
          </w:tcPr>
          <w:p>
            <w:r>
              <w:rPr>
                <w:b w:val="0"/>
                <w:sz w:val="16"/>
              </w:rPr>
              <w:t>★★★★☆ Production</w:t>
            </w:r>
          </w:p>
        </w:tc>
        <w:tc>
          <w:tcPr>
            <w:tcW w:type="dxa" w:w="1586"/>
            <w:shd w:val="clear" w:color="auto" w:fill="FFFFFF"/>
          </w:tcPr>
          <w:p>
            <w:pPr>
              <w:jc w:val="center"/>
            </w:pPr>
            <w:r>
              <w:rPr>
                <w:b w:val="0"/>
                <w:sz w:val="16"/>
              </w:rPr>
              <w:t>C</w:t>
            </w:r>
          </w:p>
        </w:tc>
        <w:tc>
          <w:tcPr>
            <w:tcW w:type="dxa" w:w="1586"/>
            <w:shd w:val="clear" w:color="auto" w:fill="FFFFFF"/>
          </w:tcPr>
          <w:p>
            <w:r>
              <w:rPr>
                <w:b w:val="0"/>
                <w:sz w:val="16"/>
              </w:rPr>
              <w:t>DriveWorks (SolidWorks-native)</w:t>
            </w:r>
          </w:p>
        </w:tc>
        <w:tc>
          <w:tcPr>
            <w:tcW w:type="dxa" w:w="1586"/>
            <w:shd w:val="clear" w:color="auto" w:fill="FFFFFF"/>
          </w:tcPr>
          <w:p>
            <w:r>
              <w:rPr>
                <w:b w:val="0"/>
                <w:sz w:val="16"/>
              </w:rPr>
              <w:t>Unique workflow: quote → CAD model automatically</w:t>
            </w:r>
          </w:p>
        </w:tc>
        <w:tc>
          <w:tcPr>
            <w:tcW w:type="dxa" w:w="1586"/>
            <w:shd w:val="clear" w:color="auto" w:fill="FFFFFF"/>
          </w:tcPr>
          <w:p>
            <w:r>
              <w:rPr>
                <w:b w:val="0"/>
                <w:i/>
                <w:color w:val="1A5F8A"/>
                <w:sz w:val="16"/>
              </w:rPr>
              <w:t>Core feature of LFL's differentiation approach</w:t>
            </w:r>
          </w:p>
        </w:tc>
      </w:tr>
      <w:tr>
        <w:tc>
          <w:tcPr>
            <w:tcW w:type="dxa" w:w="1586"/>
            <w:shd w:val="clear" w:color="auto" w:fill="F2F5F8"/>
          </w:tcPr>
          <w:p>
            <w:r>
              <w:rPr>
                <w:b w:val="0"/>
                <w:sz w:val="16"/>
              </w:rPr>
              <w:t>ML for Instant Quoting</w:t>
            </w:r>
          </w:p>
        </w:tc>
        <w:tc>
          <w:tcPr>
            <w:tcW w:type="dxa" w:w="1586"/>
            <w:shd w:val="clear" w:color="auto" w:fill="F2F5F8"/>
          </w:tcPr>
          <w:p>
            <w:r>
              <w:rPr>
                <w:b w:val="0"/>
                <w:sz w:val="16"/>
              </w:rPr>
              <w:t>★★★★★ Production</w:t>
            </w:r>
          </w:p>
        </w:tc>
        <w:tc>
          <w:tcPr>
            <w:tcW w:type="dxa" w:w="1586"/>
            <w:shd w:val="clear" w:color="auto" w:fill="F2F5F8"/>
          </w:tcPr>
          <w:p>
            <w:pPr>
              <w:jc w:val="center"/>
            </w:pPr>
            <w:r>
              <w:rPr>
                <w:b w:val="0"/>
                <w:sz w:val="16"/>
              </w:rPr>
              <w:t>B (Mfg)</w:t>
            </w:r>
          </w:p>
        </w:tc>
        <w:tc>
          <w:tcPr>
            <w:tcW w:type="dxa" w:w="1586"/>
            <w:shd w:val="clear" w:color="auto" w:fill="F2F5F8"/>
          </w:tcPr>
          <w:p>
            <w:r>
              <w:rPr>
                <w:b w:val="0"/>
                <w:sz w:val="16"/>
              </w:rPr>
              <w:t>Xometry, Protolabs</w:t>
            </w:r>
          </w:p>
        </w:tc>
        <w:tc>
          <w:tcPr>
            <w:tcW w:type="dxa" w:w="1586"/>
            <w:shd w:val="clear" w:color="auto" w:fill="F2F5F8"/>
          </w:tcPr>
          <w:p>
            <w:r>
              <w:rPr>
                <w:b w:val="0"/>
                <w:sz w:val="16"/>
              </w:rPr>
              <w:t>ML trained on millions of parts — price in &lt;60 sec</w:t>
            </w:r>
          </w:p>
        </w:tc>
        <w:tc>
          <w:tcPr>
            <w:tcW w:type="dxa" w:w="1586"/>
            <w:shd w:val="clear" w:color="auto" w:fill="F2F5F8"/>
          </w:tcPr>
          <w:p>
            <w:r>
              <w:rPr>
                <w:b w:val="0"/>
                <w:i/>
                <w:color w:val="1A5F8A"/>
                <w:sz w:val="16"/>
              </w:rPr>
              <w:t>Long-term goal for LFL in manufacturing network</w:t>
            </w:r>
          </w:p>
        </w:tc>
      </w:tr>
      <w:tr>
        <w:tc>
          <w:tcPr>
            <w:tcW w:type="dxa" w:w="1586"/>
            <w:shd w:val="clear" w:color="auto" w:fill="FFFFFF"/>
          </w:tcPr>
          <w:p>
            <w:r>
              <w:rPr>
                <w:b w:val="0"/>
                <w:sz w:val="16"/>
              </w:rPr>
              <w:t>Concurrent Planning / Digital Twin SC</w:t>
            </w:r>
          </w:p>
        </w:tc>
        <w:tc>
          <w:tcPr>
            <w:tcW w:type="dxa" w:w="1586"/>
            <w:shd w:val="clear" w:color="auto" w:fill="FFFFFF"/>
          </w:tcPr>
          <w:p>
            <w:r>
              <w:rPr>
                <w:b w:val="0"/>
                <w:sz w:val="16"/>
              </w:rPr>
              <w:t>★★★★☆ Rising</w:t>
            </w:r>
          </w:p>
        </w:tc>
        <w:tc>
          <w:tcPr>
            <w:tcW w:type="dxa" w:w="1586"/>
            <w:shd w:val="clear" w:color="auto" w:fill="FFFFFF"/>
          </w:tcPr>
          <w:p>
            <w:pPr>
              <w:jc w:val="center"/>
            </w:pPr>
            <w:r>
              <w:rPr>
                <w:b w:val="0"/>
                <w:sz w:val="16"/>
              </w:rPr>
              <w:t>D</w:t>
            </w:r>
          </w:p>
        </w:tc>
        <w:tc>
          <w:tcPr>
            <w:tcW w:type="dxa" w:w="1586"/>
            <w:shd w:val="clear" w:color="auto" w:fill="FFFFFF"/>
          </w:tcPr>
          <w:p>
            <w:r>
              <w:rPr>
                <w:b w:val="0"/>
                <w:sz w:val="16"/>
              </w:rPr>
              <w:t>Kinaxis (RapidResponse), Cosmo Tech, o9 Solutions</w:t>
            </w:r>
          </w:p>
        </w:tc>
        <w:tc>
          <w:tcPr>
            <w:tcW w:type="dxa" w:w="1586"/>
            <w:shd w:val="clear" w:color="auto" w:fill="FFFFFF"/>
          </w:tcPr>
          <w:p>
            <w:r>
              <w:rPr>
                <w:b w:val="0"/>
                <w:sz w:val="16"/>
              </w:rPr>
              <w:t>Real-time plan adjustment without sequential cycles</w:t>
            </w:r>
          </w:p>
        </w:tc>
        <w:tc>
          <w:tcPr>
            <w:tcW w:type="dxa" w:w="1586"/>
            <w:shd w:val="clear" w:color="auto" w:fill="FFFFFF"/>
          </w:tcPr>
          <w:p>
            <w:r>
              <w:rPr>
                <w:b w:val="0"/>
                <w:i/>
                <w:color w:val="1A5F8A"/>
                <w:sz w:val="16"/>
              </w:rPr>
              <w:t>Indirectly relevant for LFL's supply chain data layer</w:t>
            </w:r>
          </w:p>
        </w:tc>
      </w:tr>
      <w:tr>
        <w:tc>
          <w:tcPr>
            <w:tcW w:type="dxa" w:w="1586"/>
            <w:shd w:val="clear" w:color="auto" w:fill="F2F5F8"/>
          </w:tcPr>
          <w:p>
            <w:r>
              <w:rPr>
                <w:b w:val="0"/>
                <w:sz w:val="16"/>
              </w:rPr>
              <w:t>ESG/CSRD Data in Sourcing Workflow</w:t>
            </w:r>
          </w:p>
        </w:tc>
        <w:tc>
          <w:tcPr>
            <w:tcW w:type="dxa" w:w="1586"/>
            <w:shd w:val="clear" w:color="auto" w:fill="F2F5F8"/>
          </w:tcPr>
          <w:p>
            <w:r>
              <w:rPr>
                <w:b w:val="0"/>
                <w:sz w:val="16"/>
              </w:rPr>
              <w:t>★★★☆☆ Growing</w:t>
            </w:r>
          </w:p>
        </w:tc>
        <w:tc>
          <w:tcPr>
            <w:tcW w:type="dxa" w:w="1586"/>
            <w:shd w:val="clear" w:color="auto" w:fill="F2F5F8"/>
          </w:tcPr>
          <w:p>
            <w:pPr>
              <w:jc w:val="center"/>
            </w:pPr>
            <w:r>
              <w:rPr>
                <w:b w:val="0"/>
                <w:sz w:val="16"/>
              </w:rPr>
              <w:t>B+C</w:t>
            </w:r>
          </w:p>
        </w:tc>
        <w:tc>
          <w:tcPr>
            <w:tcW w:type="dxa" w:w="1586"/>
            <w:shd w:val="clear" w:color="auto" w:fill="F2F5F8"/>
          </w:tcPr>
          <w:p>
            <w:r>
              <w:rPr>
                <w:b w:val="0"/>
                <w:sz w:val="16"/>
              </w:rPr>
              <w:t>Tacton (CO₂ Configurator), Jaggaer, Ivalua</w:t>
            </w:r>
          </w:p>
        </w:tc>
        <w:tc>
          <w:tcPr>
            <w:tcW w:type="dxa" w:w="1586"/>
            <w:shd w:val="clear" w:color="auto" w:fill="F2F5F8"/>
          </w:tcPr>
          <w:p>
            <w:r>
              <w:rPr>
                <w:b w:val="0"/>
                <w:sz w:val="16"/>
              </w:rPr>
              <w:t>Mandatory feature for EU compliance from 2025</w:t>
            </w:r>
          </w:p>
        </w:tc>
        <w:tc>
          <w:tcPr>
            <w:tcW w:type="dxa" w:w="1586"/>
            <w:shd w:val="clear" w:color="auto" w:fill="F2F5F8"/>
          </w:tcPr>
          <w:p>
            <w:r>
              <w:rPr>
                <w:b w:val="0"/>
                <w:i/>
                <w:color w:val="1A5F8A"/>
                <w:sz w:val="16"/>
              </w:rPr>
              <w:t>Core element of LFL Sustainability positioning</w:t>
            </w:r>
          </w:p>
        </w:tc>
      </w:tr>
      <w:tr>
        <w:tc>
          <w:tcPr>
            <w:tcW w:type="dxa" w:w="1586"/>
            <w:shd w:val="clear" w:color="auto" w:fill="FFFFFF"/>
          </w:tcPr>
          <w:p>
            <w:r>
              <w:rPr>
                <w:b w:val="0"/>
                <w:sz w:val="16"/>
              </w:rPr>
              <w:t>Bid/No-Bid AI Scoring</w:t>
            </w:r>
          </w:p>
        </w:tc>
        <w:tc>
          <w:tcPr>
            <w:tcW w:type="dxa" w:w="1586"/>
            <w:shd w:val="clear" w:color="auto" w:fill="FFFFFF"/>
          </w:tcPr>
          <w:p>
            <w:r>
              <w:rPr>
                <w:b w:val="0"/>
                <w:sz w:val="16"/>
              </w:rPr>
              <w:t>★★★☆☆ Rising</w:t>
            </w:r>
          </w:p>
        </w:tc>
        <w:tc>
          <w:tcPr>
            <w:tcW w:type="dxa" w:w="1586"/>
            <w:shd w:val="clear" w:color="auto" w:fill="FFFFFF"/>
          </w:tcPr>
          <w:p>
            <w:pPr>
              <w:jc w:val="center"/>
            </w:pPr>
            <w:r>
              <w:rPr>
                <w:b w:val="0"/>
                <w:sz w:val="16"/>
              </w:rPr>
              <w:t>A</w:t>
            </w:r>
          </w:p>
        </w:tc>
        <w:tc>
          <w:tcPr>
            <w:tcW w:type="dxa" w:w="1586"/>
            <w:shd w:val="clear" w:color="auto" w:fill="FFFFFF"/>
          </w:tcPr>
          <w:p>
            <w:r>
              <w:rPr>
                <w:b w:val="0"/>
                <w:sz w:val="16"/>
              </w:rPr>
              <w:t>Altura, Inventive AI, AutogenAI</w:t>
            </w:r>
          </w:p>
        </w:tc>
        <w:tc>
          <w:tcPr>
            <w:tcW w:type="dxa" w:w="1586"/>
            <w:shd w:val="clear" w:color="auto" w:fill="FFFFFF"/>
          </w:tcPr>
          <w:p>
            <w:r>
              <w:rPr>
                <w:b w:val="0"/>
                <w:sz w:val="16"/>
              </w:rPr>
              <w:t>Optimise resource allocation: prioritise the right bids</w:t>
            </w:r>
          </w:p>
        </w:tc>
        <w:tc>
          <w:tcPr>
            <w:tcW w:type="dxa" w:w="1586"/>
            <w:shd w:val="clear" w:color="auto" w:fill="FFFFFF"/>
          </w:tcPr>
          <w:p>
            <w:r>
              <w:rPr>
                <w:b w:val="0"/>
                <w:i/>
                <w:color w:val="1A5F8A"/>
                <w:sz w:val="16"/>
              </w:rPr>
              <w:t>Relevant for LFL's Technical Sales target group</w:t>
            </w:r>
          </w:p>
        </w:tc>
      </w:tr>
    </w:tbl>
    <w:p>
      <w:pPr>
        <w:spacing w:before="0" w:after="100"/>
      </w:pPr>
    </w:p>
    <w:p>
      <w:r>
        <w:br w:type="page"/>
      </w:r>
    </w:p>
    <w:p>
      <w:pPr>
        <w:pStyle w:val="Heading1"/>
        <w:spacing w:before="200" w:after="80"/>
      </w:pPr>
      <w:r>
        <w:rPr>
          <w:color w:val="0D2B4A"/>
          <w:sz w:val="28"/>
        </w:rPr>
        <w:t>5  Strategic Positioning &amp; Whitespace for LoopForgeLab</w:t>
      </w:r>
    </w:p>
    <w:p>
      <w:pPr>
        <w:spacing w:before="0" w:after="100"/>
      </w:pPr>
      <w:r>
        <w:rPr>
          <w:b w:val="0"/>
          <w:color w:val="1A1A2E"/>
          <w:sz w:val="20"/>
        </w:rPr>
        <w:t>The analysis of 35 companies and 39 solutions in the Sales &amp; Quotes category reveals a clear picture of market gaps that LoopForgeLab can target:</w:t>
      </w:r>
    </w:p>
    <w:p>
      <w:pPr>
        <w:spacing w:before="120" w:after="20"/>
      </w:pPr>
      <w:r>
        <w:rPr>
          <w:b/>
          <w:color w:val="0D2B4A"/>
          <w:sz w:val="22"/>
        </w:rPr>
        <w:t>1.  Engineering-native RFQ process is missing</w:t>
      </w:r>
    </w:p>
    <w:p>
      <w:pPr>
        <w:spacing w:before="0" w:after="60"/>
      </w:pPr>
      <w:r>
        <w:rPr>
          <w:b w:val="0"/>
          <w:color w:val="1A1A2E"/>
          <w:sz w:val="20"/>
        </w:rPr>
        <w:t>All existing CPQ and e-sourcing solutions start after the design process. No solution anchors quote calculation natively in the CAD-based engineering workflow. Tacton and DriveWorks come closest, but are not positioned as "Engineering-First" tools. LFL closes this gap with its Product Intelligence Engine — cost, compliance and CO₂ become native design parameters, not downstream calculations.</w:t>
      </w:r>
    </w:p>
    <w:p>
      <w:pPr>
        <w:spacing w:before="120" w:after="20"/>
      </w:pPr>
      <w:r>
        <w:rPr>
          <w:b/>
          <w:color w:val="0D2B4A"/>
          <w:sz w:val="22"/>
        </w:rPr>
        <w:t>2.  SME-ready ETO-CPQ is missing</w:t>
      </w:r>
    </w:p>
    <w:p>
      <w:pPr>
        <w:spacing w:before="0" w:after="60"/>
      </w:pPr>
      <w:r>
        <w:rPr>
          <w:b w:val="0"/>
          <w:color w:val="1A1A2E"/>
          <w:sz w:val="20"/>
        </w:rPr>
        <w:t>The three CPQ providers (Tacton, DriveWorks, Elfsquad) are either enterprise-only or SolidWorks-exclusive. For the European mid-market (mechanical engineering, material handling), there is no affordable, CAD-agnostic CPQ solution for true ETO products. LFL's target segment (OEM &gt;30 employees in DACH/Benelux) is precisely this gap.</w:t>
      </w:r>
    </w:p>
    <w:p>
      <w:pPr>
        <w:spacing w:before="120" w:after="20"/>
      </w:pPr>
      <w:r>
        <w:rPr>
          <w:b/>
          <w:color w:val="0D2B4A"/>
          <w:sz w:val="22"/>
        </w:rPr>
        <w:t>3.  CO₂ + cost in a single tool</w:t>
      </w:r>
    </w:p>
    <w:p>
      <w:pPr>
        <w:spacing w:before="0" w:after="60"/>
      </w:pPr>
      <w:r>
        <w:rPr>
          <w:b w:val="0"/>
          <w:color w:val="1A1A2E"/>
          <w:sz w:val="20"/>
        </w:rPr>
        <w:t>Only Tacton has begun integrating a CO₂ calculator into CPQ. The combination of real-time cost calculation, CO₂ feedback and quote generation in an engineer-centric interface does not yet exist. LFL's "Carbon Case" (up to 10.5M tCO₂e savings in year 10 at 14% market share) positions this integration as a strategic differentiator.</w:t>
      </w:r>
    </w:p>
    <w:p>
      <w:pPr>
        <w:spacing w:before="120" w:after="20"/>
      </w:pPr>
      <w:r>
        <w:rPr>
          <w:b/>
          <w:color w:val="0D2B4A"/>
          <w:sz w:val="22"/>
        </w:rPr>
        <w:t>4.  Tribal knowledge as competitive advantage</w:t>
      </w:r>
    </w:p>
    <w:p>
      <w:pPr>
        <w:spacing w:before="0" w:after="60"/>
      </w:pPr>
      <w:r>
        <w:rPr>
          <w:b w:val="0"/>
          <w:color w:val="1A1A2E"/>
          <w:sz w:val="20"/>
        </w:rPr>
        <w:t>No provider in the Sales &amp; Quotes category explicitly addresses the codification of institutional engineering knowledge. LFL's "Operator Insights" module (repairability, circular economy) and Design Copilot approach create scalable digital knowledge infrastructure — a genuine whitespace.</w:t>
      </w:r>
    </w:p>
    <w:p>
      <w:pPr>
        <w:spacing w:before="0" w:after="120"/>
      </w:pPr>
    </w:p>
    <w:p>
      <w:pPr>
        <w:spacing w:before="160"/>
      </w:pPr>
      <w:r>
        <w:rPr>
          <w:b/>
          <w:color w:val="0D2B4A"/>
          <w:sz w:val="22"/>
        </w:rPr>
        <w:t>⟶  LoopForgeLab is the only provider occupying the whitespace of "economic integration" — connecting engineering physics with economic logic at the moment of maximum influence: the early design phase. This is not a feature competitors can copy overnight — it requires deep domain expertise in mechanical engineering, product economics and AI engineering simultaneously.</w:t>
      </w:r>
    </w:p>
    <w:p>
      <w:pPr>
        <w:spacing w:before="0" w:after="120"/>
      </w:pPr>
    </w:p>
    <w:p>
      <w:pPr>
        <w:spacing w:before="0" w:after="40"/>
      </w:pPr>
      <w:r>
        <w:rPr>
          <w:b w:val="0"/>
          <w:color w:val="808090"/>
          <w:sz w:val="15"/>
        </w:rPr>
        <w:t>Sources: All market data from Competitive Intelligence Database v1.7 (13 March 2026). Qualitative insights from LoopForgeLab White Paper (February 2026, 44 expert interviews) and LoopForgeLab Pitch Deck (March 2026). External benchmarks: Loopio RfP Benchmark Report; Resilinc Supply Chain Disruption Study 2023; DriveWorks Engineering Change Studies; McKinsey Supply Chain Disruption Cost Analysis 2023; Center for Automotive Research 2026; EU Commission CSRD Regulation.</w:t>
      </w:r>
    </w:p>
    <w:sectPr w:rsidR="00FC693F" w:rsidRPr="0006063C" w:rsidSect="00034616">
      <w:pgSz w:w="12240" w:h="15840"/>
      <w:pgMar w:top="1020" w:right="1361" w:bottom="102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Calibri" w:hAnsi="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