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600"/>
        <w:jc w:val="center"/>
      </w:pPr>
      <w:r>
        <w:rPr>
          <w:b/>
          <w:color w:val="0D2B4A"/>
          <w:sz w:val="56"/>
        </w:rPr>
        <w:t>LoopForgeLab</w:t>
      </w:r>
    </w:p>
    <w:p>
      <w:pPr>
        <w:spacing w:before="80"/>
        <w:jc w:val="center"/>
      </w:pPr>
      <w:r>
        <w:rPr>
          <w:b/>
          <w:color w:val="1A5F8A"/>
          <w:sz w:val="40"/>
        </w:rPr>
        <w:t>Competitive Intelligence Report</w:t>
      </w:r>
    </w:p>
    <w:p>
      <w:pPr>
        <w:spacing w:before="120"/>
        <w:jc w:val="center"/>
      </w:pPr>
      <w:r>
        <w:rPr>
          <w:b w:val="0"/>
          <w:color w:val="00A8CC"/>
          <w:sz w:val="26"/>
        </w:rPr>
        <w:t>Markt- und Wettbewerbsanalyse · Fokus: Sales &amp; Quotes</w:t>
      </w:r>
    </w:p>
    <w:p>
      <w:pPr/>
      <w:r>
        <w:rPr>
          <w:b w:val="0"/>
          <w:sz w:val="20"/>
        </w:rPr>
        <w:t xml:space="preserve"> </w:t>
      </w:r>
    </w:p>
    <w:p>
      <w:pPr>
        <w:jc w:val="center"/>
      </w:pPr>
      <w:r>
        <w:rPr>
          <w:b w:val="0"/>
          <w:color w:val="808090"/>
          <w:sz w:val="18"/>
        </w:rPr>
        <w:t>Datenbasis: Competitive Intelligence DB v1.7  |  Stand: März 2026</w:t>
      </w:r>
    </w:p>
    <w:p>
      <w:pPr>
        <w:jc w:val="center"/>
      </w:pPr>
      <w:r>
        <w:rPr>
          <w:b w:val="0"/>
          <w:color w:val="808090"/>
          <w:sz w:val="18"/>
        </w:rPr>
        <w:t>Erstellt für: LoopForgeLab GbR · Berlin</w:t>
      </w:r>
    </w:p>
    <w:p>
      <w:r>
        <w:br w:type="page"/>
      </w:r>
    </w:p>
    <w:p>
      <w:pPr>
        <w:pStyle w:val="Heading1"/>
      </w:pPr>
      <w:r>
        <w:rPr>
          <w:color w:val="0D2B4A"/>
        </w:rPr>
        <w:t>1  Executive Summary &amp; Marktübersicht</w:t>
      </w:r>
    </w:p>
    <w:p>
      <w:pPr>
        <w:spacing w:after="120"/>
      </w:pPr>
      <w:r>
        <w:rPr>
          <w:b w:val="0"/>
        </w:rPr>
        <w:t>Dieser Competitive Intelligence Report analysiert das Wettbewerbsumfeld von LoopForgeLab — einem Berliner Deep-Tech-Start-up, das eine KI-gestützte "Product Intelligence Engine" für den mechanischen Produktentwicklungsprozess aufbaut. Die Datenbasis umfasst Version 1.7 der internen Competitive-Intelligence-Datenbank, erhoben und strukturiert auf Basis von 44 qualitativen Experteninterviews sowie einer systematischen Marktrecherche.</w:t>
      </w:r>
    </w:p>
    <w:p>
      <w:pPr>
        <w:pStyle w:val="Heading2"/>
      </w:pPr>
      <w:r>
        <w:rPr>
          <w:color w:val="1A5F8A"/>
        </w:rPr>
        <w:t>Datenbasis auf einen Blick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D2B4A"/>
          </w:tcPr>
          <w:p>
            <w:pPr>
              <w:jc w:val="center"/>
            </w:pPr>
            <w:r>
              <w:rPr>
                <w:b/>
                <w:color w:val="FFFFFF"/>
                <w:sz w:val="18"/>
              </w:rPr>
              <w:t>Unique Companies</w:t>
            </w:r>
          </w:p>
        </w:tc>
        <w:tc>
          <w:tcPr>
            <w:tcW w:type="dxa" w:w="2351"/>
            <w:shd w:val="clear" w:color="auto" w:fill="0D2B4A"/>
          </w:tcPr>
          <w:p>
            <w:pPr>
              <w:jc w:val="center"/>
            </w:pPr>
            <w:r>
              <w:rPr>
                <w:b/>
                <w:color w:val="FFFFFF"/>
                <w:sz w:val="18"/>
              </w:rPr>
              <w:t>Produkte / Lösungen</w:t>
            </w:r>
          </w:p>
        </w:tc>
        <w:tc>
          <w:tcPr>
            <w:tcW w:type="dxa" w:w="2351"/>
            <w:shd w:val="clear" w:color="auto" w:fill="0D2B4A"/>
          </w:tcPr>
          <w:p>
            <w:pPr>
              <w:jc w:val="center"/>
            </w:pPr>
            <w:r>
              <w:rPr>
                <w:b/>
                <w:color w:val="FFFFFF"/>
                <w:sz w:val="18"/>
              </w:rPr>
              <w:t>Große Unternehmen</w:t>
            </w:r>
          </w:p>
        </w:tc>
        <w:tc>
          <w:tcPr>
            <w:tcW w:type="dxa" w:w="2351"/>
            <w:shd w:val="clear" w:color="auto" w:fill="0D2B4A"/>
          </w:tcPr>
          <w:p>
            <w:pPr>
              <w:jc w:val="center"/>
            </w:pPr>
            <w:r>
              <w:rPr>
                <w:b/>
                <w:color w:val="FFFFFF"/>
                <w:sz w:val="18"/>
              </w:rPr>
              <w:t>Start-ups</w:t>
            </w:r>
          </w:p>
        </w:tc>
      </w:tr>
      <w:tr>
        <w:tc>
          <w:tcPr>
            <w:tcW w:type="dxa" w:w="2351"/>
            <w:shd w:val="clear" w:color="auto" w:fill="E8F4F8"/>
          </w:tcPr>
          <w:p>
            <w:pPr>
              <w:jc w:val="center"/>
            </w:pPr>
            <w:r>
              <w:rPr>
                <w:b/>
                <w:color w:val="0D2B4A"/>
                <w:sz w:val="28"/>
              </w:rPr>
              <w:t>371</w:t>
            </w:r>
          </w:p>
        </w:tc>
        <w:tc>
          <w:tcPr>
            <w:tcW w:type="dxa" w:w="2351"/>
            <w:shd w:val="clear" w:color="auto" w:fill="E8F4F8"/>
          </w:tcPr>
          <w:p>
            <w:pPr>
              <w:jc w:val="center"/>
            </w:pPr>
            <w:r>
              <w:rPr>
                <w:b/>
                <w:color w:val="0D2B4A"/>
                <w:sz w:val="28"/>
              </w:rPr>
              <w:t>541</w:t>
            </w:r>
          </w:p>
        </w:tc>
        <w:tc>
          <w:tcPr>
            <w:tcW w:type="dxa" w:w="2351"/>
            <w:shd w:val="clear" w:color="auto" w:fill="E8F4F8"/>
          </w:tcPr>
          <w:p>
            <w:pPr>
              <w:jc w:val="center"/>
            </w:pPr>
            <w:r>
              <w:rPr>
                <w:b/>
                <w:color w:val="0D2B4A"/>
                <w:sz w:val="28"/>
              </w:rPr>
              <w:t>76  (20 %)</w:t>
            </w:r>
          </w:p>
        </w:tc>
        <w:tc>
          <w:tcPr>
            <w:tcW w:type="dxa" w:w="2351"/>
            <w:shd w:val="clear" w:color="auto" w:fill="E8F4F8"/>
          </w:tcPr>
          <w:p>
            <w:pPr>
              <w:jc w:val="center"/>
            </w:pPr>
            <w:r>
              <w:rPr>
                <w:b/>
                <w:color w:val="0D2B4A"/>
                <w:sz w:val="28"/>
              </w:rPr>
              <w:t>295  (80 %)</w:t>
            </w:r>
          </w:p>
        </w:tc>
      </w:tr>
    </w:tbl>
    <w:p/>
    <w:p>
      <w:pPr>
        <w:pStyle w:val="Heading2"/>
      </w:pPr>
      <w:r>
        <w:rPr>
          <w:color w:val="1A5F8A"/>
        </w:rPr>
        <w:t>Marktaufteilung nach Kategorien</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984"/>
            <w:shd w:val="clear" w:color="auto" w:fill="0D2B4A"/>
          </w:tcPr>
          <w:p>
            <w:pPr>
              <w:jc w:val="center"/>
            </w:pPr>
            <w:r>
              <w:rPr>
                <w:b/>
                <w:color w:val="FFFFFF"/>
                <w:sz w:val="16"/>
              </w:rPr>
              <w:t>Kategorie</w:t>
            </w:r>
          </w:p>
        </w:tc>
        <w:tc>
          <w:tcPr>
            <w:tcW w:type="dxa" w:w="680"/>
            <w:shd w:val="clear" w:color="auto" w:fill="0D2B4A"/>
          </w:tcPr>
          <w:p>
            <w:pPr>
              <w:jc w:val="center"/>
            </w:pPr>
            <w:r>
              <w:rPr>
                <w:b/>
                <w:color w:val="FFFFFF"/>
                <w:sz w:val="16"/>
              </w:rPr>
              <w:t># Co.</w:t>
            </w:r>
          </w:p>
        </w:tc>
        <w:tc>
          <w:tcPr>
            <w:tcW w:type="dxa" w:w="737"/>
            <w:shd w:val="clear" w:color="auto" w:fill="0D2B4A"/>
          </w:tcPr>
          <w:p>
            <w:pPr>
              <w:jc w:val="center"/>
            </w:pPr>
            <w:r>
              <w:rPr>
                <w:b/>
                <w:color w:val="FFFFFF"/>
                <w:sz w:val="16"/>
              </w:rPr>
              <w:t>Anteil</w:t>
            </w:r>
          </w:p>
        </w:tc>
        <w:tc>
          <w:tcPr>
            <w:tcW w:type="dxa" w:w="737"/>
            <w:shd w:val="clear" w:color="auto" w:fill="0D2B4A"/>
          </w:tcPr>
          <w:p>
            <w:pPr>
              <w:jc w:val="center"/>
            </w:pPr>
            <w:r>
              <w:rPr>
                <w:b/>
                <w:color w:val="FFFFFF"/>
                <w:sz w:val="16"/>
              </w:rPr>
              <w:t># Prod.</w:t>
            </w:r>
          </w:p>
        </w:tc>
        <w:tc>
          <w:tcPr>
            <w:tcW w:type="dxa" w:w="737"/>
            <w:shd w:val="clear" w:color="auto" w:fill="0D2B4A"/>
          </w:tcPr>
          <w:p>
            <w:pPr>
              <w:jc w:val="center"/>
            </w:pPr>
            <w:r>
              <w:rPr>
                <w:b/>
                <w:color w:val="FFFFFF"/>
                <w:sz w:val="16"/>
              </w:rPr>
              <w:t>Anteil</w:t>
            </w:r>
          </w:p>
        </w:tc>
        <w:tc>
          <w:tcPr>
            <w:tcW w:type="dxa" w:w="680"/>
            <w:shd w:val="clear" w:color="auto" w:fill="0D2B4A"/>
          </w:tcPr>
          <w:p>
            <w:pPr>
              <w:jc w:val="center"/>
            </w:pPr>
            <w:r>
              <w:rPr>
                <w:b/>
                <w:color w:val="FFFFFF"/>
                <w:sz w:val="16"/>
              </w:rPr>
              <w:t># Groß</w:t>
            </w:r>
          </w:p>
        </w:tc>
        <w:tc>
          <w:tcPr>
            <w:tcW w:type="dxa" w:w="850"/>
            <w:shd w:val="clear" w:color="auto" w:fill="0D2B4A"/>
          </w:tcPr>
          <w:p>
            <w:pPr>
              <w:jc w:val="center"/>
            </w:pPr>
            <w:r>
              <w:rPr>
                <w:b/>
                <w:color w:val="FFFFFF"/>
                <w:sz w:val="16"/>
              </w:rPr>
              <w:t># Start-up</w:t>
            </w:r>
          </w:p>
        </w:tc>
        <w:tc>
          <w:tcPr>
            <w:tcW w:type="dxa" w:w="850"/>
            <w:shd w:val="clear" w:color="auto" w:fill="0D2B4A"/>
          </w:tcPr>
          <w:p>
            <w:pPr>
              <w:jc w:val="center"/>
            </w:pPr>
            <w:r>
              <w:rPr>
                <w:b/>
                <w:color w:val="FFFFFF"/>
                <w:sz w:val="16"/>
              </w:rPr>
              <w:t>Startup-%</w:t>
            </w:r>
          </w:p>
        </w:tc>
        <w:tc>
          <w:tcPr>
            <w:tcW w:type="dxa" w:w="3118"/>
            <w:shd w:val="clear" w:color="auto" w:fill="0D2B4A"/>
          </w:tcPr>
          <w:p>
            <w:pPr>
              <w:jc w:val="center"/>
            </w:pPr>
            <w:r>
              <w:rPr>
                <w:b/>
                <w:color w:val="FFFFFF"/>
                <w:sz w:val="16"/>
              </w:rPr>
              <w:t>Schwerpunkte</w:t>
            </w:r>
          </w:p>
        </w:tc>
      </w:tr>
      <w:tr>
        <w:tc>
          <w:tcPr>
            <w:tcW w:type="dxa" w:w="1045"/>
            <w:shd w:val="clear" w:color="auto" w:fill="FFFFFF"/>
          </w:tcPr>
          <w:p>
            <w:pPr>
              <w:jc w:val="left"/>
            </w:pPr>
            <w:r>
              <w:rPr>
                <w:sz w:val="16"/>
              </w:rPr>
              <w:t>Engineering</w:t>
            </w:r>
          </w:p>
        </w:tc>
        <w:tc>
          <w:tcPr>
            <w:tcW w:type="dxa" w:w="1045"/>
            <w:shd w:val="clear" w:color="auto" w:fill="FFFFFF"/>
          </w:tcPr>
          <w:p>
            <w:pPr>
              <w:jc w:val="center"/>
            </w:pPr>
            <w:r>
              <w:rPr>
                <w:sz w:val="16"/>
              </w:rPr>
              <w:t>270</w:t>
            </w:r>
          </w:p>
        </w:tc>
        <w:tc>
          <w:tcPr>
            <w:tcW w:type="dxa" w:w="1045"/>
            <w:shd w:val="clear" w:color="auto" w:fill="FFFFFF"/>
          </w:tcPr>
          <w:p>
            <w:pPr>
              <w:jc w:val="center"/>
            </w:pPr>
            <w:r>
              <w:rPr>
                <w:sz w:val="16"/>
              </w:rPr>
              <w:t>72.8 %</w:t>
            </w:r>
          </w:p>
        </w:tc>
        <w:tc>
          <w:tcPr>
            <w:tcW w:type="dxa" w:w="1045"/>
            <w:shd w:val="clear" w:color="auto" w:fill="FFFFFF"/>
          </w:tcPr>
          <w:p>
            <w:pPr>
              <w:jc w:val="center"/>
            </w:pPr>
            <w:r>
              <w:rPr>
                <w:sz w:val="16"/>
              </w:rPr>
              <w:t>380</w:t>
            </w:r>
          </w:p>
        </w:tc>
        <w:tc>
          <w:tcPr>
            <w:tcW w:type="dxa" w:w="1045"/>
            <w:shd w:val="clear" w:color="auto" w:fill="FFFFFF"/>
          </w:tcPr>
          <w:p>
            <w:pPr>
              <w:jc w:val="center"/>
            </w:pPr>
            <w:r>
              <w:rPr>
                <w:sz w:val="16"/>
              </w:rPr>
              <w:t>70.2 %</w:t>
            </w:r>
          </w:p>
        </w:tc>
        <w:tc>
          <w:tcPr>
            <w:tcW w:type="dxa" w:w="1045"/>
            <w:shd w:val="clear" w:color="auto" w:fill="FFFFFF"/>
          </w:tcPr>
          <w:p>
            <w:pPr>
              <w:jc w:val="center"/>
            </w:pPr>
            <w:r>
              <w:rPr>
                <w:sz w:val="16"/>
              </w:rPr>
              <w:t>54</w:t>
            </w:r>
          </w:p>
        </w:tc>
        <w:tc>
          <w:tcPr>
            <w:tcW w:type="dxa" w:w="1045"/>
            <w:shd w:val="clear" w:color="auto" w:fill="FFFFFF"/>
          </w:tcPr>
          <w:p>
            <w:pPr>
              <w:jc w:val="center"/>
            </w:pPr>
            <w:r>
              <w:rPr>
                <w:sz w:val="16"/>
              </w:rPr>
              <w:t>216</w:t>
            </w:r>
          </w:p>
        </w:tc>
        <w:tc>
          <w:tcPr>
            <w:tcW w:type="dxa" w:w="1045"/>
            <w:shd w:val="clear" w:color="auto" w:fill="FFFFFF"/>
          </w:tcPr>
          <w:p>
            <w:pPr>
              <w:jc w:val="center"/>
            </w:pPr>
            <w:r>
              <w:rPr>
                <w:sz w:val="16"/>
              </w:rPr>
              <w:t>80 %</w:t>
            </w:r>
          </w:p>
        </w:tc>
        <w:tc>
          <w:tcPr>
            <w:tcW w:type="dxa" w:w="1045"/>
            <w:shd w:val="clear" w:color="auto" w:fill="FFFFFF"/>
          </w:tcPr>
          <w:p>
            <w:pPr>
              <w:jc w:val="center"/>
            </w:pPr>
            <w:r>
              <w:rPr>
                <w:sz w:val="16"/>
              </w:rPr>
              <w:t>Factory Intelligence &amp; IoT, BIM &amp; Construction,</w:t>
              <w:br/>
              <w:t>Engineering Copilots &amp; AI Assistants, Generative Design</w:t>
            </w:r>
          </w:p>
        </w:tc>
      </w:tr>
      <w:tr>
        <w:tc>
          <w:tcPr>
            <w:tcW w:type="dxa" w:w="1045"/>
            <w:shd w:val="clear" w:color="auto" w:fill="F2F5F8"/>
          </w:tcPr>
          <w:p>
            <w:pPr>
              <w:jc w:val="left"/>
            </w:pPr>
            <w:r>
              <w:rPr>
                <w:sz w:val="16"/>
              </w:rPr>
              <w:t>Data &amp; Requirements Mgmt</w:t>
            </w:r>
          </w:p>
        </w:tc>
        <w:tc>
          <w:tcPr>
            <w:tcW w:type="dxa" w:w="1045"/>
            <w:shd w:val="clear" w:color="auto" w:fill="F2F5F8"/>
          </w:tcPr>
          <w:p>
            <w:pPr>
              <w:jc w:val="center"/>
            </w:pPr>
            <w:r>
              <w:rPr>
                <w:sz w:val="16"/>
              </w:rPr>
              <w:t>40</w:t>
            </w:r>
          </w:p>
        </w:tc>
        <w:tc>
          <w:tcPr>
            <w:tcW w:type="dxa" w:w="1045"/>
            <w:shd w:val="clear" w:color="auto" w:fill="F2F5F8"/>
          </w:tcPr>
          <w:p>
            <w:pPr>
              <w:jc w:val="center"/>
            </w:pPr>
            <w:r>
              <w:rPr>
                <w:sz w:val="16"/>
              </w:rPr>
              <w:t>10.8 %</w:t>
            </w:r>
          </w:p>
        </w:tc>
        <w:tc>
          <w:tcPr>
            <w:tcW w:type="dxa" w:w="1045"/>
            <w:shd w:val="clear" w:color="auto" w:fill="F2F5F8"/>
          </w:tcPr>
          <w:p>
            <w:pPr>
              <w:jc w:val="center"/>
            </w:pPr>
            <w:r>
              <w:rPr>
                <w:sz w:val="16"/>
              </w:rPr>
              <w:t>65</w:t>
            </w:r>
          </w:p>
        </w:tc>
        <w:tc>
          <w:tcPr>
            <w:tcW w:type="dxa" w:w="1045"/>
            <w:shd w:val="clear" w:color="auto" w:fill="F2F5F8"/>
          </w:tcPr>
          <w:p>
            <w:pPr>
              <w:jc w:val="center"/>
            </w:pPr>
            <w:r>
              <w:rPr>
                <w:sz w:val="16"/>
              </w:rPr>
              <w:t>12.0 %</w:t>
            </w:r>
          </w:p>
        </w:tc>
        <w:tc>
          <w:tcPr>
            <w:tcW w:type="dxa" w:w="1045"/>
            <w:shd w:val="clear" w:color="auto" w:fill="F2F5F8"/>
          </w:tcPr>
          <w:p>
            <w:pPr>
              <w:jc w:val="center"/>
            </w:pPr>
            <w:r>
              <w:rPr>
                <w:sz w:val="16"/>
              </w:rPr>
              <w:t>7</w:t>
            </w:r>
          </w:p>
        </w:tc>
        <w:tc>
          <w:tcPr>
            <w:tcW w:type="dxa" w:w="1045"/>
            <w:shd w:val="clear" w:color="auto" w:fill="F2F5F8"/>
          </w:tcPr>
          <w:p>
            <w:pPr>
              <w:jc w:val="center"/>
            </w:pPr>
            <w:r>
              <w:rPr>
                <w:sz w:val="16"/>
              </w:rPr>
              <w:t>33</w:t>
            </w:r>
          </w:p>
        </w:tc>
        <w:tc>
          <w:tcPr>
            <w:tcW w:type="dxa" w:w="1045"/>
            <w:shd w:val="clear" w:color="auto" w:fill="F2F5F8"/>
          </w:tcPr>
          <w:p>
            <w:pPr>
              <w:jc w:val="center"/>
            </w:pPr>
            <w:r>
              <w:rPr>
                <w:sz w:val="16"/>
              </w:rPr>
              <w:t>82 %</w:t>
            </w:r>
          </w:p>
        </w:tc>
        <w:tc>
          <w:tcPr>
            <w:tcW w:type="dxa" w:w="1045"/>
            <w:shd w:val="clear" w:color="auto" w:fill="F2F5F8"/>
          </w:tcPr>
          <w:p>
            <w:pPr>
              <w:jc w:val="center"/>
            </w:pPr>
            <w:r>
              <w:rPr>
                <w:sz w:val="16"/>
              </w:rPr>
              <w:t>MBSE &amp; Systems Engineering, PLM &amp; PDM Platforms,</w:t>
              <w:br/>
              <w:t>Engineering Collaboration &amp; Data, CAD &amp; Modeling</w:t>
            </w:r>
          </w:p>
        </w:tc>
      </w:tr>
      <w:tr>
        <w:tc>
          <w:tcPr>
            <w:tcW w:type="dxa" w:w="1045"/>
            <w:shd w:val="clear" w:color="auto" w:fill="FFFFFF"/>
          </w:tcPr>
          <w:p>
            <w:pPr>
              <w:jc w:val="left"/>
            </w:pPr>
            <w:r>
              <w:rPr>
                <w:sz w:val="16"/>
              </w:rPr>
              <w:t>Sales &amp; Quotes</w:t>
            </w:r>
          </w:p>
        </w:tc>
        <w:tc>
          <w:tcPr>
            <w:tcW w:type="dxa" w:w="1045"/>
            <w:shd w:val="clear" w:color="auto" w:fill="FFFFFF"/>
          </w:tcPr>
          <w:p>
            <w:pPr>
              <w:jc w:val="center"/>
            </w:pPr>
            <w:r>
              <w:rPr>
                <w:sz w:val="16"/>
              </w:rPr>
              <w:t>35</w:t>
            </w:r>
          </w:p>
        </w:tc>
        <w:tc>
          <w:tcPr>
            <w:tcW w:type="dxa" w:w="1045"/>
            <w:shd w:val="clear" w:color="auto" w:fill="FFFFFF"/>
          </w:tcPr>
          <w:p>
            <w:pPr>
              <w:jc w:val="center"/>
            </w:pPr>
            <w:r>
              <w:rPr>
                <w:sz w:val="16"/>
              </w:rPr>
              <w:t>9.4 %</w:t>
            </w:r>
          </w:p>
        </w:tc>
        <w:tc>
          <w:tcPr>
            <w:tcW w:type="dxa" w:w="1045"/>
            <w:shd w:val="clear" w:color="auto" w:fill="FFFFFF"/>
          </w:tcPr>
          <w:p>
            <w:pPr>
              <w:jc w:val="center"/>
            </w:pPr>
            <w:r>
              <w:rPr>
                <w:sz w:val="16"/>
              </w:rPr>
              <w:t>39</w:t>
            </w:r>
          </w:p>
        </w:tc>
        <w:tc>
          <w:tcPr>
            <w:tcW w:type="dxa" w:w="1045"/>
            <w:shd w:val="clear" w:color="auto" w:fill="FFFFFF"/>
          </w:tcPr>
          <w:p>
            <w:pPr>
              <w:jc w:val="center"/>
            </w:pPr>
            <w:r>
              <w:rPr>
                <w:sz w:val="16"/>
              </w:rPr>
              <w:t>7.2 %</w:t>
            </w:r>
          </w:p>
        </w:tc>
        <w:tc>
          <w:tcPr>
            <w:tcW w:type="dxa" w:w="1045"/>
            <w:shd w:val="clear" w:color="auto" w:fill="FFFFFF"/>
          </w:tcPr>
          <w:p>
            <w:pPr>
              <w:jc w:val="center"/>
            </w:pPr>
            <w:r>
              <w:rPr>
                <w:sz w:val="16"/>
              </w:rPr>
              <w:t>13</w:t>
            </w:r>
          </w:p>
        </w:tc>
        <w:tc>
          <w:tcPr>
            <w:tcW w:type="dxa" w:w="1045"/>
            <w:shd w:val="clear" w:color="auto" w:fill="FFFFFF"/>
          </w:tcPr>
          <w:p>
            <w:pPr>
              <w:jc w:val="center"/>
            </w:pPr>
            <w:r>
              <w:rPr>
                <w:sz w:val="16"/>
              </w:rPr>
              <w:t>22</w:t>
            </w:r>
          </w:p>
        </w:tc>
        <w:tc>
          <w:tcPr>
            <w:tcW w:type="dxa" w:w="1045"/>
            <w:shd w:val="clear" w:color="auto" w:fill="FFFFFF"/>
          </w:tcPr>
          <w:p>
            <w:pPr>
              <w:jc w:val="center"/>
            </w:pPr>
            <w:r>
              <w:rPr>
                <w:sz w:val="16"/>
              </w:rPr>
              <w:t>63 %</w:t>
            </w:r>
          </w:p>
        </w:tc>
        <w:tc>
          <w:tcPr>
            <w:tcW w:type="dxa" w:w="1045"/>
            <w:shd w:val="clear" w:color="auto" w:fill="FFFFFF"/>
          </w:tcPr>
          <w:p>
            <w:pPr>
              <w:jc w:val="center"/>
            </w:pPr>
            <w:r>
              <w:rPr>
                <w:sz w:val="16"/>
              </w:rPr>
              <w:t>Supply Chain &amp; Procurement, CPQ, RfP/RfQ-Mgmt,</w:t>
              <w:br/>
              <w:t>E-Sourcing, Supply Chain Planning</w:t>
            </w:r>
          </w:p>
        </w:tc>
      </w:tr>
      <w:tr>
        <w:tc>
          <w:tcPr>
            <w:tcW w:type="dxa" w:w="1045"/>
            <w:shd w:val="clear" w:color="auto" w:fill="F2F5F8"/>
          </w:tcPr>
          <w:p>
            <w:pPr>
              <w:jc w:val="left"/>
            </w:pPr>
            <w:r>
              <w:rPr>
                <w:sz w:val="16"/>
              </w:rPr>
              <w:t>Sustainability</w:t>
            </w:r>
          </w:p>
        </w:tc>
        <w:tc>
          <w:tcPr>
            <w:tcW w:type="dxa" w:w="1045"/>
            <w:shd w:val="clear" w:color="auto" w:fill="F2F5F8"/>
          </w:tcPr>
          <w:p>
            <w:pPr>
              <w:jc w:val="center"/>
            </w:pPr>
            <w:r>
              <w:rPr>
                <w:sz w:val="16"/>
              </w:rPr>
              <w:t>26</w:t>
            </w:r>
          </w:p>
        </w:tc>
        <w:tc>
          <w:tcPr>
            <w:tcW w:type="dxa" w:w="1045"/>
            <w:shd w:val="clear" w:color="auto" w:fill="F2F5F8"/>
          </w:tcPr>
          <w:p>
            <w:pPr>
              <w:jc w:val="center"/>
            </w:pPr>
            <w:r>
              <w:rPr>
                <w:sz w:val="16"/>
              </w:rPr>
              <w:t>7.0 %</w:t>
            </w:r>
          </w:p>
        </w:tc>
        <w:tc>
          <w:tcPr>
            <w:tcW w:type="dxa" w:w="1045"/>
            <w:shd w:val="clear" w:color="auto" w:fill="F2F5F8"/>
          </w:tcPr>
          <w:p>
            <w:pPr>
              <w:jc w:val="center"/>
            </w:pPr>
            <w:r>
              <w:rPr>
                <w:sz w:val="16"/>
              </w:rPr>
              <w:t>57</w:t>
            </w:r>
          </w:p>
        </w:tc>
        <w:tc>
          <w:tcPr>
            <w:tcW w:type="dxa" w:w="1045"/>
            <w:shd w:val="clear" w:color="auto" w:fill="F2F5F8"/>
          </w:tcPr>
          <w:p>
            <w:pPr>
              <w:jc w:val="center"/>
            </w:pPr>
            <w:r>
              <w:rPr>
                <w:sz w:val="16"/>
              </w:rPr>
              <w:t>10.5 %</w:t>
            </w:r>
          </w:p>
        </w:tc>
        <w:tc>
          <w:tcPr>
            <w:tcW w:type="dxa" w:w="1045"/>
            <w:shd w:val="clear" w:color="auto" w:fill="F2F5F8"/>
          </w:tcPr>
          <w:p>
            <w:pPr>
              <w:jc w:val="center"/>
            </w:pPr>
            <w:r>
              <w:rPr>
                <w:sz w:val="16"/>
              </w:rPr>
              <w:t>2</w:t>
            </w:r>
          </w:p>
        </w:tc>
        <w:tc>
          <w:tcPr>
            <w:tcW w:type="dxa" w:w="1045"/>
            <w:shd w:val="clear" w:color="auto" w:fill="F2F5F8"/>
          </w:tcPr>
          <w:p>
            <w:pPr>
              <w:jc w:val="center"/>
            </w:pPr>
            <w:r>
              <w:rPr>
                <w:sz w:val="16"/>
              </w:rPr>
              <w:t>24</w:t>
            </w:r>
          </w:p>
        </w:tc>
        <w:tc>
          <w:tcPr>
            <w:tcW w:type="dxa" w:w="1045"/>
            <w:shd w:val="clear" w:color="auto" w:fill="F2F5F8"/>
          </w:tcPr>
          <w:p>
            <w:pPr>
              <w:jc w:val="center"/>
            </w:pPr>
            <w:r>
              <w:rPr>
                <w:sz w:val="16"/>
              </w:rPr>
              <w:t>92 %</w:t>
            </w:r>
          </w:p>
        </w:tc>
        <w:tc>
          <w:tcPr>
            <w:tcW w:type="dxa" w:w="1045"/>
            <w:shd w:val="clear" w:color="auto" w:fill="F2F5F8"/>
          </w:tcPr>
          <w:p>
            <w:pPr>
              <w:jc w:val="center"/>
            </w:pPr>
            <w:r>
              <w:rPr>
                <w:sz w:val="16"/>
              </w:rPr>
              <w:t>LCA Software &amp; Platforms, Carbon &amp; Eco-Design,</w:t>
              <w:br/>
              <w:t>Circular Economy, Regulatory &amp; Compliance (DPP)</w:t>
            </w:r>
          </w:p>
        </w:tc>
      </w:tr>
      <w:tr>
        <w:tc>
          <w:tcPr>
            <w:tcW w:type="dxa" w:w="1045"/>
            <w:shd w:val="clear" w:color="auto" w:fill="E8F4F8"/>
          </w:tcPr>
          <w:p>
            <w:pPr>
              <w:jc w:val="left"/>
            </w:pPr>
            <w:r>
              <w:rPr>
                <w:b/>
                <w:color w:val="0D2B4A"/>
                <w:sz w:val="16"/>
              </w:rPr>
              <w:t>GESAMT</w:t>
            </w:r>
          </w:p>
        </w:tc>
        <w:tc>
          <w:tcPr>
            <w:tcW w:type="dxa" w:w="1045"/>
            <w:shd w:val="clear" w:color="auto" w:fill="E8F4F8"/>
          </w:tcPr>
          <w:p>
            <w:pPr>
              <w:jc w:val="center"/>
            </w:pPr>
            <w:r>
              <w:rPr>
                <w:b/>
                <w:color w:val="0D2B4A"/>
                <w:sz w:val="16"/>
              </w:rPr>
              <w:t>371</w:t>
            </w:r>
          </w:p>
        </w:tc>
        <w:tc>
          <w:tcPr>
            <w:tcW w:type="dxa" w:w="1045"/>
            <w:shd w:val="clear" w:color="auto" w:fill="E8F4F8"/>
          </w:tcPr>
          <w:p>
            <w:pPr>
              <w:jc w:val="center"/>
            </w:pPr>
            <w:r>
              <w:rPr>
                <w:b/>
                <w:color w:val="0D2B4A"/>
                <w:sz w:val="16"/>
              </w:rPr>
              <w:t>100 %</w:t>
            </w:r>
          </w:p>
        </w:tc>
        <w:tc>
          <w:tcPr>
            <w:tcW w:type="dxa" w:w="1045"/>
            <w:shd w:val="clear" w:color="auto" w:fill="E8F4F8"/>
          </w:tcPr>
          <w:p>
            <w:pPr>
              <w:jc w:val="center"/>
            </w:pPr>
            <w:r>
              <w:rPr>
                <w:b/>
                <w:color w:val="0D2B4A"/>
                <w:sz w:val="16"/>
              </w:rPr>
              <w:t>541</w:t>
            </w:r>
          </w:p>
        </w:tc>
        <w:tc>
          <w:tcPr>
            <w:tcW w:type="dxa" w:w="1045"/>
            <w:shd w:val="clear" w:color="auto" w:fill="E8F4F8"/>
          </w:tcPr>
          <w:p>
            <w:pPr>
              <w:jc w:val="center"/>
            </w:pPr>
            <w:r>
              <w:rPr>
                <w:b/>
                <w:color w:val="0D2B4A"/>
                <w:sz w:val="16"/>
              </w:rPr>
              <w:t>100 %</w:t>
            </w:r>
          </w:p>
        </w:tc>
        <w:tc>
          <w:tcPr>
            <w:tcW w:type="dxa" w:w="1045"/>
            <w:shd w:val="clear" w:color="auto" w:fill="E8F4F8"/>
          </w:tcPr>
          <w:p>
            <w:pPr>
              <w:jc w:val="center"/>
            </w:pPr>
            <w:r>
              <w:rPr>
                <w:b/>
                <w:color w:val="0D2B4A"/>
                <w:sz w:val="16"/>
              </w:rPr>
              <w:t>76</w:t>
            </w:r>
          </w:p>
        </w:tc>
        <w:tc>
          <w:tcPr>
            <w:tcW w:type="dxa" w:w="1045"/>
            <w:shd w:val="clear" w:color="auto" w:fill="E8F4F8"/>
          </w:tcPr>
          <w:p>
            <w:pPr>
              <w:jc w:val="center"/>
            </w:pPr>
            <w:r>
              <w:rPr>
                <w:b/>
                <w:color w:val="0D2B4A"/>
                <w:sz w:val="16"/>
              </w:rPr>
              <w:t>295</w:t>
            </w:r>
          </w:p>
        </w:tc>
        <w:tc>
          <w:tcPr>
            <w:tcW w:type="dxa" w:w="1045"/>
            <w:shd w:val="clear" w:color="auto" w:fill="E8F4F8"/>
          </w:tcPr>
          <w:p>
            <w:pPr>
              <w:jc w:val="center"/>
            </w:pPr>
            <w:r>
              <w:rPr>
                <w:b/>
                <w:color w:val="0D2B4A"/>
                <w:sz w:val="16"/>
              </w:rPr>
              <w:t>80 %</w:t>
            </w:r>
          </w:p>
        </w:tc>
        <w:tc>
          <w:tcPr>
            <w:tcW w:type="dxa" w:w="1045"/>
            <w:shd w:val="clear" w:color="auto" w:fill="E8F4F8"/>
          </w:tcPr>
          <w:p>
            <w:pPr>
              <w:jc w:val="center"/>
            </w:pPr>
            <w:r>
              <w:rPr>
                <w:b/>
                <w:color w:val="0D2B4A"/>
                <w:sz w:val="16"/>
              </w:rPr>
            </w:r>
          </w:p>
        </w:tc>
      </w:tr>
    </w:tbl>
    <w:p/>
    <w:p>
      <w:pPr>
        <w:pStyle w:val="Heading2"/>
      </w:pPr>
      <w:r>
        <w:rPr>
          <w:color w:val="1A5F8A"/>
        </w:rPr>
        <w:t>Verteilung der Unternehmen nach Kategorie</w:t>
      </w:r>
    </w:p>
    <w:p>
      <w:pPr>
        <w:jc w:val="center"/>
      </w:pPr>
      <w:r>
        <w:drawing>
          <wp:inline xmlns:a="http://schemas.openxmlformats.org/drawingml/2006/main" xmlns:pic="http://schemas.openxmlformats.org/drawingml/2006/picture">
            <wp:extent cx="4680000" cy="523561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680000" cy="5235616"/>
                    </a:xfrm>
                    <a:prstGeom prst="rect"/>
                  </pic:spPr>
                </pic:pic>
              </a:graphicData>
            </a:graphic>
          </wp:inline>
        </w:drawing>
      </w:r>
    </w:p>
    <w:p/>
    <w:p>
      <w:pPr>
        <w:spacing w:after="120"/>
      </w:pPr>
      <w:r>
        <w:rPr>
          <w:b w:val="0"/>
        </w:rPr>
        <w:t>Die Engineering-Kategorie dominiert mit 72,8 % klar den Markt — ein Spiegelbild der breiten Digitalisierungswelle in CAD, CAE, IoT und KI-gestützten Entwicklungswerkzeugen. Sales &amp; Quotes (9,4 %) und Sustainability (7,0 %) sind zahlenmäßig kleiner, weisen aber eine hohe Startup-Dichte auf, was auf intensive Innovationsdynamik und ungelöste Kernprobleme in diesen Bereichen hindeutet.</w:t>
      </w:r>
    </w:p>
    <w:p>
      <w:r>
        <w:br w:type="page"/>
      </w:r>
    </w:p>
    <w:p>
      <w:pPr>
        <w:pStyle w:val="Heading1"/>
      </w:pPr>
      <w:r>
        <w:rPr>
          <w:color w:val="0D2B4A"/>
        </w:rPr>
        <w:t>2  Marktsegmente: Kurzprofil der vier Kategorien</w:t>
      </w:r>
    </w:p>
    <w:p>
      <w:pPr>
        <w:pStyle w:val="Heading2"/>
      </w:pPr>
      <w:r>
        <w:rPr>
          <w:color w:val="1A5F8A"/>
        </w:rPr>
        <w:t>2.1  Engineering  (270 Unternehmen | 380 Produkte)</w:t>
      </w:r>
    </w:p>
    <w:p>
      <w:pPr>
        <w:spacing w:after="80"/>
      </w:pPr>
      <w:r>
        <w:rPr>
          <w:b w:val="0"/>
        </w:rPr>
        <w:t>Die Engineering-Kategorie ist mit Abstand die größte und breiteste Kategorie. Sie umfasst alle Werkzeuge, die direkt in den Produktentwicklungs- und Fertigungsprozess eingreifen: von klassischer CAD/CAE/CAM-Software über KI-gestützte Design-Copiloten bis hin zu Industrial-IoT-Plattformen, BIM-Lösungen für das Bauwesen und Factory-Intelligence-Systemen. 80 % der 270 Unternehmen sind Startups — ein Zeichen für eine hochaktive Innovationslandschaft. Die etablierten Riesen (Autodesk, Siemens, Ansys, Dassault) konkurrieren mit einer Vielzahl agiler Newcomer, die spezifische Nischen in generativem Design, digitalen Zwillingen und KI-Assistenz besetzen.</w:t>
      </w:r>
    </w:p>
    <w:p>
      <w:pPr>
        <w:pStyle w:val="ListBullet"/>
        <w:spacing w:after="40" w:before="40"/>
      </w:pPr>
      <w:r>
        <w:rPr>
          <w:color w:val="1A1A2E"/>
          <w:sz w:val="20"/>
        </w:rPr>
        <w:t>Sub-Kategorien: Factory Intelligence &amp; IoT · BIM &amp; Construction · Engineering Copilots &amp; AI Assistants · Generative &amp; Computational Design</w:t>
      </w:r>
    </w:p>
    <w:p>
      <w:pPr>
        <w:pStyle w:val="ListBullet"/>
        <w:spacing w:after="40" w:before="40"/>
      </w:pPr>
      <w:r>
        <w:rPr>
          <w:color w:val="1A1A2E"/>
          <w:sz w:val="20"/>
        </w:rPr>
        <w:t>Relevanz für LFL: Direkte Überschneidung mit dem Design-Copilot-Ansatz von LoopForgeLab; Wettbewerber wie Autodesk Fusion und Siemens NX rüsten ihre Plattformen mit KI auf</w:t>
      </w:r>
    </w:p>
    <w:p/>
    <w:p>
      <w:pPr>
        <w:pStyle w:val="Heading2"/>
      </w:pPr>
      <w:r>
        <w:rPr>
          <w:color w:val="00A8CC"/>
        </w:rPr>
        <w:t>2.2  Data &amp; Requirements Management  (40 Unternehmen | 65 Produkte)</w:t>
      </w:r>
    </w:p>
    <w:p>
      <w:pPr>
        <w:spacing w:after="80"/>
      </w:pPr>
      <w:r>
        <w:rPr>
          <w:b w:val="0"/>
        </w:rPr>
        <w:t>Diese Kategorie adressiert das Kernproblem der fragmentierten Datenwelt in der Produktentwicklung: PLM-Plattformen, MBSE-Tools, Engineering-Kollaborations­lösungen und Anforderungsmanagement-Software. Mit nur 7 großen Unternehmen bei 40 insgesamt (82 % Startups) ist auch hier die Dynamik hoch. Etablierte Akteure wie PTC (Windchill), Dassault (ENOVIA) und SAP PLM dominieren den Enterprise-Markt, während Startups neue Ansätze für digitale Thread-Konzepte, kollaborative Anforderungsverwaltung und KI-gestützte Datenaggregation entwickeln.</w:t>
      </w:r>
    </w:p>
    <w:p>
      <w:pPr>
        <w:pStyle w:val="ListBullet"/>
        <w:spacing w:after="40" w:before="40"/>
      </w:pPr>
      <w:r>
        <w:rPr>
          <w:color w:val="1A1A2E"/>
          <w:sz w:val="20"/>
        </w:rPr>
        <w:t>Sub-Kategorien: MBSE &amp; Systems Engineering · PLM &amp; PDM Platforms · Engineering Collaboration &amp; Data · CAD &amp; Modeling</w:t>
      </w:r>
    </w:p>
    <w:p>
      <w:pPr>
        <w:pStyle w:val="ListBullet"/>
        <w:spacing w:after="40" w:before="40"/>
      </w:pPr>
      <w:r>
        <w:rPr>
          <w:color w:val="1A1A2E"/>
          <w:sz w:val="20"/>
        </w:rPr>
        <w:t>Relevanz für LFL: Der "Data Desert"-Befund aus dem Whitepaper (fragmentierte PLM/ERP-Daten) ist die zentrale Lücke, die LFL mit seiner Product Intelligence Engine schließen will</w:t>
      </w:r>
    </w:p>
    <w:p/>
    <w:p>
      <w:pPr>
        <w:pStyle w:val="Heading2"/>
      </w:pPr>
      <w:r>
        <w:rPr>
          <w:color w:val="F0A500"/>
        </w:rPr>
        <w:t>2.3  Sales &amp; Quotes  (35 Unternehmen | 39 Produkte)</w:t>
      </w:r>
    </w:p>
    <w:p>
      <w:pPr>
        <w:spacing w:after="80"/>
      </w:pPr>
      <w:r>
        <w:rPr>
          <w:b w:val="0"/>
        </w:rPr>
        <w:t>Sales &amp; Quotes ist die Kategorie mit dem direktesten Bezug zur Kernlösung von LoopForgeLab. Sie umfasst Lösungen rund um die Angebotsprozesse, den Einkauf und die Lieferkette: RfP/Bid-Response-Management, E-Sourcing &amp; RfQ-Plattformen, CPQ-Systeme für komplexe Produkte und Supply-Chain-Planungs­lösungen. Mit 63 % Startup-Anteil ist diese Kategorie etwas ausgewogener zwischen Großen und Kleinen. Trotz vergleichsweise weniger Unternehmen ist die Problemlösungstiefe hoch — und der Schmerz der Kunden messbar groß.</w:t>
      </w:r>
    </w:p>
    <w:p>
      <w:pPr>
        <w:pStyle w:val="ListBullet"/>
        <w:spacing w:after="40" w:before="40"/>
      </w:pPr>
      <w:r>
        <w:rPr>
          <w:color w:val="1A1A2E"/>
          <w:sz w:val="20"/>
        </w:rPr>
        <w:t>Sub-Kategorien: A — RfP/Bid Response Management · B — E-Sourcing/RfQ · C — CPQ (Configure Price Quote) · D — Supply Chain Planning</w:t>
      </w:r>
    </w:p>
    <w:p>
      <w:pPr>
        <w:pStyle w:val="ListBullet"/>
        <w:spacing w:after="40" w:before="40"/>
      </w:pPr>
      <w:r>
        <w:rPr>
          <w:color w:val="1A1A2E"/>
          <w:sz w:val="20"/>
        </w:rPr>
        <w:t>Relevanz für LFL: LFLs RFQ-Modul (in Entwicklung ab Q2 2026) und die Angebots-Kostenanalyse sind direkte Antworten auf die Probleme in Sub-Cluster B und C</w:t>
      </w:r>
    </w:p>
    <w:p>
      <w:pPr>
        <w:pStyle w:val="ListBullet"/>
        <w:spacing w:after="40" w:before="40"/>
      </w:pPr>
      <w:r>
        <w:rPr>
          <w:color w:val="1A1A2E"/>
          <w:sz w:val="20"/>
        </w:rPr>
        <w:t>Besonderes Merkmal: 39 Produkte bei nur 35 Unternehmen — viele Anbieter haben mehrere Produktlinien</w:t>
      </w:r>
    </w:p>
    <w:p/>
    <w:p>
      <w:pPr>
        <w:pStyle w:val="Heading2"/>
      </w:pPr>
      <w:r>
        <w:rPr>
          <w:color w:val="2ECC71"/>
        </w:rPr>
        <w:t>2.4  Sustainability  (26 Unternehmen | 57 Produkte)</w:t>
      </w:r>
    </w:p>
    <w:p>
      <w:pPr>
        <w:spacing w:after="80"/>
      </w:pPr>
      <w:r>
        <w:rPr>
          <w:b w:val="0"/>
        </w:rPr>
        <w:t>Die kleinste Kategorie nach Unternehmenszahl, aber mit der höchsten Produkt­dichte pro Unternehmen (Ø 2,2 Produkte/Unternehmen). Sustainability umfasst LCA-Software, CO₂-Kalkulations­tools, Circular-Economy-Plattformen und Compliance-Lösungen für CSRD/DPP-Anforderungen. Mit 92 % Startup-Anteil ist dies der innovativste und am stärksten wachsende Bereich — getrieben durch den regulatorischen Druck der EU. Lediglich 2 etablierte Großunternehmen (CarbonBright, Sphera) haben hier bisher Fuss gefasst.</w:t>
      </w:r>
    </w:p>
    <w:p>
      <w:pPr>
        <w:pStyle w:val="ListBullet"/>
        <w:spacing w:after="40" w:before="40"/>
      </w:pPr>
      <w:r>
        <w:rPr>
          <w:color w:val="1A1A2E"/>
          <w:sz w:val="20"/>
        </w:rPr>
        <w:t>Sub-Kategorien: LCA Software &amp; Platforms · Carbon &amp; Eco-Design · Circular Economy &amp; R-Strategies · Regulatory &amp; Compliance (DPP)</w:t>
      </w:r>
    </w:p>
    <w:p>
      <w:pPr>
        <w:pStyle w:val="ListBullet"/>
        <w:spacing w:after="40" w:before="40"/>
      </w:pPr>
      <w:r>
        <w:rPr>
          <w:color w:val="1A1A2E"/>
          <w:sz w:val="20"/>
        </w:rPr>
        <w:t>Relevanz für LFL: LFLs "Carbon Case" (10,5 Mio. tCO₂e Einsparung bis Jahr 10) und die Echtzeit-CO₂-Feedback-Funktion positionieren LFL als Brücke zwischen Engineering und Sustainability</w:t>
      </w:r>
    </w:p>
    <w:p>
      <w:pPr>
        <w:pStyle w:val="ListBullet"/>
        <w:spacing w:after="40" w:before="40"/>
      </w:pPr>
      <w:r>
        <w:rPr>
          <w:color w:val="1A1A2E"/>
          <w:sz w:val="20"/>
        </w:rPr>
        <w:t>Regulatorischer Treiber: CSRD-Pflicht ab 2025 für ~50.000 EU-Unternehmen erzeugt enormen Handlungsdruck</w:t>
      </w:r>
    </w:p>
    <w:p/>
    <w:p>
      <w:r>
        <w:br w:type="page"/>
      </w:r>
    </w:p>
    <w:p>
      <w:pPr>
        <w:pStyle w:val="Heading1"/>
      </w:pPr>
      <w:r>
        <w:rPr>
          <w:color w:val="0D2B4A"/>
        </w:rPr>
        <w:t>3  Deep Dive: Sales &amp; Quotes</w:t>
      </w:r>
    </w:p>
    <w:p>
      <w:pPr>
        <w:spacing w:after="160"/>
      </w:pPr>
      <w:r>
        <w:rPr>
          <w:b w:val="0"/>
        </w:rPr>
        <w:t>Die folgende Tiefenanalyse der Kategorie Sales &amp; Quotes kombiniert die strukturierten Marktdaten aus der CI-Datenbank v1.7 mit den qualitativen Erkenntnissen aus dem LoopForgeLab Whitepaper ("Optimized for Performance, Approved for Price", Feb. 2026) und dem Pitch Deck (März 2026). Ziel ist es, die Kundenproblemfelder messbar zu machen und zu zeigen, wo und wie LoopForgeLabs Lösung in den Markt greift.</w:t>
      </w:r>
    </w:p>
    <w:p>
      <w:pPr>
        <w:pStyle w:val="Heading2"/>
      </w:pPr>
      <w:r>
        <w:rPr>
          <w:color w:val="1A5F8A"/>
        </w:rPr>
        <w:t>3.1  Marktstruktur: Die vier Sub-Cluster</w:t>
      </w:r>
    </w:p>
    <w:p>
      <w:pPr>
        <w:spacing w:after="80"/>
      </w:pPr>
      <w:r>
        <w:rPr>
          <w:b w:val="0"/>
        </w:rPr>
        <w:t>Die Kategorie Sales &amp; Quotes gliedert sich in vier funktionale Sub-Cluster, die unterschiedliche Kunden, Technologien und Probleme adressieren: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shd w:val="clear" w:color="auto" w:fill="1A5F8A"/>
          </w:tcPr>
          <w:p>
            <w:pPr>
              <w:jc w:val="center"/>
            </w:pPr>
            <w:r>
              <w:rPr>
                <w:b/>
                <w:color w:val="FFFFFF"/>
                <w:sz w:val="16"/>
              </w:rPr>
              <w:t>ID</w:t>
            </w:r>
          </w:p>
        </w:tc>
        <w:tc>
          <w:tcPr>
            <w:tcW w:type="dxa" w:w="2551"/>
            <w:shd w:val="clear" w:color="auto" w:fill="1A5F8A"/>
          </w:tcPr>
          <w:p>
            <w:pPr>
              <w:jc w:val="center"/>
            </w:pPr>
            <w:r>
              <w:rPr>
                <w:b/>
                <w:color w:val="FFFFFF"/>
                <w:sz w:val="16"/>
              </w:rPr>
              <w:t>Sub-Cluster</w:t>
            </w:r>
          </w:p>
        </w:tc>
        <w:tc>
          <w:tcPr>
            <w:tcW w:type="dxa" w:w="567"/>
            <w:shd w:val="clear" w:color="auto" w:fill="1A5F8A"/>
          </w:tcPr>
          <w:p>
            <w:pPr>
              <w:jc w:val="center"/>
            </w:pPr>
            <w:r>
              <w:rPr>
                <w:b/>
                <w:color w:val="FFFFFF"/>
                <w:sz w:val="16"/>
              </w:rPr>
              <w:t># Co.</w:t>
            </w:r>
          </w:p>
        </w:tc>
        <w:tc>
          <w:tcPr>
            <w:tcW w:type="dxa" w:w="3118"/>
            <w:shd w:val="clear" w:color="auto" w:fill="1A5F8A"/>
          </w:tcPr>
          <w:p>
            <w:pPr>
              <w:jc w:val="center"/>
            </w:pPr>
            <w:r>
              <w:rPr>
                <w:b/>
                <w:color w:val="FFFFFF"/>
                <w:sz w:val="16"/>
              </w:rPr>
              <w:t>Schlüssel-Technologien</w:t>
            </w:r>
          </w:p>
        </w:tc>
        <w:tc>
          <w:tcPr>
            <w:tcW w:type="dxa" w:w="3118"/>
            <w:shd w:val="clear" w:color="auto" w:fill="1A5F8A"/>
          </w:tcPr>
          <w:p>
            <w:pPr>
              <w:jc w:val="center"/>
            </w:pPr>
            <w:r>
              <w:rPr>
                <w:b/>
                <w:color w:val="FFFFFF"/>
                <w:sz w:val="16"/>
              </w:rPr>
              <w:t>Haupt-Zielbranchen</w:t>
            </w:r>
          </w:p>
        </w:tc>
      </w:tr>
      <w:tr>
        <w:tc>
          <w:tcPr>
            <w:tcW w:type="dxa" w:w="1881"/>
            <w:shd w:val="clear" w:color="auto" w:fill="FFFFFF"/>
          </w:tcPr>
          <w:p>
            <w:pPr>
              <w:jc w:val="center"/>
            </w:pPr>
            <w:r>
              <w:rPr>
                <w:b/>
                <w:color w:val="1A5F8A"/>
                <w:sz w:val="16"/>
              </w:rPr>
              <w:t>A</w:t>
            </w:r>
          </w:p>
        </w:tc>
        <w:tc>
          <w:tcPr>
            <w:tcW w:type="dxa" w:w="1881"/>
            <w:shd w:val="clear" w:color="auto" w:fill="FFFFFF"/>
          </w:tcPr>
          <w:p>
            <w:r>
              <w:rPr>
                <w:sz w:val="16"/>
              </w:rPr>
              <w:t>RfP / Bid Response Management (KI-gestützt)</w:t>
            </w:r>
          </w:p>
        </w:tc>
        <w:tc>
          <w:tcPr>
            <w:tcW w:type="dxa" w:w="1881"/>
            <w:shd w:val="clear" w:color="auto" w:fill="FFFFFF"/>
          </w:tcPr>
          <w:p>
            <w:r>
              <w:rPr>
                <w:sz w:val="16"/>
              </w:rPr>
              <w:t>8</w:t>
            </w:r>
          </w:p>
        </w:tc>
        <w:tc>
          <w:tcPr>
            <w:tcW w:type="dxa" w:w="1881"/>
            <w:shd w:val="clear" w:color="auto" w:fill="FFFFFF"/>
          </w:tcPr>
          <w:p>
            <w:r>
              <w:rPr>
                <w:sz w:val="16"/>
              </w:rPr>
              <w:t>Generative AI (GPT-4/Claude), RAG, AI Agents, CRM-Integration</w:t>
            </w:r>
          </w:p>
        </w:tc>
        <w:tc>
          <w:tcPr>
            <w:tcW w:type="dxa" w:w="1881"/>
            <w:shd w:val="clear" w:color="auto" w:fill="FFFFFF"/>
          </w:tcPr>
          <w:p>
            <w:r>
              <w:rPr>
                <w:sz w:val="16"/>
              </w:rPr>
              <w:t>B2B-Technologie, Engineering-DL, SaaS, Verteidigung, Beratung</w:t>
            </w:r>
          </w:p>
        </w:tc>
      </w:tr>
      <w:tr>
        <w:tc>
          <w:tcPr>
            <w:tcW w:type="dxa" w:w="1881"/>
            <w:shd w:val="clear" w:color="auto" w:fill="F2F5F8"/>
          </w:tcPr>
          <w:p>
            <w:pPr>
              <w:jc w:val="center"/>
            </w:pPr>
            <w:r>
              <w:rPr>
                <w:b/>
                <w:color w:val="1A5F8A"/>
                <w:sz w:val="16"/>
              </w:rPr>
              <w:t>B</w:t>
            </w:r>
          </w:p>
        </w:tc>
        <w:tc>
          <w:tcPr>
            <w:tcW w:type="dxa" w:w="1881"/>
            <w:shd w:val="clear" w:color="auto" w:fill="F2F5F8"/>
          </w:tcPr>
          <w:p>
            <w:r>
              <w:rPr>
                <w:sz w:val="16"/>
              </w:rPr>
              <w:t>E-Sourcing / RfQ-Management (Einkauf)</w:t>
            </w:r>
          </w:p>
        </w:tc>
        <w:tc>
          <w:tcPr>
            <w:tcW w:type="dxa" w:w="1881"/>
            <w:shd w:val="clear" w:color="auto" w:fill="F2F5F8"/>
          </w:tcPr>
          <w:p>
            <w:r>
              <w:rPr>
                <w:sz w:val="16"/>
              </w:rPr>
              <w:t>8</w:t>
            </w:r>
          </w:p>
        </w:tc>
        <w:tc>
          <w:tcPr>
            <w:tcW w:type="dxa" w:w="1881"/>
            <w:shd w:val="clear" w:color="auto" w:fill="F2F5F8"/>
          </w:tcPr>
          <w:p>
            <w:r>
              <w:rPr>
                <w:sz w:val="16"/>
              </w:rPr>
              <w:t>Autonomous AI Sourcing Bots, Reverse Auctions, ERP-Integration (SAP/Oracle), Spend Analytics</w:t>
            </w:r>
          </w:p>
        </w:tc>
        <w:tc>
          <w:tcPr>
            <w:tcW w:type="dxa" w:w="1881"/>
            <w:shd w:val="clear" w:color="auto" w:fill="F2F5F8"/>
          </w:tcPr>
          <w:p>
            <w:r>
              <w:rPr>
                <w:sz w:val="16"/>
              </w:rPr>
              <w:t>Enterprise/Mid-Market Einkauf: Fertigung, Pharma, Automotive, Öffentl. Hand</w:t>
            </w:r>
          </w:p>
        </w:tc>
      </w:tr>
      <w:tr>
        <w:tc>
          <w:tcPr>
            <w:tcW w:type="dxa" w:w="1881"/>
            <w:shd w:val="clear" w:color="auto" w:fill="FFFFFF"/>
          </w:tcPr>
          <w:p>
            <w:pPr>
              <w:jc w:val="center"/>
            </w:pPr>
            <w:r>
              <w:rPr>
                <w:b/>
                <w:color w:val="1A5F8A"/>
                <w:sz w:val="16"/>
              </w:rPr>
              <w:t>C</w:t>
            </w:r>
          </w:p>
        </w:tc>
        <w:tc>
          <w:tcPr>
            <w:tcW w:type="dxa" w:w="1881"/>
            <w:shd w:val="clear" w:color="auto" w:fill="FFFFFF"/>
          </w:tcPr>
          <w:p>
            <w:r>
              <w:rPr>
                <w:sz w:val="16"/>
              </w:rPr>
              <w:t>CPQ – Configure Price Quote</w:t>
            </w:r>
          </w:p>
        </w:tc>
        <w:tc>
          <w:tcPr>
            <w:tcW w:type="dxa" w:w="1881"/>
            <w:shd w:val="clear" w:color="auto" w:fill="FFFFFF"/>
          </w:tcPr>
          <w:p>
            <w:r>
              <w:rPr>
                <w:sz w:val="16"/>
              </w:rPr>
              <w:t>3</w:t>
            </w:r>
          </w:p>
        </w:tc>
        <w:tc>
          <w:tcPr>
            <w:tcW w:type="dxa" w:w="1881"/>
            <w:shd w:val="clear" w:color="auto" w:fill="FFFFFF"/>
          </w:tcPr>
          <w:p>
            <w:r>
              <w:rPr>
                <w:sz w:val="16"/>
              </w:rPr>
              <w:t>Constraint-based AI Configuration, CAD-Integration, ERP/CRM-Kopplung, CO₂-Kalkulation</w:t>
            </w:r>
          </w:p>
        </w:tc>
        <w:tc>
          <w:tcPr>
            <w:tcW w:type="dxa" w:w="1881"/>
            <w:shd w:val="clear" w:color="auto" w:fill="FFFFFF"/>
          </w:tcPr>
          <w:p>
            <w:r>
              <w:rPr>
                <w:sz w:val="16"/>
              </w:rPr>
              <w:t>Hersteller von ETO-Produkten: Industriemaschinen, Automotive-Zulieferer, High-Tech</w:t>
            </w:r>
          </w:p>
        </w:tc>
      </w:tr>
      <w:tr>
        <w:tc>
          <w:tcPr>
            <w:tcW w:type="dxa" w:w="1881"/>
            <w:shd w:val="clear" w:color="auto" w:fill="F2F5F8"/>
          </w:tcPr>
          <w:p>
            <w:pPr>
              <w:jc w:val="center"/>
            </w:pPr>
            <w:r>
              <w:rPr>
                <w:b/>
                <w:color w:val="1A5F8A"/>
                <w:sz w:val="16"/>
              </w:rPr>
              <w:t>D</w:t>
            </w:r>
          </w:p>
        </w:tc>
        <w:tc>
          <w:tcPr>
            <w:tcW w:type="dxa" w:w="1881"/>
            <w:shd w:val="clear" w:color="auto" w:fill="F2F5F8"/>
          </w:tcPr>
          <w:p>
            <w:r>
              <w:rPr>
                <w:sz w:val="16"/>
              </w:rPr>
              <w:t>Supply Chain Planning &amp; Optimierung</w:t>
            </w:r>
          </w:p>
        </w:tc>
        <w:tc>
          <w:tcPr>
            <w:tcW w:type="dxa" w:w="1881"/>
            <w:shd w:val="clear" w:color="auto" w:fill="F2F5F8"/>
          </w:tcPr>
          <w:p>
            <w:r>
              <w:rPr>
                <w:sz w:val="16"/>
              </w:rPr>
              <w:t>14</w:t>
            </w:r>
          </w:p>
        </w:tc>
        <w:tc>
          <w:tcPr>
            <w:tcW w:type="dxa" w:w="1881"/>
            <w:shd w:val="clear" w:color="auto" w:fill="F2F5F8"/>
          </w:tcPr>
          <w:p>
            <w:r>
              <w:rPr>
                <w:sz w:val="16"/>
              </w:rPr>
              <w:t>AI/ML-Demand Forecasting, Digital Twins, Concurrent Planning, Graph Neural Networks, Math. Optimization</w:t>
            </w:r>
          </w:p>
        </w:tc>
        <w:tc>
          <w:tcPr>
            <w:tcW w:type="dxa" w:w="1881"/>
            <w:shd w:val="clear" w:color="auto" w:fill="F2F5F8"/>
          </w:tcPr>
          <w:p>
            <w:r>
              <w:rPr>
                <w:sz w:val="16"/>
              </w:rPr>
              <w:t>Automotive, Consumer Goods, Pharma, Aerospace, Retail, High-Tech</w:t>
            </w:r>
          </w:p>
        </w:tc>
      </w:tr>
    </w:tbl>
    <w:p/>
    <w:p>
      <w:pPr>
        <w:pStyle w:val="Heading2"/>
      </w:pPr>
      <w:r>
        <w:rPr>
          <w:color w:val="1A5F8A"/>
        </w:rPr>
        <w:t>3.2  Kundenproblemfelder — und der LFL-Kontext</w:t>
      </w:r>
    </w:p>
    <w:p>
      <w:pPr>
        <w:spacing w:after="80"/>
      </w:pPr>
      <w:r>
        <w:rPr>
          <w:b w:val="0"/>
        </w:rPr>
        <w:t>Das Whitepaper von LoopForgeLab dokumentiert vier strukturelle Barrieren für profitable und nachhaltige Produktentwicklung. Diese Barrieren spiegeln sich unmittelbar in den gemessenen Kundenproblemen der Sales-&amp;-Quotes-Kategorie wider:</w:t>
      </w:r>
    </w:p>
    <w:p>
      <w:pPr>
        <w:spacing w:after="60" w:before="120"/>
      </w:pPr>
      <w:r>
        <w:rPr>
          <w:b/>
          <w:color w:val="0D2B4A"/>
          <w:sz w:val="20"/>
        </w:rPr>
        <w:t>■  Der "Economic Gatekeeper"</w:t>
      </w:r>
    </w:p>
    <w:p>
      <w:pPr>
        <w:spacing w:after="40"/>
      </w:pPr>
      <w:r>
        <w:rPr>
          <w:b w:val="0"/>
        </w:rPr>
        <w:t>"Der Preis entscheidet über alles und jeden" — so das Credo aus 44 LFL-Experteninterviews. Dieser Befund schlägt sich direkt in der CPQ- und RfQ-Welt nieder: Engineers verbringen 30–40 % ihrer Zeit mit Angebotserstellung statt mit Design — weil Konfiguration und Preisbildung manuell, fehleranfällig und vom CAD-Modell entkoppelt sind.</w:t>
      </w:r>
    </w:p>
    <w:p>
      <w:pPr>
        <w:spacing w:after="60" w:before="120"/>
      </w:pPr>
      <w:r>
        <w:rPr>
          <w:b/>
          <w:color w:val="0D2B4A"/>
          <w:sz w:val="20"/>
        </w:rPr>
        <w:t>■  Die "Data Desert"</w:t>
      </w:r>
    </w:p>
    <w:p>
      <w:pPr>
        <w:spacing w:after="40"/>
      </w:pPr>
      <w:r>
        <w:rPr>
          <w:b w:val="0"/>
        </w:rPr>
        <w:t>Kritische Produktdaten — CO₂-Fußabdrücke, Lieferantenpreise, Fertigungsbeschränkungen — sind über PLM, ERP, Excel und lokale Dokumente verstreut. Das Ergebnis: RfP-Teams schreiben 30–40 % aller Antworten von Grund auf neu, obwohl die Informationen irgendwo im Unternehmen existieren. Der Loopio-Benchmark misst 17+ Stunden pro RfP.</w:t>
      </w:r>
    </w:p>
    <w:p>
      <w:pPr>
        <w:spacing w:after="60" w:before="120"/>
      </w:pPr>
      <w:r>
        <w:rPr>
          <w:b/>
          <w:color w:val="0D2B4A"/>
          <w:sz w:val="20"/>
        </w:rPr>
        <w:t>■  Die "Redesign Trap"</w:t>
      </w:r>
    </w:p>
    <w:p>
      <w:pPr>
        <w:spacing w:after="40"/>
      </w:pPr>
      <w:r>
        <w:rPr>
          <w:b w:val="0"/>
        </w:rPr>
        <w:t>Weil Angebot und CAD-Konstruktion vollständig entkoppelt sind, entstehen 50–70 % aller Engineering-Änderungen durch Inkonsistenz zwischen Angebot und CAD (DriveWorks-Studien). Jede späte Änderung multipliziert die Kosten — typisch 5–15 % des Auftragswertes für Fehlerkorrektur nach Auftragsvergabe.</w:t>
      </w:r>
    </w:p>
    <w:p>
      <w:pPr>
        <w:spacing w:after="60" w:before="120"/>
      </w:pPr>
      <w:r>
        <w:rPr>
          <w:b/>
          <w:color w:val="0D2B4A"/>
          <w:sz w:val="20"/>
        </w:rPr>
        <w:t>■  Der "Tribal Knowledge"-Verlust</w:t>
      </w:r>
    </w:p>
    <w:p>
      <w:pPr>
        <w:spacing w:after="40"/>
      </w:pPr>
      <w:r>
        <w:rPr>
          <w:b w:val="0"/>
        </w:rPr>
        <w:t>Wenn erfahrene Ingenieure in Rente gehen, verschwindet das implizite Wissen, warum bestimmte Konfigurationen funktionieren oder warum bestimmte Lieferanten bevorzugt werden. CPQ-Systeme können dieses Wissen nur dann skalieren, wenn es explizit kodifiziert ist — genau das ist heute nicht der Fall.</w:t>
      </w:r>
    </w:p>
    <w:p/>
    <w:p>
      <w:pPr>
        <w:pStyle w:val="Heading3"/>
      </w:pPr>
      <w:r>
        <w:rPr>
          <w:color w:val="1A5F8A"/>
        </w:rPr>
        <w:t>Konkrete Kundenproblemfelder nach Sub-Cluster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01"/>
            <w:shd w:val="clear" w:color="auto" w:fill="0D2B4A"/>
          </w:tcPr>
          <w:p>
            <w:pPr>
              <w:jc w:val="center"/>
            </w:pPr>
            <w:r>
              <w:rPr>
                <w:b/>
                <w:color w:val="FFFFFF"/>
                <w:sz w:val="16"/>
              </w:rPr>
              <w:t>Sub-Cluster</w:t>
            </w:r>
          </w:p>
        </w:tc>
        <w:tc>
          <w:tcPr>
            <w:tcW w:type="dxa" w:w="1587"/>
            <w:shd w:val="clear" w:color="auto" w:fill="0D2B4A"/>
          </w:tcPr>
          <w:p>
            <w:pPr>
              <w:jc w:val="center"/>
            </w:pPr>
            <w:r>
              <w:rPr>
                <w:b/>
                <w:color w:val="FFFFFF"/>
                <w:sz w:val="16"/>
              </w:rPr>
              <w:t>Problem</w:t>
            </w:r>
          </w:p>
        </w:tc>
        <w:tc>
          <w:tcPr>
            <w:tcW w:type="dxa" w:w="3118"/>
            <w:shd w:val="clear" w:color="auto" w:fill="0D2B4A"/>
          </w:tcPr>
          <w:p>
            <w:pPr>
              <w:jc w:val="center"/>
            </w:pPr>
            <w:r>
              <w:rPr>
                <w:b/>
                <w:color w:val="FFFFFF"/>
                <w:sz w:val="16"/>
              </w:rPr>
              <w:t>Beschreibung</w:t>
            </w:r>
          </w:p>
        </w:tc>
        <w:tc>
          <w:tcPr>
            <w:tcW w:type="dxa" w:w="2835"/>
            <w:shd w:val="clear" w:color="auto" w:fill="0D2B4A"/>
          </w:tcPr>
          <w:p>
            <w:pPr>
              <w:jc w:val="center"/>
            </w:pPr>
            <w:r>
              <w:rPr>
                <w:b/>
                <w:color w:val="FFFFFF"/>
                <w:sz w:val="16"/>
              </w:rPr>
              <w:t>Messbare Auswirkung</w:t>
            </w:r>
          </w:p>
        </w:tc>
        <w:tc>
          <w:tcPr>
            <w:tcW w:type="dxa" w:w="850"/>
            <w:shd w:val="clear" w:color="auto" w:fill="0D2B4A"/>
          </w:tcPr>
          <w:p>
            <w:pPr>
              <w:jc w:val="center"/>
            </w:pPr>
            <w:r>
              <w:rPr>
                <w:b/>
                <w:color w:val="FFFFFF"/>
                <w:sz w:val="16"/>
              </w:rPr>
              <w:t>Priorität</w:t>
            </w:r>
          </w:p>
        </w:tc>
      </w:tr>
      <w:tr>
        <w:tc>
          <w:tcPr>
            <w:tcW w:type="dxa" w:w="1881"/>
            <w:shd w:val="clear" w:color="auto" w:fill="FFFFFF"/>
          </w:tcPr>
          <w:p>
            <w:r>
              <w:rPr>
                <w:b/>
                <w:color w:val="1A5F8A"/>
                <w:sz w:val="16"/>
              </w:rPr>
              <w:t>A – RfP/Bid Response</w:t>
            </w:r>
          </w:p>
        </w:tc>
        <w:tc>
          <w:tcPr>
            <w:tcW w:type="dxa" w:w="1881"/>
            <w:shd w:val="clear" w:color="auto" w:fill="FFFFFF"/>
          </w:tcPr>
          <w:p>
            <w:r>
              <w:rPr>
                <w:sz w:val="16"/>
              </w:rPr>
              <w:t>Zeitaufwand</w:t>
            </w:r>
          </w:p>
        </w:tc>
        <w:tc>
          <w:tcPr>
            <w:tcW w:type="dxa" w:w="1881"/>
            <w:shd w:val="clear" w:color="auto" w:fill="FFFFFF"/>
          </w:tcPr>
          <w:p>
            <w:r>
              <w:rPr>
                <w:sz w:val="16"/>
              </w:rPr>
              <w:t>17+ h/RfP Beantwortung (Loopio-Benchmark)</w:t>
            </w:r>
          </w:p>
        </w:tc>
        <w:tc>
          <w:tcPr>
            <w:tcW w:type="dxa" w:w="1881"/>
            <w:shd w:val="clear" w:color="auto" w:fill="FFFFFF"/>
          </w:tcPr>
          <w:p>
            <w:r>
              <w:rPr>
                <w:sz w:val="16"/>
              </w:rPr>
              <w:t>68 h/Monat = ~1,7 FTE nur für RfP-Arbeit</w:t>
            </w:r>
          </w:p>
        </w:tc>
        <w:tc>
          <w:tcPr>
            <w:tcW w:type="dxa" w:w="1881"/>
            <w:shd w:val="clear" w:color="auto" w:fill="FFFFFF"/>
          </w:tcPr>
          <w:p>
            <w:r>
              <w:rPr>
                <w:sz w:val="16"/>
              </w:rPr>
              <w:t>★★★★★</w:t>
            </w:r>
          </w:p>
        </w:tc>
      </w:tr>
      <w:tr>
        <w:tc>
          <w:tcPr>
            <w:tcW w:type="dxa" w:w="1881"/>
            <w:shd w:val="clear" w:color="auto" w:fill="F2F5F8"/>
          </w:tcPr>
          <w:p>
            <w:r>
              <w:rPr>
                <w:b/>
                <w:color w:val="1A5F8A"/>
                <w:sz w:val="16"/>
              </w:rPr>
              <w:t>A – RfP/Bid Response</w:t>
            </w:r>
          </w:p>
        </w:tc>
        <w:tc>
          <w:tcPr>
            <w:tcW w:type="dxa" w:w="1881"/>
            <w:shd w:val="clear" w:color="auto" w:fill="F2F5F8"/>
          </w:tcPr>
          <w:p>
            <w:r>
              <w:rPr>
                <w:sz w:val="16"/>
              </w:rPr>
              <w:t>Wissenssilos</w:t>
            </w:r>
          </w:p>
        </w:tc>
        <w:tc>
          <w:tcPr>
            <w:tcW w:type="dxa" w:w="1881"/>
            <w:shd w:val="clear" w:color="auto" w:fill="F2F5F8"/>
          </w:tcPr>
          <w:p>
            <w:r>
              <w:rPr>
                <w:sz w:val="16"/>
              </w:rPr>
              <w:t>30–40 % aller Antworten neu verfasst, Wissen existiert</w:t>
            </w:r>
          </w:p>
        </w:tc>
        <w:tc>
          <w:tcPr>
            <w:tcW w:type="dxa" w:w="1881"/>
            <w:shd w:val="clear" w:color="auto" w:fill="F2F5F8"/>
          </w:tcPr>
          <w:p>
            <w:r>
              <w:rPr>
                <w:sz w:val="16"/>
              </w:rPr>
              <w:t>Massive Doppelarbeit; kein institutionelles Gedächtnis</w:t>
            </w:r>
          </w:p>
        </w:tc>
        <w:tc>
          <w:tcPr>
            <w:tcW w:type="dxa" w:w="1881"/>
            <w:shd w:val="clear" w:color="auto" w:fill="F2F5F8"/>
          </w:tcPr>
          <w:p>
            <w:r>
              <w:rPr>
                <w:sz w:val="16"/>
              </w:rPr>
              <w:t>★★★★★</w:t>
            </w:r>
          </w:p>
        </w:tc>
      </w:tr>
      <w:tr>
        <w:tc>
          <w:tcPr>
            <w:tcW w:type="dxa" w:w="1881"/>
            <w:shd w:val="clear" w:color="auto" w:fill="FFFFFF"/>
          </w:tcPr>
          <w:p>
            <w:r>
              <w:rPr>
                <w:b/>
                <w:color w:val="1A5F8A"/>
                <w:sz w:val="16"/>
              </w:rPr>
              <w:t>A – RfP/Bid Response</w:t>
            </w:r>
          </w:p>
        </w:tc>
        <w:tc>
          <w:tcPr>
            <w:tcW w:type="dxa" w:w="1881"/>
            <w:shd w:val="clear" w:color="auto" w:fill="FFFFFF"/>
          </w:tcPr>
          <w:p>
            <w:r>
              <w:rPr>
                <w:sz w:val="16"/>
              </w:rPr>
              <w:t>Bid/No-Bid</w:t>
            </w:r>
          </w:p>
        </w:tc>
        <w:tc>
          <w:tcPr>
            <w:tcW w:type="dxa" w:w="1881"/>
            <w:shd w:val="clear" w:color="auto" w:fill="FFFFFF"/>
          </w:tcPr>
          <w:p>
            <w:r>
              <w:rPr>
                <w:sz w:val="16"/>
              </w:rPr>
              <w:t>Entscheidung bauchgefühl-basiert, kein Score</w:t>
            </w:r>
          </w:p>
        </w:tc>
        <w:tc>
          <w:tcPr>
            <w:tcW w:type="dxa" w:w="1881"/>
            <w:shd w:val="clear" w:color="auto" w:fill="FFFFFF"/>
          </w:tcPr>
          <w:p>
            <w:r>
              <w:rPr>
                <w:sz w:val="16"/>
              </w:rPr>
              <w:t>80–85 % der Aufwände für verlorene Bids</w:t>
            </w:r>
          </w:p>
        </w:tc>
        <w:tc>
          <w:tcPr>
            <w:tcW w:type="dxa" w:w="1881"/>
            <w:shd w:val="clear" w:color="auto" w:fill="FFFFFF"/>
          </w:tcPr>
          <w:p>
            <w:r>
              <w:rPr>
                <w:sz w:val="16"/>
              </w:rPr>
              <w:t>★★★★☆</w:t>
            </w:r>
          </w:p>
        </w:tc>
      </w:tr>
      <w:tr>
        <w:tc>
          <w:tcPr>
            <w:tcW w:type="dxa" w:w="1881"/>
            <w:shd w:val="clear" w:color="auto" w:fill="F2F5F8"/>
          </w:tcPr>
          <w:p>
            <w:r>
              <w:rPr>
                <w:b/>
                <w:color w:val="1A5F8A"/>
                <w:sz w:val="16"/>
              </w:rPr>
              <w:t>A – RfP/Bid Response</w:t>
            </w:r>
          </w:p>
        </w:tc>
        <w:tc>
          <w:tcPr>
            <w:tcW w:type="dxa" w:w="1881"/>
            <w:shd w:val="clear" w:color="auto" w:fill="F2F5F8"/>
          </w:tcPr>
          <w:p>
            <w:r>
              <w:rPr>
                <w:sz w:val="16"/>
              </w:rPr>
              <w:t>Win-Theme-Lücke</w:t>
            </w:r>
          </w:p>
        </w:tc>
        <w:tc>
          <w:tcPr>
            <w:tcW w:type="dxa" w:w="1881"/>
            <w:shd w:val="clear" w:color="auto" w:fill="F2F5F8"/>
          </w:tcPr>
          <w:p>
            <w:r>
              <w:rPr>
                <w:sz w:val="16"/>
              </w:rPr>
              <w:t>Kein Zugriff auf CRM/Gesprächsdaten für Positionierung</w:t>
            </w:r>
          </w:p>
        </w:tc>
        <w:tc>
          <w:tcPr>
            <w:tcW w:type="dxa" w:w="1881"/>
            <w:shd w:val="clear" w:color="auto" w:fill="F2F5F8"/>
          </w:tcPr>
          <w:p>
            <w:r>
              <w:rPr>
                <w:sz w:val="16"/>
              </w:rPr>
              <w:t>Generische Angebote → niedrige Win-Rate</w:t>
            </w:r>
          </w:p>
        </w:tc>
        <w:tc>
          <w:tcPr>
            <w:tcW w:type="dxa" w:w="1881"/>
            <w:shd w:val="clear" w:color="auto" w:fill="F2F5F8"/>
          </w:tcPr>
          <w:p>
            <w:r>
              <w:rPr>
                <w:sz w:val="16"/>
              </w:rPr>
              <w:t>★★★★☆</w:t>
            </w:r>
          </w:p>
        </w:tc>
      </w:tr>
      <w:tr>
        <w:tc>
          <w:tcPr>
            <w:tcW w:type="dxa" w:w="1881"/>
            <w:shd w:val="clear" w:color="auto" w:fill="FFFFFF"/>
          </w:tcPr>
          <w:p>
            <w:r>
              <w:rPr>
                <w:b/>
                <w:color w:val="1A5F8A"/>
                <w:sz w:val="16"/>
              </w:rPr>
              <w:t>B – E-Sourcing/RfQ</w:t>
            </w:r>
          </w:p>
        </w:tc>
        <w:tc>
          <w:tcPr>
            <w:tcW w:type="dxa" w:w="1881"/>
            <w:shd w:val="clear" w:color="auto" w:fill="FFFFFF"/>
          </w:tcPr>
          <w:p>
            <w:r>
              <w:rPr>
                <w:sz w:val="16"/>
              </w:rPr>
              <w:t>Excel/E-Mail-Chaos</w:t>
            </w:r>
          </w:p>
        </w:tc>
        <w:tc>
          <w:tcPr>
            <w:tcW w:type="dxa" w:w="1881"/>
            <w:shd w:val="clear" w:color="auto" w:fill="FFFFFF"/>
          </w:tcPr>
          <w:p>
            <w:r>
              <w:rPr>
                <w:sz w:val="16"/>
              </w:rPr>
              <w:t>RfX-Prozesse laufen über Excel ohne Versionierung</w:t>
            </w:r>
          </w:p>
        </w:tc>
        <w:tc>
          <w:tcPr>
            <w:tcW w:type="dxa" w:w="1881"/>
            <w:shd w:val="clear" w:color="auto" w:fill="FFFFFF"/>
          </w:tcPr>
          <w:p>
            <w:r>
              <w:rPr>
                <w:sz w:val="16"/>
              </w:rPr>
              <w:t>3–5 Tage Durchlaufzeit; häufige Fehler</w:t>
            </w:r>
          </w:p>
        </w:tc>
        <w:tc>
          <w:tcPr>
            <w:tcW w:type="dxa" w:w="1881"/>
            <w:shd w:val="clear" w:color="auto" w:fill="FFFFFF"/>
          </w:tcPr>
          <w:p>
            <w:r>
              <w:rPr>
                <w:sz w:val="16"/>
              </w:rPr>
              <w:t>★★★★★</w:t>
            </w:r>
          </w:p>
        </w:tc>
      </w:tr>
      <w:tr>
        <w:tc>
          <w:tcPr>
            <w:tcW w:type="dxa" w:w="1881"/>
            <w:shd w:val="clear" w:color="auto" w:fill="F2F5F8"/>
          </w:tcPr>
          <w:p>
            <w:r>
              <w:rPr>
                <w:b/>
                <w:color w:val="1A5F8A"/>
                <w:sz w:val="16"/>
              </w:rPr>
              <w:t>B – E-Sourcing/RfQ</w:t>
            </w:r>
          </w:p>
        </w:tc>
        <w:tc>
          <w:tcPr>
            <w:tcW w:type="dxa" w:w="1881"/>
            <w:shd w:val="clear" w:color="auto" w:fill="F2F5F8"/>
          </w:tcPr>
          <w:p>
            <w:r>
              <w:rPr>
                <w:sz w:val="16"/>
              </w:rPr>
              <w:t>CSRD/Scope-3</w:t>
            </w:r>
          </w:p>
        </w:tc>
        <w:tc>
          <w:tcPr>
            <w:tcW w:type="dxa" w:w="1881"/>
            <w:shd w:val="clear" w:color="auto" w:fill="F2F5F8"/>
          </w:tcPr>
          <w:p>
            <w:r>
              <w:rPr>
                <w:sz w:val="16"/>
              </w:rPr>
              <w:t>~50.000 EU-Unternehmen müssen Scope-3 berichten</w:t>
            </w:r>
          </w:p>
        </w:tc>
        <w:tc>
          <w:tcPr>
            <w:tcW w:type="dxa" w:w="1881"/>
            <w:shd w:val="clear" w:color="auto" w:fill="F2F5F8"/>
          </w:tcPr>
          <w:p>
            <w:r>
              <w:rPr>
                <w:sz w:val="16"/>
              </w:rPr>
              <w:t>Manuelle Lieferantenbefragung für hunderte Tier-1-Lieferanten</w:t>
            </w:r>
          </w:p>
        </w:tc>
        <w:tc>
          <w:tcPr>
            <w:tcW w:type="dxa" w:w="1881"/>
            <w:shd w:val="clear" w:color="auto" w:fill="F2F5F8"/>
          </w:tcPr>
          <w:p>
            <w:r>
              <w:rPr>
                <w:sz w:val="16"/>
              </w:rPr>
              <w:t>★★★★★</w:t>
            </w:r>
          </w:p>
        </w:tc>
      </w:tr>
      <w:tr>
        <w:tc>
          <w:tcPr>
            <w:tcW w:type="dxa" w:w="1881"/>
            <w:shd w:val="clear" w:color="auto" w:fill="FFFFFF"/>
          </w:tcPr>
          <w:p>
            <w:r>
              <w:rPr>
                <w:b/>
                <w:color w:val="1A5F8A"/>
                <w:sz w:val="16"/>
              </w:rPr>
              <w:t>B – E-Sourcing/RfQ</w:t>
            </w:r>
          </w:p>
        </w:tc>
        <w:tc>
          <w:tcPr>
            <w:tcW w:type="dxa" w:w="1881"/>
            <w:shd w:val="clear" w:color="auto" w:fill="FFFFFF"/>
          </w:tcPr>
          <w:p>
            <w:r>
              <w:rPr>
                <w:sz w:val="16"/>
              </w:rPr>
              <w:t>KMU-Zugangshürde</w:t>
            </w:r>
          </w:p>
        </w:tc>
        <w:tc>
          <w:tcPr>
            <w:tcW w:type="dxa" w:w="1881"/>
            <w:shd w:val="clear" w:color="auto" w:fill="FFFFFF"/>
          </w:tcPr>
          <w:p>
            <w:r>
              <w:rPr>
                <w:sz w:val="16"/>
              </w:rPr>
              <w:t>Enterprise-Suites kosten €100K+/Jahr</w:t>
            </w:r>
          </w:p>
        </w:tc>
        <w:tc>
          <w:tcPr>
            <w:tcW w:type="dxa" w:w="1881"/>
            <w:shd w:val="clear" w:color="auto" w:fill="FFFFFF"/>
          </w:tcPr>
          <w:p>
            <w:r>
              <w:rPr>
                <w:sz w:val="16"/>
              </w:rPr>
              <w:t>99,8 % europ. Fertigungsunternehmen sind KMU ohne digitales Sourcing</w:t>
            </w:r>
          </w:p>
        </w:tc>
        <w:tc>
          <w:tcPr>
            <w:tcW w:type="dxa" w:w="1881"/>
            <w:shd w:val="clear" w:color="auto" w:fill="FFFFFF"/>
          </w:tcPr>
          <w:p>
            <w:r>
              <w:rPr>
                <w:sz w:val="16"/>
              </w:rPr>
              <w:t>★★★★★</w:t>
            </w:r>
          </w:p>
        </w:tc>
      </w:tr>
      <w:tr>
        <w:tc>
          <w:tcPr>
            <w:tcW w:type="dxa" w:w="1881"/>
            <w:shd w:val="clear" w:color="auto" w:fill="F2F5F8"/>
          </w:tcPr>
          <w:p>
            <w:r>
              <w:rPr>
                <w:b/>
                <w:color w:val="1A5F8A"/>
                <w:sz w:val="16"/>
              </w:rPr>
              <w:t>C – CPQ</w:t>
            </w:r>
          </w:p>
        </w:tc>
        <w:tc>
          <w:tcPr>
            <w:tcW w:type="dxa" w:w="1881"/>
            <w:shd w:val="clear" w:color="auto" w:fill="F2F5F8"/>
          </w:tcPr>
          <w:p>
            <w:r>
              <w:rPr>
                <w:sz w:val="16"/>
              </w:rPr>
              <w:t>Ingenieur-Bottleneck</w:t>
            </w:r>
          </w:p>
        </w:tc>
        <w:tc>
          <w:tcPr>
            <w:tcW w:type="dxa" w:w="1881"/>
            <w:shd w:val="clear" w:color="auto" w:fill="F2F5F8"/>
          </w:tcPr>
          <w:p>
            <w:r>
              <w:rPr>
                <w:sz w:val="16"/>
              </w:rPr>
              <w:t>Jedes Angebot erfordert Ingenieurbeteiligung</w:t>
            </w:r>
          </w:p>
        </w:tc>
        <w:tc>
          <w:tcPr>
            <w:tcW w:type="dxa" w:w="1881"/>
            <w:shd w:val="clear" w:color="auto" w:fill="F2F5F8"/>
          </w:tcPr>
          <w:p>
            <w:r>
              <w:rPr>
                <w:sz w:val="16"/>
              </w:rPr>
              <w:t>ETO-Angebote: 2–4 Wochen; Ingenieure 30–40 % Zeit für Angebote</w:t>
            </w:r>
          </w:p>
        </w:tc>
        <w:tc>
          <w:tcPr>
            <w:tcW w:type="dxa" w:w="1881"/>
            <w:shd w:val="clear" w:color="auto" w:fill="F2F5F8"/>
          </w:tcPr>
          <w:p>
            <w:r>
              <w:rPr>
                <w:sz w:val="16"/>
              </w:rPr>
              <w:t>★★★★★</w:t>
            </w:r>
          </w:p>
        </w:tc>
      </w:tr>
      <w:tr>
        <w:tc>
          <w:tcPr>
            <w:tcW w:type="dxa" w:w="1881"/>
            <w:shd w:val="clear" w:color="auto" w:fill="FFFFFF"/>
          </w:tcPr>
          <w:p>
            <w:r>
              <w:rPr>
                <w:b/>
                <w:color w:val="1A5F8A"/>
                <w:sz w:val="16"/>
              </w:rPr>
              <w:t>C – CPQ</w:t>
            </w:r>
          </w:p>
        </w:tc>
        <w:tc>
          <w:tcPr>
            <w:tcW w:type="dxa" w:w="1881"/>
            <w:shd w:val="clear" w:color="auto" w:fill="FFFFFF"/>
          </w:tcPr>
          <w:p>
            <w:r>
              <w:rPr>
                <w:sz w:val="16"/>
              </w:rPr>
              <w:t>Kein CAD-Angebots-Link</w:t>
            </w:r>
          </w:p>
        </w:tc>
        <w:tc>
          <w:tcPr>
            <w:tcW w:type="dxa" w:w="1881"/>
            <w:shd w:val="clear" w:color="auto" w:fill="FFFFFF"/>
          </w:tcPr>
          <w:p>
            <w:r>
              <w:rPr>
                <w:sz w:val="16"/>
              </w:rPr>
              <w:t>Angebot und CAD vollständig entkoppelt</w:t>
            </w:r>
          </w:p>
        </w:tc>
        <w:tc>
          <w:tcPr>
            <w:tcW w:type="dxa" w:w="1881"/>
            <w:shd w:val="clear" w:color="auto" w:fill="FFFFFF"/>
          </w:tcPr>
          <w:p>
            <w:r>
              <w:rPr>
                <w:sz w:val="16"/>
              </w:rPr>
              <w:t>50–70 % Engineering Changes durch Inkonsistenz</w:t>
            </w:r>
          </w:p>
        </w:tc>
        <w:tc>
          <w:tcPr>
            <w:tcW w:type="dxa" w:w="1881"/>
            <w:shd w:val="clear" w:color="auto" w:fill="FFFFFF"/>
          </w:tcPr>
          <w:p>
            <w:r>
              <w:rPr>
                <w:sz w:val="16"/>
              </w:rPr>
              <w:t>★★★★☆</w:t>
            </w:r>
          </w:p>
        </w:tc>
      </w:tr>
      <w:tr>
        <w:tc>
          <w:tcPr>
            <w:tcW w:type="dxa" w:w="1881"/>
            <w:shd w:val="clear" w:color="auto" w:fill="F2F5F8"/>
          </w:tcPr>
          <w:p>
            <w:r>
              <w:rPr>
                <w:b/>
                <w:color w:val="1A5F8A"/>
                <w:sz w:val="16"/>
              </w:rPr>
              <w:t>C – CPQ</w:t>
            </w:r>
          </w:p>
        </w:tc>
        <w:tc>
          <w:tcPr>
            <w:tcW w:type="dxa" w:w="1881"/>
            <w:shd w:val="clear" w:color="auto" w:fill="F2F5F8"/>
          </w:tcPr>
          <w:p>
            <w:r>
              <w:rPr>
                <w:sz w:val="16"/>
              </w:rPr>
              <w:t>ETO ohne Lösung</w:t>
            </w:r>
          </w:p>
        </w:tc>
        <w:tc>
          <w:tcPr>
            <w:tcW w:type="dxa" w:w="1881"/>
            <w:shd w:val="clear" w:color="auto" w:fill="F2F5F8"/>
          </w:tcPr>
          <w:p>
            <w:r>
              <w:rPr>
                <w:sz w:val="16"/>
              </w:rPr>
              <w:t>Keine Standard-CPQ für echte ETO-Produkte</w:t>
            </w:r>
          </w:p>
        </w:tc>
        <w:tc>
          <w:tcPr>
            <w:tcW w:type="dxa" w:w="1881"/>
            <w:shd w:val="clear" w:color="auto" w:fill="F2F5F8"/>
          </w:tcPr>
          <w:p>
            <w:r>
              <w:rPr>
                <w:sz w:val="16"/>
              </w:rPr>
              <w:t>~60 % aller EU-Maschinenbauaufträge sind kundenspezifisch</w:t>
            </w:r>
          </w:p>
        </w:tc>
        <w:tc>
          <w:tcPr>
            <w:tcW w:type="dxa" w:w="1881"/>
            <w:shd w:val="clear" w:color="auto" w:fill="F2F5F8"/>
          </w:tcPr>
          <w:p>
            <w:r>
              <w:rPr>
                <w:sz w:val="16"/>
              </w:rPr>
              <w:t>★★★★★</w:t>
            </w:r>
          </w:p>
        </w:tc>
      </w:tr>
      <w:tr>
        <w:tc>
          <w:tcPr>
            <w:tcW w:type="dxa" w:w="1881"/>
            <w:shd w:val="clear" w:color="auto" w:fill="FFFFFF"/>
          </w:tcPr>
          <w:p>
            <w:r>
              <w:rPr>
                <w:b/>
                <w:color w:val="1A5F8A"/>
                <w:sz w:val="16"/>
              </w:rPr>
              <w:t>D – SC Planning</w:t>
            </w:r>
          </w:p>
        </w:tc>
        <w:tc>
          <w:tcPr>
            <w:tcW w:type="dxa" w:w="1881"/>
            <w:shd w:val="clear" w:color="auto" w:fill="FFFFFF"/>
          </w:tcPr>
          <w:p>
            <w:r>
              <w:rPr>
                <w:sz w:val="16"/>
              </w:rPr>
              <w:t>Forecast-Fehler</w:t>
            </w:r>
          </w:p>
        </w:tc>
        <w:tc>
          <w:tcPr>
            <w:tcW w:type="dxa" w:w="1881"/>
            <w:shd w:val="clear" w:color="auto" w:fill="FFFFFF"/>
          </w:tcPr>
          <w:p>
            <w:r>
              <w:rPr>
                <w:sz w:val="16"/>
              </w:rPr>
              <w:t>Excel + Legacy-APS, kein Echtzeit-Update</w:t>
            </w:r>
          </w:p>
        </w:tc>
        <w:tc>
          <w:tcPr>
            <w:tcW w:type="dxa" w:w="1881"/>
            <w:shd w:val="clear" w:color="auto" w:fill="FFFFFF"/>
          </w:tcPr>
          <w:p>
            <w:r>
              <w:rPr>
                <w:sz w:val="16"/>
              </w:rPr>
              <w:t>Ø 30–40 % MAPE Forecast-Fehler; hohe Bestandskosten</w:t>
            </w:r>
          </w:p>
        </w:tc>
        <w:tc>
          <w:tcPr>
            <w:tcW w:type="dxa" w:w="1881"/>
            <w:shd w:val="clear" w:color="auto" w:fill="FFFFFF"/>
          </w:tcPr>
          <w:p>
            <w:r>
              <w:rPr>
                <w:sz w:val="16"/>
              </w:rPr>
              <w:t>★★★★★</w:t>
            </w:r>
          </w:p>
        </w:tc>
      </w:tr>
      <w:tr>
        <w:tc>
          <w:tcPr>
            <w:tcW w:type="dxa" w:w="1881"/>
            <w:shd w:val="clear" w:color="auto" w:fill="F2F5F8"/>
          </w:tcPr>
          <w:p>
            <w:r>
              <w:rPr>
                <w:b/>
                <w:color w:val="1A5F8A"/>
                <w:sz w:val="16"/>
              </w:rPr>
              <w:t>D – SC Planning</w:t>
            </w:r>
          </w:p>
        </w:tc>
        <w:tc>
          <w:tcPr>
            <w:tcW w:type="dxa" w:w="1881"/>
            <w:shd w:val="clear" w:color="auto" w:fill="F2F5F8"/>
          </w:tcPr>
          <w:p>
            <w:r>
              <w:rPr>
                <w:sz w:val="16"/>
              </w:rPr>
              <w:t>Multi-Tier-Blindheit</w:t>
            </w:r>
          </w:p>
        </w:tc>
        <w:tc>
          <w:tcPr>
            <w:tcW w:type="dxa" w:w="1881"/>
            <w:shd w:val="clear" w:color="auto" w:fill="F2F5F8"/>
          </w:tcPr>
          <w:p>
            <w:r>
              <w:rPr>
                <w:sz w:val="16"/>
              </w:rPr>
              <w:t>Nur Tier-1-Lieferanten sichtbar</w:t>
            </w:r>
          </w:p>
        </w:tc>
        <w:tc>
          <w:tcPr>
            <w:tcW w:type="dxa" w:w="1881"/>
            <w:shd w:val="clear" w:color="auto" w:fill="F2F5F8"/>
          </w:tcPr>
          <w:p>
            <w:r>
              <w:rPr>
                <w:sz w:val="16"/>
              </w:rPr>
              <w:t>77 % der Disruptions entstehen bei Tier-2+ Lieferanten</w:t>
            </w:r>
          </w:p>
        </w:tc>
        <w:tc>
          <w:tcPr>
            <w:tcW w:type="dxa" w:w="1881"/>
            <w:shd w:val="clear" w:color="auto" w:fill="F2F5F8"/>
          </w:tcPr>
          <w:p>
            <w:r>
              <w:rPr>
                <w:sz w:val="16"/>
              </w:rPr>
              <w:t>★★★★☆</w:t>
            </w:r>
          </w:p>
        </w:tc>
      </w:tr>
    </w:tbl>
    <w:p/>
    <w:p>
      <w:pPr>
        <w:pStyle w:val="Heading2"/>
      </w:pPr>
      <w:r>
        <w:rPr>
          <w:color w:val="1A5F8A"/>
        </w:rPr>
        <w:t>3.3  Relevanz für LoopForgeLab — der strategische Fit</w:t>
      </w:r>
    </w:p>
    <w:p>
      <w:pPr>
        <w:spacing w:after="120"/>
      </w:pPr>
      <w:r>
        <w:rPr>
          <w:b w:val="0"/>
        </w:rPr>
        <w:t>LoopForgeLab positioniert sich mit seiner "Product Intelligence Engine" als wirtschaftliche Integrationsschicht über dem Engineering-Ökosystem. Das Pitch Deck identifiziert vier direkte Wettbewerbsfelder: Engineering, Data &amp; Requirements Management, Sustainability und Sales &amp; Quotes. Aus den gemessenen Kundenproblemen ergibt sich ein klarer strategischer Fit:</w:t>
      </w:r>
    </w:p>
    <w:p>
      <w:pPr>
        <w:spacing w:before="120" w:after="40"/>
      </w:pPr>
      <w:r>
        <w:rPr>
          <w:b/>
          <w:color w:val="0D2B4A"/>
          <w:sz w:val="20"/>
        </w:rPr>
        <w:t>▶  RFQ-Modul (ab Q2 2026)</w:t>
      </w:r>
      <w:r>
        <w:rPr>
          <w:color w:val="00A8CC"/>
          <w:sz w:val="18"/>
        </w:rPr>
        <w:t xml:space="preserve">   [Sub-Cluster B &amp; C]</w:t>
      </w:r>
    </w:p>
    <w:p>
      <w:pPr>
        <w:spacing w:after="40"/>
      </w:pPr>
      <w:r>
        <w:rPr>
          <w:b w:val="0"/>
        </w:rPr>
        <w:t>LFLs erstes Kernmodul automatisiert die Angebotskalkulation für mechanische Produkte. Es löst den "Ingenieur-Bottleneck" (30–40 % Ingenieurszeit für Angebote) und schließt die Lücke zwischen CAD-Modell und Angebotskonfiguration — das Kernproblem von CPQ für ETO.</w:t>
      </w:r>
    </w:p>
    <w:p>
      <w:pPr>
        <w:spacing w:before="120" w:after="40"/>
      </w:pPr>
      <w:r>
        <w:rPr>
          <w:b/>
          <w:color w:val="0D2B4A"/>
          <w:sz w:val="20"/>
        </w:rPr>
        <w:t>▶  Manufacturing Cost Intelligence</w:t>
      </w:r>
      <w:r>
        <w:rPr>
          <w:color w:val="00A8CC"/>
          <w:sz w:val="18"/>
        </w:rPr>
        <w:t xml:space="preserve">   [Sub-Cluster B, C]</w:t>
      </w:r>
    </w:p>
    <w:p>
      <w:pPr>
        <w:spacing w:after="40"/>
      </w:pPr>
      <w:r>
        <w:rPr>
          <w:b w:val="0"/>
        </w:rPr>
        <w:t>Echtzeit-Fertigungskosten direkt aus Engineering-Daten — ohne Excel-Hell. Adressiert den "Economic Gatekeeper"-Befund: Entscheidungen können früher im Design-Prozess auf Kostenbasis getroffen werden.</w:t>
      </w:r>
    </w:p>
    <w:p>
      <w:pPr>
        <w:spacing w:before="120" w:after="40"/>
      </w:pPr>
      <w:r>
        <w:rPr>
          <w:b/>
          <w:color w:val="0D2B4A"/>
          <w:sz w:val="20"/>
        </w:rPr>
        <w:t>▶  Compliance &amp; Risk</w:t>
      </w:r>
      <w:r>
        <w:rPr>
          <w:color w:val="00A8CC"/>
          <w:sz w:val="18"/>
        </w:rPr>
        <w:t xml:space="preserve">   [Sub-Cluster B, D]</w:t>
      </w:r>
    </w:p>
    <w:p>
      <w:pPr>
        <w:spacing w:after="40"/>
      </w:pPr>
      <w:r>
        <w:rPr>
          <w:b w:val="0"/>
        </w:rPr>
        <w:t>Integration von CSRD/Scope-3-Anforderungen in den Design- und Beschaffungsprozess. Adressiert den wachsenden regulatorischen Druck, der ab 2025 für ~50.000 EU-Unternehmen gilt.</w:t>
      </w:r>
    </w:p>
    <w:p>
      <w:pPr>
        <w:spacing w:before="120" w:after="40"/>
      </w:pPr>
      <w:r>
        <w:rPr>
          <w:b/>
          <w:color w:val="0D2B4A"/>
          <w:sz w:val="20"/>
        </w:rPr>
        <w:t>▶  Life Cycle Cost &amp; Operator Insights</w:t>
      </w:r>
      <w:r>
        <w:rPr>
          <w:color w:val="00A8CC"/>
          <w:sz w:val="18"/>
        </w:rPr>
        <w:t xml:space="preserve">   [Sub-Cluster C, D]</w:t>
      </w:r>
    </w:p>
    <w:p>
      <w:pPr>
        <w:spacing w:after="40"/>
      </w:pPr>
      <w:r>
        <w:rPr>
          <w:b w:val="0"/>
        </w:rPr>
        <w:t>Total Cost of Ownership, Reparierbarkeit und Kreislaufwirtschafts-Potenziale als native Designparameter — Sustainability als Innovationstreiber statt Compliance-Bürde.</w:t>
      </w:r>
    </w:p>
    <w:p/>
    <w:p>
      <w:pPr>
        <w:spacing w:after="40"/>
      </w:pPr>
      <w:r>
        <w:rPr>
          <w:b/>
          <w:color w:val="0D2B4A"/>
        </w:rPr>
        <w:t>Marktgröße (Pitch Deck):  TAM € 16,6 Mrd. · SAM € 5,6 Mrd. · SOM € 98 Mio.  (415.000 Maschinenbauunternehmen, CAGR Engineeringsoftware 15 %)</w:t>
      </w:r>
    </w:p>
    <w:p>
      <w:pPr>
        <w:spacing w:after="160"/>
      </w:pPr>
      <w:r>
        <w:rPr>
          <w:b w:val="0"/>
        </w:rPr>
        <w:t>Primäre Zielmärkte: Verpackungsmaschinen-Produzenten · Material Handling Machinery · Engineering Services — OEM in DE/AT/CH/PL/CZ/NL/BE mit ≥ 30 Mitarbeitern</w:t>
      </w:r>
    </w:p>
    <w:p>
      <w:r>
        <w:br w:type="page"/>
      </w:r>
    </w:p>
    <w:p>
      <w:pPr>
        <w:pStyle w:val="Heading1"/>
      </w:pPr>
      <w:r>
        <w:rPr>
          <w:color w:val="0D2B4A"/>
        </w:rPr>
        <w:t>4  Lösungsanbieter &amp; Technologien in Sales &amp; Quotes</w:t>
      </w:r>
    </w:p>
    <w:p>
      <w:pPr>
        <w:pStyle w:val="Heading2"/>
      </w:pPr>
      <w:r>
        <w:rPr>
          <w:color w:val="1A5F8A"/>
        </w:rPr>
        <w:t>4.1  Anbieterprofile nach Sub-Cluster</w:t>
      </w:r>
    </w:p>
    <w:p>
      <w:pPr>
        <w:pStyle w:val="Heading3"/>
      </w:pPr>
      <w:r>
        <w:rPr>
          <w:color w:val="1A5F8A"/>
        </w:rPr>
        <w:t>Sub-Cluster A — RfP / Bid Response Management</w:t>
      </w:r>
    </w:p>
    <w:p>
      <w:pPr>
        <w:spacing w:after="80"/>
      </w:pPr>
      <w:r>
        <w:rPr>
          <w:b w:val="0"/>
        </w:rPr>
        <w:t>Dieser Sub-Cluster konzentriert sich auf die KI-gestützte Automatisierung von Antworten auf Ausschreibungen (RfP, RfI, DDQ). Der Markt ist 2023–2025 explodiert und wird von einer Welle KI-nativer Startups aufgemischt, die Legacy-Anbieter wie Loopio herausfordern.</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1A5F8A"/>
          </w:tcPr>
          <w:p>
            <w:r>
              <w:rPr>
                <w:b/>
                <w:color w:val="FFFFFF"/>
                <w:sz w:val="16"/>
              </w:rPr>
              <w:t>Unternehmen</w:t>
            </w:r>
          </w:p>
        </w:tc>
        <w:tc>
          <w:tcPr>
            <w:tcW w:type="dxa" w:w="850"/>
            <w:shd w:val="clear" w:color="auto" w:fill="1A5F8A"/>
          </w:tcPr>
          <w:p>
            <w:r>
              <w:rPr>
                <w:b/>
                <w:color w:val="FFFFFF"/>
                <w:sz w:val="16"/>
              </w:rPr>
              <w:t>Typ</w:t>
            </w:r>
          </w:p>
        </w:tc>
        <w:tc>
          <w:tcPr>
            <w:tcW w:type="dxa" w:w="7370"/>
            <w:shd w:val="clear" w:color="auto" w:fill="1A5F8A"/>
          </w:tcPr>
          <w:p>
            <w:r>
              <w:rPr>
                <w:b/>
                <w:color w:val="FFFFFF"/>
                <w:sz w:val="16"/>
              </w:rPr>
              <w:t>Lösung / USP</w:t>
            </w:r>
          </w:p>
        </w:tc>
      </w:tr>
      <w:tr>
        <w:tc>
          <w:tcPr>
            <w:tcW w:type="dxa" w:w="3135"/>
            <w:shd w:val="clear" w:color="auto" w:fill="FFFFFF"/>
          </w:tcPr>
          <w:p>
            <w:r>
              <w:rPr>
                <w:b/>
                <w:color w:val="0D2B4A"/>
                <w:sz w:val="16"/>
              </w:rPr>
              <w:t>Loopio</w:t>
            </w:r>
          </w:p>
        </w:tc>
        <w:tc>
          <w:tcPr>
            <w:tcW w:type="dxa" w:w="3135"/>
            <w:shd w:val="clear" w:color="auto" w:fill="FFFFFF"/>
          </w:tcPr>
          <w:p>
            <w:r>
              <w:rPr>
                <w:color w:val="C0392B"/>
                <w:sz w:val="16"/>
              </w:rPr>
              <w:t>Groß</w:t>
            </w:r>
          </w:p>
        </w:tc>
        <w:tc>
          <w:tcPr>
            <w:tcW w:type="dxa" w:w="3135"/>
            <w:shd w:val="clear" w:color="auto" w:fill="FFFFFF"/>
          </w:tcPr>
          <w:p>
            <w:r>
              <w:rPr>
                <w:sz w:val="16"/>
              </w:rPr>
              <w:t>RfP-Marktführer mit 1.500+ Kunden. KI auf 10+ Jahren Proposal-Daten trainiert. Stärken: UX, Support (9,7/10 G2). Schwäche: Library-basierte KI, keine Live-Verbindungen, langsamer als neue AI-Native-Tools.</w:t>
            </w:r>
          </w:p>
        </w:tc>
      </w:tr>
      <w:tr>
        <w:tc>
          <w:tcPr>
            <w:tcW w:type="dxa" w:w="3135"/>
            <w:shd w:val="clear" w:color="auto" w:fill="F2F5F8"/>
          </w:tcPr>
          <w:p>
            <w:r>
              <w:rPr>
                <w:b/>
                <w:color w:val="0D2B4A"/>
                <w:sz w:val="16"/>
              </w:rPr>
              <w:t>Responsive.io</w:t>
            </w:r>
          </w:p>
        </w:tc>
        <w:tc>
          <w:tcPr>
            <w:tcW w:type="dxa" w:w="3135"/>
            <w:shd w:val="clear" w:color="auto" w:fill="F2F5F8"/>
          </w:tcPr>
          <w:p>
            <w:r>
              <w:rPr>
                <w:color w:val="C0392B"/>
                <w:sz w:val="16"/>
              </w:rPr>
              <w:t>Groß</w:t>
            </w:r>
          </w:p>
        </w:tc>
        <w:tc>
          <w:tcPr>
            <w:tcW w:type="dxa" w:w="3135"/>
            <w:shd w:val="clear" w:color="auto" w:fill="F2F5F8"/>
          </w:tcPr>
          <w:p>
            <w:r>
              <w:rPr>
                <w:sz w:val="16"/>
              </w:rPr>
              <w:t>2.000+ Kunden, 100+ Integrationen (Salesforce, Slack, MS Teams), 50+ Sprachen. Stärken: Integrations-Ökosystem, Analytics. Schwäche: Steile Lernkurve, komplexes Pricing.</w:t>
            </w:r>
          </w:p>
        </w:tc>
      </w:tr>
      <w:tr>
        <w:tc>
          <w:tcPr>
            <w:tcW w:type="dxa" w:w="3135"/>
            <w:shd w:val="clear" w:color="auto" w:fill="FFFFFF"/>
          </w:tcPr>
          <w:p>
            <w:r>
              <w:rPr>
                <w:b/>
                <w:color w:val="0D2B4A"/>
                <w:sz w:val="16"/>
              </w:rPr>
              <w:t>Arphie</w:t>
            </w:r>
          </w:p>
        </w:tc>
        <w:tc>
          <w:tcPr>
            <w:tcW w:type="dxa" w:w="3135"/>
            <w:shd w:val="clear" w:color="auto" w:fill="FFFFFF"/>
          </w:tcPr>
          <w:p>
            <w:r>
              <w:rPr>
                <w:color w:val="1A5F8A"/>
                <w:sz w:val="16"/>
              </w:rPr>
              <w:t>Startup</w:t>
            </w:r>
          </w:p>
        </w:tc>
        <w:tc>
          <w:tcPr>
            <w:tcW w:type="dxa" w:w="3135"/>
            <w:shd w:val="clear" w:color="auto" w:fill="FFFFFF"/>
          </w:tcPr>
          <w:p>
            <w:r>
              <w:rPr>
                <w:sz w:val="16"/>
              </w:rPr>
              <w:t>KI-nativ mit Live-KB-Verbindungen (Google Drive, SharePoint, Confluence). 80 %+ Zeitersparnis vs. Loopio-Benchmark, 84 % AI Acceptance Rate. Flat-Rate-Pricing (unlimitierte User). Zero Data Retention als Trust-Feature.</w:t>
            </w:r>
          </w:p>
        </w:tc>
      </w:tr>
      <w:tr>
        <w:tc>
          <w:tcPr>
            <w:tcW w:type="dxa" w:w="3135"/>
            <w:shd w:val="clear" w:color="auto" w:fill="F2F5F8"/>
          </w:tcPr>
          <w:p>
            <w:r>
              <w:rPr>
                <w:b/>
                <w:color w:val="0D2B4A"/>
                <w:sz w:val="16"/>
              </w:rPr>
              <w:t>Altura</w:t>
            </w:r>
          </w:p>
        </w:tc>
        <w:tc>
          <w:tcPr>
            <w:tcW w:type="dxa" w:w="3135"/>
            <w:shd w:val="clear" w:color="auto" w:fill="F2F5F8"/>
          </w:tcPr>
          <w:p>
            <w:r>
              <w:rPr>
                <w:color w:val="1A5F8A"/>
                <w:sz w:val="16"/>
              </w:rPr>
              <w:t>Startup</w:t>
            </w:r>
          </w:p>
        </w:tc>
        <w:tc>
          <w:tcPr>
            <w:tcW w:type="dxa" w:w="3135"/>
            <w:shd w:val="clear" w:color="auto" w:fill="F2F5F8"/>
          </w:tcPr>
          <w:p>
            <w:r>
              <w:rPr>
                <w:sz w:val="16"/>
              </w:rPr>
              <w:t>Autonomer "Bid Companion" KI-Agent, der RfP-Aufgaben selbstständig erledigt und Compliance-Risiken proaktiv kennzeichnet. Europäischer Fokus, Echtzeit Bid/No-Bid Intelligence.</w:t>
            </w:r>
          </w:p>
        </w:tc>
      </w:tr>
      <w:tr>
        <w:tc>
          <w:tcPr>
            <w:tcW w:type="dxa" w:w="3135"/>
            <w:shd w:val="clear" w:color="auto" w:fill="FFFFFF"/>
          </w:tcPr>
          <w:p>
            <w:r>
              <w:rPr>
                <w:b/>
                <w:color w:val="0D2B4A"/>
                <w:sz w:val="16"/>
              </w:rPr>
              <w:t>AutogenAI</w:t>
            </w:r>
          </w:p>
        </w:tc>
        <w:tc>
          <w:tcPr>
            <w:tcW w:type="dxa" w:w="3135"/>
            <w:shd w:val="clear" w:color="auto" w:fill="FFFFFF"/>
          </w:tcPr>
          <w:p>
            <w:r>
              <w:rPr>
                <w:color w:val="1A5F8A"/>
                <w:sz w:val="16"/>
              </w:rPr>
              <w:t>Startup</w:t>
            </w:r>
          </w:p>
        </w:tc>
        <w:tc>
          <w:tcPr>
            <w:tcW w:type="dxa" w:w="3135"/>
            <w:shd w:val="clear" w:color="auto" w:fill="FFFFFF"/>
          </w:tcPr>
          <w:p>
            <w:r>
              <w:rPr>
                <w:sz w:val="16"/>
              </w:rPr>
              <w:t>$36,1M Umsatz (2025), 200+ Enterprise-Kunden. Generiert komplette Bid-Dokumente für komplexe Government- und Engineering-RfPs. Speziell für narrative Heavy-Bids, weniger für strukturierte RfQ-Formulare.</w:t>
            </w:r>
          </w:p>
        </w:tc>
      </w:tr>
      <w:tr>
        <w:tc>
          <w:tcPr>
            <w:tcW w:type="dxa" w:w="3135"/>
            <w:shd w:val="clear" w:color="auto" w:fill="F2F5F8"/>
          </w:tcPr>
          <w:p>
            <w:r>
              <w:rPr>
                <w:b/>
                <w:color w:val="0D2B4A"/>
                <w:sz w:val="16"/>
              </w:rPr>
              <w:t>Inventive AI</w:t>
            </w:r>
          </w:p>
        </w:tc>
        <w:tc>
          <w:tcPr>
            <w:tcW w:type="dxa" w:w="3135"/>
            <w:shd w:val="clear" w:color="auto" w:fill="F2F5F8"/>
          </w:tcPr>
          <w:p>
            <w:r>
              <w:rPr>
                <w:color w:val="1A5F8A"/>
                <w:sz w:val="16"/>
              </w:rPr>
              <w:t>Startup</w:t>
            </w:r>
          </w:p>
        </w:tc>
        <w:tc>
          <w:tcPr>
            <w:tcW w:type="dxa" w:w="3135"/>
            <w:shd w:val="clear" w:color="auto" w:fill="F2F5F8"/>
          </w:tcPr>
          <w:p>
            <w:r>
              <w:rPr>
                <w:sz w:val="16"/>
              </w:rPr>
              <w:t>Identifiziert "Win Themes" aus CRM + Slack + Sales Calls für strategisch überlegene RfP-Antworten. Deep CRM/Salesforce-Integration. $1,7M ARR bootstrapped.</w:t>
            </w:r>
          </w:p>
        </w:tc>
      </w:tr>
      <w:tr>
        <w:tc>
          <w:tcPr>
            <w:tcW w:type="dxa" w:w="3135"/>
            <w:shd w:val="clear" w:color="auto" w:fill="FFFFFF"/>
          </w:tcPr>
          <w:p>
            <w:r>
              <w:rPr>
                <w:b/>
                <w:color w:val="0D2B4A"/>
                <w:sz w:val="16"/>
              </w:rPr>
              <w:t>DeepRFP</w:t>
            </w:r>
          </w:p>
        </w:tc>
        <w:tc>
          <w:tcPr>
            <w:tcW w:type="dxa" w:w="3135"/>
            <w:shd w:val="clear" w:color="auto" w:fill="FFFFFF"/>
          </w:tcPr>
          <w:p>
            <w:r>
              <w:rPr>
                <w:color w:val="1A5F8A"/>
                <w:sz w:val="16"/>
              </w:rPr>
              <w:t>Startup</w:t>
            </w:r>
          </w:p>
        </w:tc>
        <w:tc>
          <w:tcPr>
            <w:tcW w:type="dxa" w:w="3135"/>
            <w:shd w:val="clear" w:color="auto" w:fill="FFFFFF"/>
          </w:tcPr>
          <w:p>
            <w:r>
              <w:rPr>
                <w:sz w:val="16"/>
              </w:rPr>
              <w:t>KI-Agent-Plattform mit 28-Sprachen-Support und dedizierten Compliance-Automatisierungs-Agenten. Umfassendster multilingualer Ansatz im Cluster.</w:t>
            </w:r>
          </w:p>
        </w:tc>
      </w:tr>
      <w:tr>
        <w:tc>
          <w:tcPr>
            <w:tcW w:type="dxa" w:w="3135"/>
            <w:shd w:val="clear" w:color="auto" w:fill="F2F5F8"/>
          </w:tcPr>
          <w:p>
            <w:r>
              <w:rPr>
                <w:b/>
                <w:color w:val="0D2B4A"/>
                <w:sz w:val="16"/>
              </w:rPr>
              <w:t>AutoRFP.ai</w:t>
            </w:r>
          </w:p>
        </w:tc>
        <w:tc>
          <w:tcPr>
            <w:tcW w:type="dxa" w:w="3135"/>
            <w:shd w:val="clear" w:color="auto" w:fill="F2F5F8"/>
          </w:tcPr>
          <w:p>
            <w:r>
              <w:rPr>
                <w:color w:val="1A5F8A"/>
                <w:sz w:val="16"/>
              </w:rPr>
              <w:t>Startup</w:t>
            </w:r>
          </w:p>
        </w:tc>
        <w:tc>
          <w:tcPr>
            <w:tcW w:type="dxa" w:w="3135"/>
            <w:shd w:val="clear" w:color="auto" w:fill="F2F5F8"/>
          </w:tcPr>
          <w:p>
            <w:r>
              <w:rPr>
                <w:sz w:val="16"/>
              </w:rPr>
              <w:t>Browser-basierte RfP-Automation via Chrome Extension — arbeitet direkt in SAP Ariba und Government-Portalen. Unique Workflow für beschaffungsgetriebene Organisationen.</w:t>
            </w:r>
          </w:p>
        </w:tc>
      </w:tr>
    </w:tbl>
    <w:p/>
    <w:p>
      <w:pPr>
        <w:pStyle w:val="Heading3"/>
      </w:pPr>
      <w:r>
        <w:rPr>
          <w:color w:val="1A5F8A"/>
        </w:rPr>
        <w:t>Sub-Cluster B — E-Sourcing / RfQ-Management (Einkauf)</w:t>
      </w:r>
    </w:p>
    <w:p>
      <w:pPr>
        <w:spacing w:after="80"/>
      </w:pPr>
      <w:r>
        <w:rPr>
          <w:b w:val="0"/>
        </w:rPr>
        <w:t>E-Sourcing-Plattformen digitalisieren den Einkaufs- und Beschaffungsprozess. Der Markt ist zweigeteilt: Enterprise-Suites für Großkonzerne (Coupa, Ivalua, Jaggaer) und erschwingliche Alternativen für den Mittelstand. Das drängendste Problem bleibt die Unerschwinglichkeit großer Suites für KMU.</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1A5F8A"/>
          </w:tcPr>
          <w:p>
            <w:r>
              <w:rPr>
                <w:b/>
                <w:color w:val="FFFFFF"/>
                <w:sz w:val="16"/>
              </w:rPr>
              <w:t>Unternehmen</w:t>
            </w:r>
          </w:p>
        </w:tc>
        <w:tc>
          <w:tcPr>
            <w:tcW w:type="dxa" w:w="850"/>
            <w:shd w:val="clear" w:color="auto" w:fill="1A5F8A"/>
          </w:tcPr>
          <w:p>
            <w:r>
              <w:rPr>
                <w:b/>
                <w:color w:val="FFFFFF"/>
                <w:sz w:val="16"/>
              </w:rPr>
              <w:t>Typ</w:t>
            </w:r>
          </w:p>
        </w:tc>
        <w:tc>
          <w:tcPr>
            <w:tcW w:type="dxa" w:w="7370"/>
            <w:shd w:val="clear" w:color="auto" w:fill="1A5F8A"/>
          </w:tcPr>
          <w:p>
            <w:r>
              <w:rPr>
                <w:b/>
                <w:color w:val="FFFFFF"/>
                <w:sz w:val="16"/>
              </w:rPr>
              <w:t>Lösung / USP</w:t>
            </w:r>
          </w:p>
        </w:tc>
      </w:tr>
      <w:tr>
        <w:tc>
          <w:tcPr>
            <w:tcW w:type="dxa" w:w="3135"/>
            <w:shd w:val="clear" w:color="auto" w:fill="FFFFFF"/>
          </w:tcPr>
          <w:p>
            <w:r>
              <w:rPr>
                <w:b/>
                <w:color w:val="0D2B4A"/>
                <w:sz w:val="16"/>
              </w:rPr>
              <w:t>Coupa</w:t>
            </w:r>
          </w:p>
        </w:tc>
        <w:tc>
          <w:tcPr>
            <w:tcW w:type="dxa" w:w="3135"/>
            <w:shd w:val="clear" w:color="auto" w:fill="FFFFFF"/>
          </w:tcPr>
          <w:p>
            <w:r>
              <w:rPr>
                <w:color w:val="C0392B"/>
                <w:sz w:val="16"/>
              </w:rPr>
              <w:t>Groß</w:t>
            </w:r>
          </w:p>
        </w:tc>
        <w:tc>
          <w:tcPr>
            <w:tcW w:type="dxa" w:w="3135"/>
            <w:shd w:val="clear" w:color="auto" w:fill="FFFFFF"/>
          </w:tcPr>
          <w:p>
            <w:r>
              <w:rPr>
                <w:sz w:val="16"/>
              </w:rPr>
              <w:t>$619,4M Umsatz (FY2025), 3.500 Mitarbeiter. Community Intelligence aus $6T+ Transaktionen für Benchmarking und Risikodetektion. End-to-End BSM. Schwäche: Premium-Pricing, KMU-ungeeignet.</w:t>
            </w:r>
          </w:p>
        </w:tc>
      </w:tr>
      <w:tr>
        <w:tc>
          <w:tcPr>
            <w:tcW w:type="dxa" w:w="3135"/>
            <w:shd w:val="clear" w:color="auto" w:fill="F2F5F8"/>
          </w:tcPr>
          <w:p>
            <w:r>
              <w:rPr>
                <w:b/>
                <w:color w:val="0D2B4A"/>
                <w:sz w:val="16"/>
              </w:rPr>
              <w:t>Ivalua</w:t>
            </w:r>
          </w:p>
        </w:tc>
        <w:tc>
          <w:tcPr>
            <w:tcW w:type="dxa" w:w="3135"/>
            <w:shd w:val="clear" w:color="auto" w:fill="F2F5F8"/>
          </w:tcPr>
          <w:p>
            <w:r>
              <w:rPr>
                <w:color w:val="C0392B"/>
                <w:sz w:val="16"/>
              </w:rPr>
              <w:t>Groß</w:t>
            </w:r>
          </w:p>
        </w:tc>
        <w:tc>
          <w:tcPr>
            <w:tcW w:type="dxa" w:w="3135"/>
            <w:shd w:val="clear" w:color="auto" w:fill="F2F5F8"/>
          </w:tcPr>
          <w:p>
            <w:r>
              <w:rPr>
                <w:sz w:val="16"/>
              </w:rPr>
              <w:t>Globaler S2P-Marktführer auf einheitlicher Plattform. Starke EU-Präsenz, CSRD-Reporting-Integration. Hohe Implementierungskosten.</w:t>
            </w:r>
          </w:p>
        </w:tc>
      </w:tr>
      <w:tr>
        <w:tc>
          <w:tcPr>
            <w:tcW w:type="dxa" w:w="3135"/>
            <w:shd w:val="clear" w:color="auto" w:fill="FFFFFF"/>
          </w:tcPr>
          <w:p>
            <w:r>
              <w:rPr>
                <w:b/>
                <w:color w:val="0D2B4A"/>
                <w:sz w:val="16"/>
              </w:rPr>
              <w:t>Jaggaer</w:t>
            </w:r>
          </w:p>
        </w:tc>
        <w:tc>
          <w:tcPr>
            <w:tcW w:type="dxa" w:w="3135"/>
            <w:shd w:val="clear" w:color="auto" w:fill="FFFFFF"/>
          </w:tcPr>
          <w:p>
            <w:r>
              <w:rPr>
                <w:color w:val="C0392B"/>
                <w:sz w:val="16"/>
              </w:rPr>
              <w:t>Groß</w:t>
            </w:r>
          </w:p>
        </w:tc>
        <w:tc>
          <w:tcPr>
            <w:tcW w:type="dxa" w:w="3135"/>
            <w:shd w:val="clear" w:color="auto" w:fill="FFFFFF"/>
          </w:tcPr>
          <w:p>
            <w:r>
              <w:rPr>
                <w:sz w:val="16"/>
              </w:rPr>
              <w:t>Autonome Procurement-Agenten (JAI) für automatisierten Source-to-Pay. Starke Fertigungsbranchenausrichtung. Enterprise-only.</w:t>
            </w:r>
          </w:p>
        </w:tc>
      </w:tr>
      <w:tr>
        <w:tc>
          <w:tcPr>
            <w:tcW w:type="dxa" w:w="3135"/>
            <w:shd w:val="clear" w:color="auto" w:fill="F2F5F8"/>
          </w:tcPr>
          <w:p>
            <w:r>
              <w:rPr>
                <w:b/>
                <w:color w:val="0D2B4A"/>
                <w:sz w:val="16"/>
              </w:rPr>
              <w:t>Keelvar</w:t>
            </w:r>
          </w:p>
        </w:tc>
        <w:tc>
          <w:tcPr>
            <w:tcW w:type="dxa" w:w="3135"/>
            <w:shd w:val="clear" w:color="auto" w:fill="F2F5F8"/>
          </w:tcPr>
          <w:p>
            <w:r>
              <w:rPr>
                <w:color w:val="1A5F8A"/>
                <w:sz w:val="16"/>
              </w:rPr>
              <w:t>Startup</w:t>
            </w:r>
          </w:p>
        </w:tc>
        <w:tc>
          <w:tcPr>
            <w:tcW w:type="dxa" w:w="3135"/>
            <w:shd w:val="clear" w:color="auto" w:fill="F2F5F8"/>
          </w:tcPr>
          <w:p>
            <w:r>
              <w:rPr>
                <w:sz w:val="16"/>
              </w:rPr>
              <w:t>Einziger Anbieter im Gartner Market Guide 2025 für SOWOHL Advanced Sourcing Optimization ALS AUCH Autonomous Sourcing. $90B+ Spend managed. Autonome AI-Bots führen komplette RfQ-Zyklen ohne manuelle Intervention durch.</w:t>
            </w:r>
          </w:p>
        </w:tc>
      </w:tr>
      <w:tr>
        <w:tc>
          <w:tcPr>
            <w:tcW w:type="dxa" w:w="3135"/>
            <w:shd w:val="clear" w:color="auto" w:fill="FFFFFF"/>
          </w:tcPr>
          <w:p>
            <w:r>
              <w:rPr>
                <w:b/>
                <w:color w:val="0D2B4A"/>
                <w:sz w:val="16"/>
              </w:rPr>
              <w:t>ProcurePort</w:t>
            </w:r>
          </w:p>
        </w:tc>
        <w:tc>
          <w:tcPr>
            <w:tcW w:type="dxa" w:w="3135"/>
            <w:shd w:val="clear" w:color="auto" w:fill="FFFFFF"/>
          </w:tcPr>
          <w:p>
            <w:r>
              <w:rPr>
                <w:color w:val="1A5F8A"/>
                <w:sz w:val="16"/>
              </w:rPr>
              <w:t>Startup</w:t>
            </w:r>
          </w:p>
        </w:tc>
        <w:tc>
          <w:tcPr>
            <w:tcW w:type="dxa" w:w="3135"/>
            <w:shd w:val="clear" w:color="auto" w:fill="FFFFFF"/>
          </w:tcPr>
          <w:p>
            <w:r>
              <w:rPr>
                <w:sz w:val="16"/>
              </w:rPr>
              <w:t>Erschwingliche Full-Suite eProcurement seit 2011 (bootstrapped). Handhabt 1.000–15.000-Item-RfX-Events. Signifikant günstiger als Coupa/Ivalua/Jaggaer — ideal für KMU-Einstieg.</w:t>
            </w:r>
          </w:p>
        </w:tc>
      </w:tr>
      <w:tr>
        <w:tc>
          <w:tcPr>
            <w:tcW w:type="dxa" w:w="3135"/>
            <w:shd w:val="clear" w:color="auto" w:fill="F2F5F8"/>
          </w:tcPr>
          <w:p>
            <w:r>
              <w:rPr>
                <w:b/>
                <w:color w:val="0D2B4A"/>
                <w:sz w:val="16"/>
              </w:rPr>
              <w:t>QLM Sourcing</w:t>
            </w:r>
          </w:p>
        </w:tc>
        <w:tc>
          <w:tcPr>
            <w:tcW w:type="dxa" w:w="3135"/>
            <w:shd w:val="clear" w:color="auto" w:fill="F2F5F8"/>
          </w:tcPr>
          <w:p>
            <w:r>
              <w:rPr>
                <w:color w:val="1A5F8A"/>
                <w:sz w:val="16"/>
              </w:rPr>
              <w:t>Startup</w:t>
            </w:r>
          </w:p>
        </w:tc>
        <w:tc>
          <w:tcPr>
            <w:tcW w:type="dxa" w:w="3135"/>
            <w:shd w:val="clear" w:color="auto" w:fill="F2F5F8"/>
          </w:tcPr>
          <w:p>
            <w:r>
              <w:rPr>
                <w:sz w:val="16"/>
              </w:rPr>
              <w:t>Custom eRfQ-Template-Engine: Pro-Produkt-Kategorie anpassbare RfQ-Formulare für Engineering-Einkauf. Starke Lieferanten-Kollaboration.</w:t>
            </w:r>
          </w:p>
        </w:tc>
      </w:tr>
      <w:tr>
        <w:tc>
          <w:tcPr>
            <w:tcW w:type="dxa" w:w="3135"/>
            <w:shd w:val="clear" w:color="auto" w:fill="FFFFFF"/>
          </w:tcPr>
          <w:p>
            <w:r>
              <w:rPr>
                <w:b/>
                <w:color w:val="0D2B4A"/>
                <w:sz w:val="16"/>
              </w:rPr>
              <w:t>Bonfire</w:t>
            </w:r>
          </w:p>
        </w:tc>
        <w:tc>
          <w:tcPr>
            <w:tcW w:type="dxa" w:w="3135"/>
            <w:shd w:val="clear" w:color="auto" w:fill="FFFFFF"/>
          </w:tcPr>
          <w:p>
            <w:r>
              <w:rPr>
                <w:color w:val="1A5F8A"/>
                <w:sz w:val="16"/>
              </w:rPr>
              <w:t>Startup</w:t>
            </w:r>
          </w:p>
        </w:tc>
        <w:tc>
          <w:tcPr>
            <w:tcW w:type="dxa" w:w="3135"/>
            <w:shd w:val="clear" w:color="auto" w:fill="FFFFFF"/>
          </w:tcPr>
          <w:p>
            <w:r>
              <w:rPr>
                <w:sz w:val="16"/>
              </w:rPr>
              <w:t>600+ Public-Sector-Procurement-Teams, $18,2M Umsatz. Digitale Scorecards, gewichtete Bewertung, What-If-Analyse. Schwäche: Primär öffentlicher Sektor.</w:t>
            </w:r>
          </w:p>
        </w:tc>
      </w:tr>
      <w:tr>
        <w:tc>
          <w:tcPr>
            <w:tcW w:type="dxa" w:w="3135"/>
            <w:shd w:val="clear" w:color="auto" w:fill="F2F5F8"/>
          </w:tcPr>
          <w:p>
            <w:r>
              <w:rPr>
                <w:b/>
                <w:color w:val="0D2B4A"/>
                <w:sz w:val="16"/>
              </w:rPr>
              <w:t>Vendorful</w:t>
            </w:r>
          </w:p>
        </w:tc>
        <w:tc>
          <w:tcPr>
            <w:tcW w:type="dxa" w:w="3135"/>
            <w:shd w:val="clear" w:color="auto" w:fill="F2F5F8"/>
          </w:tcPr>
          <w:p>
            <w:r>
              <w:rPr>
                <w:color w:val="1A5F8A"/>
                <w:sz w:val="16"/>
              </w:rPr>
              <w:t>Startup</w:t>
            </w:r>
          </w:p>
        </w:tc>
        <w:tc>
          <w:tcPr>
            <w:tcW w:type="dxa" w:w="3135"/>
            <w:shd w:val="clear" w:color="auto" w:fill="F2F5F8"/>
          </w:tcPr>
          <w:p>
            <w:r>
              <w:rPr>
                <w:sz w:val="16"/>
              </w:rPr>
              <w:t>API-first E-Sourcing mit tiefer ERP-Integration, ersetzt Excel/SharePoint-RfX-Workflows. Für Beginner und Experten geeignet.</w:t>
            </w:r>
          </w:p>
        </w:tc>
      </w:tr>
    </w:tbl>
    <w:p/>
    <w:p>
      <w:pPr>
        <w:pStyle w:val="Heading3"/>
      </w:pPr>
      <w:r>
        <w:rPr>
          <w:color w:val="1A5F8A"/>
        </w:rPr>
        <w:t>Sub-Cluster C — CPQ: Configure Price Quote</w:t>
      </w:r>
    </w:p>
    <w:p>
      <w:pPr>
        <w:spacing w:after="80"/>
      </w:pPr>
      <w:r>
        <w:rPr>
          <w:b w:val="0"/>
        </w:rPr>
        <w:t>CPQ ist der kleinste Sub-Cluster (3 Unternehmen), aber mit dem stärksten strategischen Fit zu LoopForgeLab. Die Kernaufgabe: komplexe, kundenspezifische Produkte (Engineer-to-Order) so konfigurieren, dass ein korrektes Angebot in Minuten statt Wochen entsteht — inkl. CAD-Generierung. Rund 60 % aller Aufträge im europäischen Maschinenbau sind kundenspezifisch; eine skalierbare Standardlösung fehlt bisher.</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1A5F8A"/>
          </w:tcPr>
          <w:p>
            <w:r>
              <w:rPr>
                <w:b/>
                <w:color w:val="FFFFFF"/>
                <w:sz w:val="16"/>
              </w:rPr>
              <w:t>Unternehmen</w:t>
            </w:r>
          </w:p>
        </w:tc>
        <w:tc>
          <w:tcPr>
            <w:tcW w:type="dxa" w:w="850"/>
            <w:shd w:val="clear" w:color="auto" w:fill="1A5F8A"/>
          </w:tcPr>
          <w:p>
            <w:r>
              <w:rPr>
                <w:b/>
                <w:color w:val="FFFFFF"/>
                <w:sz w:val="16"/>
              </w:rPr>
              <w:t>Typ</w:t>
            </w:r>
          </w:p>
        </w:tc>
        <w:tc>
          <w:tcPr>
            <w:tcW w:type="dxa" w:w="7370"/>
            <w:shd w:val="clear" w:color="auto" w:fill="1A5F8A"/>
          </w:tcPr>
          <w:p>
            <w:r>
              <w:rPr>
                <w:b/>
                <w:color w:val="FFFFFF"/>
                <w:sz w:val="16"/>
              </w:rPr>
              <w:t>Lösung / USP</w:t>
            </w:r>
          </w:p>
        </w:tc>
      </w:tr>
      <w:tr>
        <w:tc>
          <w:tcPr>
            <w:tcW w:type="dxa" w:w="3135"/>
            <w:shd w:val="clear" w:color="auto" w:fill="FFFFFF"/>
          </w:tcPr>
          <w:p>
            <w:r>
              <w:rPr>
                <w:b/>
                <w:color w:val="0D2B4A"/>
                <w:sz w:val="16"/>
              </w:rPr>
              <w:t>Tacton</w:t>
            </w:r>
          </w:p>
        </w:tc>
        <w:tc>
          <w:tcPr>
            <w:tcW w:type="dxa" w:w="3135"/>
            <w:shd w:val="clear" w:color="auto" w:fill="FFFFFF"/>
          </w:tcPr>
          <w:p>
            <w:r>
              <w:rPr>
                <w:color w:val="C0392B"/>
                <w:sz w:val="16"/>
              </w:rPr>
              <w:t>Groß</w:t>
            </w:r>
          </w:p>
        </w:tc>
        <w:tc>
          <w:tcPr>
            <w:tcW w:type="dxa" w:w="3135"/>
            <w:shd w:val="clear" w:color="auto" w:fill="FFFFFF"/>
          </w:tcPr>
          <w:p>
            <w:r>
              <w:rPr>
                <w:sz w:val="16"/>
              </w:rPr>
              <w:t>301 Mitarbeiter, Stockholm. Marktführer CPQ für komplexe Fertigungsprodukte. Einzige CPQ-Lösung mit integrierter CO₂-Fußabdruckberechnung und EPD-Generierung direkt in der Produktkonfiguration. Starke CAD- und ERP/CRM-Kopplung.</w:t>
            </w:r>
          </w:p>
        </w:tc>
      </w:tr>
      <w:tr>
        <w:tc>
          <w:tcPr>
            <w:tcW w:type="dxa" w:w="3135"/>
            <w:shd w:val="clear" w:color="auto" w:fill="F2F5F8"/>
          </w:tcPr>
          <w:p>
            <w:r>
              <w:rPr>
                <w:b/>
                <w:color w:val="0D2B4A"/>
                <w:sz w:val="16"/>
              </w:rPr>
              <w:t>DriveWorks</w:t>
            </w:r>
          </w:p>
        </w:tc>
        <w:tc>
          <w:tcPr>
            <w:tcW w:type="dxa" w:w="3135"/>
            <w:shd w:val="clear" w:color="auto" w:fill="F2F5F8"/>
          </w:tcPr>
          <w:p>
            <w:r>
              <w:rPr>
                <w:color w:val="1A5F8A"/>
                <w:sz w:val="16"/>
              </w:rPr>
              <w:t>Startup</w:t>
            </w:r>
          </w:p>
        </w:tc>
        <w:tc>
          <w:tcPr>
            <w:tcW w:type="dxa" w:w="3135"/>
            <w:shd w:val="clear" w:color="auto" w:fill="F2F5F8"/>
          </w:tcPr>
          <w:p>
            <w:r>
              <w:rPr>
                <w:sz w:val="16"/>
              </w:rPr>
              <w:t>Sheffield, UK. Design Automation + CPQ nativ für SolidWorks. Regelbasierte CAD-Generierung direkt aus dem Angebot — einzigartiger Workflow: Angebot → CAD-Modell automatisch. Dominant im SolidWorks-Ökosystem.</w:t>
            </w:r>
          </w:p>
        </w:tc>
      </w:tr>
      <w:tr>
        <w:tc>
          <w:tcPr>
            <w:tcW w:type="dxa" w:w="3135"/>
            <w:shd w:val="clear" w:color="auto" w:fill="FFFFFF"/>
          </w:tcPr>
          <w:p>
            <w:r>
              <w:rPr>
                <w:b/>
                <w:color w:val="0D2B4A"/>
                <w:sz w:val="16"/>
              </w:rPr>
              <w:t>Elfsquad</w:t>
            </w:r>
          </w:p>
        </w:tc>
        <w:tc>
          <w:tcPr>
            <w:tcW w:type="dxa" w:w="3135"/>
            <w:shd w:val="clear" w:color="auto" w:fill="FFFFFF"/>
          </w:tcPr>
          <w:p>
            <w:r>
              <w:rPr>
                <w:color w:val="1A5F8A"/>
                <w:sz w:val="16"/>
              </w:rPr>
              <w:t>Startup</w:t>
            </w:r>
          </w:p>
        </w:tc>
        <w:tc>
          <w:tcPr>
            <w:tcW w:type="dxa" w:w="3135"/>
            <w:shd w:val="clear" w:color="auto" w:fill="FFFFFF"/>
          </w:tcPr>
          <w:p>
            <w:r>
              <w:rPr>
                <w:sz w:val="16"/>
              </w:rPr>
              <w:t>Groningen, NL. CPQ/Konfigurations-Software speziell für Fertigungs- und Industrieunternehmen. Fokus auf visuelle Produktkonfiguration und nahtlose ERP-Integration für den DACH/Benelux-Mittelstand.</w:t>
            </w:r>
          </w:p>
        </w:tc>
      </w:tr>
    </w:tbl>
    <w:p/>
    <w:p>
      <w:pPr>
        <w:pStyle w:val="Heading3"/>
      </w:pPr>
      <w:r>
        <w:rPr>
          <w:color w:val="1A5F8A"/>
        </w:rPr>
        <w:t>Sub-Cluster D — Supply Chain Planning &amp; Optimierung</w:t>
      </w:r>
    </w:p>
    <w:p>
      <w:pPr>
        <w:spacing w:after="80"/>
      </w:pPr>
      <w:r>
        <w:rPr>
          <w:b w:val="0"/>
        </w:rPr>
        <w:t>Mit 14 Unternehmen ist dies der größte Sub-Cluster. Supply-Chain-Planning-Lösungen adressieren Forecast-Fehler, Echtzeitreaktionsfähigkeit und Multi-Tier-Lieferantensichtbarkeit. Der Markt wird von wenigen großen Plattformanbietern dominiert, ergänzt durch spezialisierte AI-Startups für Risikomanagement und Optimierung.</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1A5F8A"/>
          </w:tcPr>
          <w:p>
            <w:r>
              <w:rPr>
                <w:b/>
                <w:color w:val="FFFFFF"/>
                <w:sz w:val="16"/>
              </w:rPr>
              <w:t>Unternehmen</w:t>
            </w:r>
          </w:p>
        </w:tc>
        <w:tc>
          <w:tcPr>
            <w:tcW w:type="dxa" w:w="850"/>
            <w:shd w:val="clear" w:color="auto" w:fill="1A5F8A"/>
          </w:tcPr>
          <w:p>
            <w:r>
              <w:rPr>
                <w:b/>
                <w:color w:val="FFFFFF"/>
                <w:sz w:val="16"/>
              </w:rPr>
              <w:t>Typ</w:t>
            </w:r>
          </w:p>
        </w:tc>
        <w:tc>
          <w:tcPr>
            <w:tcW w:type="dxa" w:w="7370"/>
            <w:shd w:val="clear" w:color="auto" w:fill="1A5F8A"/>
          </w:tcPr>
          <w:p>
            <w:r>
              <w:rPr>
                <w:b/>
                <w:color w:val="FFFFFF"/>
                <w:sz w:val="16"/>
              </w:rPr>
              <w:t>Lösung / USP</w:t>
            </w:r>
          </w:p>
        </w:tc>
      </w:tr>
      <w:tr>
        <w:tc>
          <w:tcPr>
            <w:tcW w:type="dxa" w:w="3135"/>
            <w:shd w:val="clear" w:color="auto" w:fill="FFFFFF"/>
          </w:tcPr>
          <w:p>
            <w:r>
              <w:rPr>
                <w:b/>
                <w:color w:val="0D2B4A"/>
                <w:sz w:val="16"/>
              </w:rPr>
              <w:t>Kinaxis</w:t>
            </w:r>
          </w:p>
        </w:tc>
        <w:tc>
          <w:tcPr>
            <w:tcW w:type="dxa" w:w="3135"/>
            <w:shd w:val="clear" w:color="auto" w:fill="FFFFFF"/>
          </w:tcPr>
          <w:p>
            <w:r>
              <w:rPr>
                <w:color w:val="C0392B"/>
                <w:sz w:val="16"/>
              </w:rPr>
              <w:t>Groß</w:t>
            </w:r>
          </w:p>
        </w:tc>
        <w:tc>
          <w:tcPr>
            <w:tcW w:type="dxa" w:w="3135"/>
            <w:shd w:val="clear" w:color="auto" w:fill="FFFFFF"/>
          </w:tcPr>
          <w:p>
            <w:r>
              <w:rPr>
                <w:sz w:val="16"/>
              </w:rPr>
              <w:t>Ottawa, CA. Concurrent Planning Platform "Maestro" — einzige AI-infused End-to-End SC-Orchestrierungsplattform. Echtzeit-Plananpassung statt sequenzieller Zyklen. Dominant in Automotive und High-Tech.</w:t>
            </w:r>
          </w:p>
        </w:tc>
      </w:tr>
      <w:tr>
        <w:tc>
          <w:tcPr>
            <w:tcW w:type="dxa" w:w="3135"/>
            <w:shd w:val="clear" w:color="auto" w:fill="F2F5F8"/>
          </w:tcPr>
          <w:p>
            <w:r>
              <w:rPr>
                <w:b/>
                <w:color w:val="0D2B4A"/>
                <w:sz w:val="16"/>
              </w:rPr>
              <w:t>Blue Yonder</w:t>
            </w:r>
          </w:p>
        </w:tc>
        <w:tc>
          <w:tcPr>
            <w:tcW w:type="dxa" w:w="3135"/>
            <w:shd w:val="clear" w:color="auto" w:fill="F2F5F8"/>
          </w:tcPr>
          <w:p>
            <w:r>
              <w:rPr>
                <w:color w:val="C0392B"/>
                <w:sz w:val="16"/>
              </w:rPr>
              <w:t>Groß</w:t>
            </w:r>
          </w:p>
        </w:tc>
        <w:tc>
          <w:tcPr>
            <w:tcW w:type="dxa" w:w="3135"/>
            <w:shd w:val="clear" w:color="auto" w:fill="F2F5F8"/>
          </w:tcPr>
          <w:p>
            <w:r>
              <w:rPr>
                <w:sz w:val="16"/>
              </w:rPr>
              <w:t>Scottsdale, USA. AI/ML-powered Supply Chain Planning &amp; Execution. Breite Branchenabdeckung. Starke Demand-Sensing-Kapazitäten.</w:t>
            </w:r>
          </w:p>
        </w:tc>
      </w:tr>
      <w:tr>
        <w:tc>
          <w:tcPr>
            <w:tcW w:type="dxa" w:w="3135"/>
            <w:shd w:val="clear" w:color="auto" w:fill="FFFFFF"/>
          </w:tcPr>
          <w:p>
            <w:r>
              <w:rPr>
                <w:b/>
                <w:color w:val="0D2B4A"/>
                <w:sz w:val="16"/>
              </w:rPr>
              <w:t>o9 Solutions</w:t>
            </w:r>
          </w:p>
        </w:tc>
        <w:tc>
          <w:tcPr>
            <w:tcW w:type="dxa" w:w="3135"/>
            <w:shd w:val="clear" w:color="auto" w:fill="FFFFFF"/>
          </w:tcPr>
          <w:p>
            <w:r>
              <w:rPr>
                <w:color w:val="1A5F8A"/>
                <w:sz w:val="16"/>
              </w:rPr>
              <w:t>Startup</w:t>
            </w:r>
          </w:p>
        </w:tc>
        <w:tc>
          <w:tcPr>
            <w:tcW w:type="dxa" w:w="3135"/>
            <w:shd w:val="clear" w:color="auto" w:fill="FFFFFF"/>
          </w:tcPr>
          <w:p>
            <w:r>
              <w:rPr>
                <w:sz w:val="16"/>
              </w:rPr>
              <w:t>Dallas, TX. Proprietäres Enterprise Knowledge Graph (EKG) für End-to-End SC-Modellierung. Neurosymbolische AI Agents + GenAI/LLM Composite Agents für Cross-funktionale Planung.</w:t>
            </w:r>
          </w:p>
        </w:tc>
      </w:tr>
      <w:tr>
        <w:tc>
          <w:tcPr>
            <w:tcW w:type="dxa" w:w="3135"/>
            <w:shd w:val="clear" w:color="auto" w:fill="F2F5F8"/>
          </w:tcPr>
          <w:p>
            <w:r>
              <w:rPr>
                <w:b/>
                <w:color w:val="0D2B4A"/>
                <w:sz w:val="16"/>
              </w:rPr>
              <w:t>Resilinc</w:t>
            </w:r>
          </w:p>
        </w:tc>
        <w:tc>
          <w:tcPr>
            <w:tcW w:type="dxa" w:w="3135"/>
            <w:shd w:val="clear" w:color="auto" w:fill="F2F5F8"/>
          </w:tcPr>
          <w:p>
            <w:r>
              <w:rPr>
                <w:color w:val="1A5F8A"/>
                <w:sz w:val="16"/>
              </w:rPr>
              <w:t>Startup</w:t>
            </w:r>
          </w:p>
        </w:tc>
        <w:tc>
          <w:tcPr>
            <w:tcW w:type="dxa" w:w="3135"/>
            <w:shd w:val="clear" w:color="auto" w:fill="F2F5F8"/>
          </w:tcPr>
          <w:p>
            <w:r>
              <w:rPr>
                <w:sz w:val="16"/>
              </w:rPr>
              <w:t>Milpitas, CA. Agentic AI auf 15+ Jahren SC-Daten. Autonome Risikoerkennung und -minderung. Spezialist für Multi-Tier-Sichtbarkeit und Disruption-Response.</w:t>
            </w:r>
          </w:p>
        </w:tc>
      </w:tr>
      <w:tr>
        <w:tc>
          <w:tcPr>
            <w:tcW w:type="dxa" w:w="3135"/>
            <w:shd w:val="clear" w:color="auto" w:fill="FFFFFF"/>
          </w:tcPr>
          <w:p>
            <w:r>
              <w:rPr>
                <w:b/>
                <w:color w:val="0D2B4A"/>
                <w:sz w:val="16"/>
              </w:rPr>
              <w:t>Scoutbee</w:t>
            </w:r>
          </w:p>
        </w:tc>
        <w:tc>
          <w:tcPr>
            <w:tcW w:type="dxa" w:w="3135"/>
            <w:shd w:val="clear" w:color="auto" w:fill="FFFFFF"/>
          </w:tcPr>
          <w:p>
            <w:r>
              <w:rPr>
                <w:color w:val="1A5F8A"/>
                <w:sz w:val="16"/>
              </w:rPr>
              <w:t>Startup</w:t>
            </w:r>
          </w:p>
        </w:tc>
        <w:tc>
          <w:tcPr>
            <w:tcW w:type="dxa" w:w="3135"/>
            <w:shd w:val="clear" w:color="auto" w:fill="FFFFFF"/>
          </w:tcPr>
          <w:p>
            <w:r>
              <w:rPr>
                <w:sz w:val="16"/>
              </w:rPr>
              <w:t>Würzburg, DE. KI-gestützte Lieferantenentdeckung und -risikomanagement mit LLMs. Europäischer Player, starker Bezug zur deutschen Fertigungsindustrie.</w:t>
            </w:r>
          </w:p>
        </w:tc>
      </w:tr>
      <w:tr>
        <w:tc>
          <w:tcPr>
            <w:tcW w:type="dxa" w:w="3135"/>
            <w:shd w:val="clear" w:color="auto" w:fill="F2F5F8"/>
          </w:tcPr>
          <w:p>
            <w:r>
              <w:rPr>
                <w:b/>
                <w:color w:val="0D2B4A"/>
                <w:sz w:val="16"/>
              </w:rPr>
              <w:t>Cosmo Tech</w:t>
            </w:r>
          </w:p>
        </w:tc>
        <w:tc>
          <w:tcPr>
            <w:tcW w:type="dxa" w:w="3135"/>
            <w:shd w:val="clear" w:color="auto" w:fill="F2F5F8"/>
          </w:tcPr>
          <w:p>
            <w:r>
              <w:rPr>
                <w:color w:val="1A5F8A"/>
                <w:sz w:val="16"/>
              </w:rPr>
              <w:t>Startup</w:t>
            </w:r>
          </w:p>
        </w:tc>
        <w:tc>
          <w:tcPr>
            <w:tcW w:type="dxa" w:w="3135"/>
            <w:shd w:val="clear" w:color="auto" w:fill="F2F5F8"/>
          </w:tcPr>
          <w:p>
            <w:r>
              <w:rPr>
                <w:sz w:val="16"/>
              </w:rPr>
              <w:t>Lyon, FR. Simulations-basierte Supply-Chain-Optimierung mit Digital Twins. Stärke: komplexe Szenarioanalysen für non-lineare SC-Probleme.</w:t>
            </w:r>
          </w:p>
        </w:tc>
      </w:tr>
    </w:tbl>
    <w:p/>
    <w:p>
      <w:r>
        <w:br w:type="page"/>
      </w:r>
    </w:p>
    <w:p>
      <w:pPr>
        <w:pStyle w:val="Heading2"/>
      </w:pPr>
      <w:r>
        <w:rPr>
          <w:color w:val="1A5F8A"/>
        </w:rPr>
        <w:t>4.2  Technologie-Radar: Schlüsseltechnologien in Sales &amp; Quotes</w:t>
      </w:r>
    </w:p>
    <w:p>
      <w:pPr>
        <w:spacing w:after="80"/>
      </w:pPr>
      <w:r>
        <w:rPr>
          <w:b w:val="0"/>
        </w:rPr>
        <w:t>Der folgende Technologie-Radar zeigt die wichtigsten Technologien im Sales-&amp;-Quotes-Markt, ihren Reifegrad und ihre Relevanz für LoopForgeLab:</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984"/>
            <w:shd w:val="clear" w:color="auto" w:fill="0D2B4A"/>
          </w:tcPr>
          <w:p>
            <w:pPr>
              <w:jc w:val="center"/>
            </w:pPr>
            <w:r>
              <w:rPr>
                <w:b/>
                <w:color w:val="FFFFFF"/>
                <w:sz w:val="16"/>
              </w:rPr>
              <w:t>Technologie</w:t>
            </w:r>
          </w:p>
        </w:tc>
        <w:tc>
          <w:tcPr>
            <w:tcW w:type="dxa" w:w="1134"/>
            <w:shd w:val="clear" w:color="auto" w:fill="0D2B4A"/>
          </w:tcPr>
          <w:p>
            <w:pPr>
              <w:jc w:val="center"/>
            </w:pPr>
            <w:r>
              <w:rPr>
                <w:b/>
                <w:color w:val="FFFFFF"/>
                <w:sz w:val="16"/>
              </w:rPr>
              <w:t>Reifegrad</w:t>
            </w:r>
          </w:p>
        </w:tc>
        <w:tc>
          <w:tcPr>
            <w:tcW w:type="dxa" w:w="567"/>
            <w:shd w:val="clear" w:color="auto" w:fill="0D2B4A"/>
          </w:tcPr>
          <w:p>
            <w:pPr>
              <w:jc w:val="center"/>
            </w:pPr>
            <w:r>
              <w:rPr>
                <w:b/>
                <w:color w:val="FFFFFF"/>
                <w:sz w:val="16"/>
              </w:rPr>
              <w:t>Cluster</w:t>
            </w:r>
          </w:p>
        </w:tc>
        <w:tc>
          <w:tcPr>
            <w:tcW w:type="dxa" w:w="2154"/>
            <w:shd w:val="clear" w:color="auto" w:fill="0D2B4A"/>
          </w:tcPr>
          <w:p>
            <w:pPr>
              <w:jc w:val="center"/>
            </w:pPr>
            <w:r>
              <w:rPr>
                <w:b/>
                <w:color w:val="FFFFFF"/>
                <w:sz w:val="16"/>
              </w:rPr>
              <w:t>Beispiel-Anbieter</w:t>
            </w:r>
          </w:p>
        </w:tc>
        <w:tc>
          <w:tcPr>
            <w:tcW w:type="dxa" w:w="2268"/>
            <w:shd w:val="clear" w:color="auto" w:fill="0D2B4A"/>
          </w:tcPr>
          <w:p>
            <w:pPr>
              <w:jc w:val="center"/>
            </w:pPr>
            <w:r>
              <w:rPr>
                <w:b/>
                <w:color w:val="FFFFFF"/>
                <w:sz w:val="16"/>
              </w:rPr>
              <w:t>Wettbewerbs-Differenzierung</w:t>
            </w:r>
          </w:p>
        </w:tc>
        <w:tc>
          <w:tcPr>
            <w:tcW w:type="dxa" w:w="1984"/>
            <w:shd w:val="clear" w:color="auto" w:fill="0D2B4A"/>
          </w:tcPr>
          <w:p>
            <w:pPr>
              <w:jc w:val="center"/>
            </w:pPr>
            <w:r>
              <w:rPr>
                <w:b/>
                <w:color w:val="FFFFFF"/>
                <w:sz w:val="16"/>
              </w:rPr>
              <w:t>LFL-Relevanz</w:t>
            </w:r>
          </w:p>
        </w:tc>
      </w:tr>
      <w:tr>
        <w:tc>
          <w:tcPr>
            <w:tcW w:type="dxa" w:w="1568"/>
            <w:shd w:val="clear" w:color="auto" w:fill="FFFFFF"/>
          </w:tcPr>
          <w:p>
            <w:r>
              <w:rPr>
                <w:sz w:val="16"/>
              </w:rPr>
              <w:t>Generative AI (LLM) für Proposal-Texte</w:t>
            </w:r>
          </w:p>
        </w:tc>
        <w:tc>
          <w:tcPr>
            <w:tcW w:type="dxa" w:w="1568"/>
            <w:shd w:val="clear" w:color="auto" w:fill="FFFFFF"/>
          </w:tcPr>
          <w:p>
            <w:r>
              <w:rPr>
                <w:sz w:val="16"/>
              </w:rPr>
              <w:t>★★★★★ Produktiv</w:t>
            </w:r>
          </w:p>
        </w:tc>
        <w:tc>
          <w:tcPr>
            <w:tcW w:type="dxa" w:w="1568"/>
            <w:shd w:val="clear" w:color="auto" w:fill="FFFFFF"/>
          </w:tcPr>
          <w:p>
            <w:r>
              <w:rPr>
                <w:sz w:val="16"/>
              </w:rPr>
              <w:t>A</w:t>
            </w:r>
          </w:p>
        </w:tc>
        <w:tc>
          <w:tcPr>
            <w:tcW w:type="dxa" w:w="1568"/>
            <w:shd w:val="clear" w:color="auto" w:fill="FFFFFF"/>
          </w:tcPr>
          <w:p>
            <w:r>
              <w:rPr>
                <w:sz w:val="16"/>
              </w:rPr>
              <w:t>Arphie, AutogenAI, Inventive AI, Loopio, DeepRFP, Altura</w:t>
            </w:r>
          </w:p>
        </w:tc>
        <w:tc>
          <w:tcPr>
            <w:tcW w:type="dxa" w:w="1568"/>
            <w:shd w:val="clear" w:color="auto" w:fill="FFFFFF"/>
          </w:tcPr>
          <w:p>
            <w:r>
              <w:rPr>
                <w:sz w:val="16"/>
              </w:rPr>
              <w:t>Entscheidend — Qualität, Geschwindigkeit, Personalisierung</w:t>
            </w:r>
          </w:p>
        </w:tc>
        <w:tc>
          <w:tcPr>
            <w:tcW w:type="dxa" w:w="1568"/>
            <w:shd w:val="clear" w:color="auto" w:fill="FFFFFF"/>
          </w:tcPr>
          <w:p>
            <w:r>
              <w:rPr>
                <w:i/>
                <w:color w:val="1A5F8A"/>
                <w:sz w:val="16"/>
              </w:rPr>
              <w:t>Direkt relevant für LFLs RFQ-Textgenerierung</w:t>
            </w:r>
          </w:p>
        </w:tc>
      </w:tr>
      <w:tr>
        <w:tc>
          <w:tcPr>
            <w:tcW w:type="dxa" w:w="1568"/>
            <w:shd w:val="clear" w:color="auto" w:fill="F2F5F8"/>
          </w:tcPr>
          <w:p>
            <w:r>
              <w:rPr>
                <w:sz w:val="16"/>
              </w:rPr>
              <w:t>RAG (Retrieval-Augmented Generation)</w:t>
            </w:r>
          </w:p>
        </w:tc>
        <w:tc>
          <w:tcPr>
            <w:tcW w:type="dxa" w:w="1568"/>
            <w:shd w:val="clear" w:color="auto" w:fill="F2F5F8"/>
          </w:tcPr>
          <w:p>
            <w:r>
              <w:rPr>
                <w:sz w:val="16"/>
              </w:rPr>
              <w:t>★★★★★ Produktiv</w:t>
            </w:r>
          </w:p>
        </w:tc>
        <w:tc>
          <w:tcPr>
            <w:tcW w:type="dxa" w:w="1568"/>
            <w:shd w:val="clear" w:color="auto" w:fill="F2F5F8"/>
          </w:tcPr>
          <w:p>
            <w:r>
              <w:rPr>
                <w:sz w:val="16"/>
              </w:rPr>
              <w:t>A+B</w:t>
            </w:r>
          </w:p>
        </w:tc>
        <w:tc>
          <w:tcPr>
            <w:tcW w:type="dxa" w:w="1568"/>
            <w:shd w:val="clear" w:color="auto" w:fill="F2F5F8"/>
          </w:tcPr>
          <w:p>
            <w:r>
              <w:rPr>
                <w:sz w:val="16"/>
              </w:rPr>
              <w:t>Arphie (live KB), Inventive AI, Responsive.io</w:t>
            </w:r>
          </w:p>
        </w:tc>
        <w:tc>
          <w:tcPr>
            <w:tcW w:type="dxa" w:w="1568"/>
            <w:shd w:val="clear" w:color="auto" w:fill="F2F5F8"/>
          </w:tcPr>
          <w:p>
            <w:r>
              <w:rPr>
                <w:sz w:val="16"/>
              </w:rPr>
              <w:t>Basis für AI-native Tools — Wissensbasiszugriff</w:t>
            </w:r>
          </w:p>
        </w:tc>
        <w:tc>
          <w:tcPr>
            <w:tcW w:type="dxa" w:w="1568"/>
            <w:shd w:val="clear" w:color="auto" w:fill="F2F5F8"/>
          </w:tcPr>
          <w:p>
            <w:r>
              <w:rPr>
                <w:i/>
                <w:color w:val="1A5F8A"/>
                <w:sz w:val="16"/>
              </w:rPr>
              <w:t>Kern-Technologie für LFLs Data-Desert-Lösung</w:t>
            </w:r>
          </w:p>
        </w:tc>
      </w:tr>
      <w:tr>
        <w:tc>
          <w:tcPr>
            <w:tcW w:type="dxa" w:w="1568"/>
            <w:shd w:val="clear" w:color="auto" w:fill="FFFFFF"/>
          </w:tcPr>
          <w:p>
            <w:r>
              <w:rPr>
                <w:sz w:val="16"/>
              </w:rPr>
              <w:t>Autonomous AI Agents</w:t>
            </w:r>
          </w:p>
        </w:tc>
        <w:tc>
          <w:tcPr>
            <w:tcW w:type="dxa" w:w="1568"/>
            <w:shd w:val="clear" w:color="auto" w:fill="FFFFFF"/>
          </w:tcPr>
          <w:p>
            <w:r>
              <w:rPr>
                <w:sz w:val="16"/>
              </w:rPr>
              <w:t>★★★★☆ Aufsteigend</w:t>
            </w:r>
          </w:p>
        </w:tc>
        <w:tc>
          <w:tcPr>
            <w:tcW w:type="dxa" w:w="1568"/>
            <w:shd w:val="clear" w:color="auto" w:fill="FFFFFF"/>
          </w:tcPr>
          <w:p>
            <w:r>
              <w:rPr>
                <w:sz w:val="16"/>
              </w:rPr>
              <w:t>A+B</w:t>
            </w:r>
          </w:p>
        </w:tc>
        <w:tc>
          <w:tcPr>
            <w:tcW w:type="dxa" w:w="1568"/>
            <w:shd w:val="clear" w:color="auto" w:fill="FFFFFF"/>
          </w:tcPr>
          <w:p>
            <w:r>
              <w:rPr>
                <w:sz w:val="16"/>
              </w:rPr>
              <w:t>Keelvar (Sourcing Bots), Altura (Bid Companion), Arphie</w:t>
            </w:r>
          </w:p>
        </w:tc>
        <w:tc>
          <w:tcPr>
            <w:tcW w:type="dxa" w:w="1568"/>
            <w:shd w:val="clear" w:color="auto" w:fill="FFFFFF"/>
          </w:tcPr>
          <w:p>
            <w:r>
              <w:rPr>
                <w:sz w:val="16"/>
              </w:rPr>
              <w:t>Nächste Evolutionsstufe: von Assist zu Autonom</w:t>
            </w:r>
          </w:p>
        </w:tc>
        <w:tc>
          <w:tcPr>
            <w:tcW w:type="dxa" w:w="1568"/>
            <w:shd w:val="clear" w:color="auto" w:fill="FFFFFF"/>
          </w:tcPr>
          <w:p>
            <w:r>
              <w:rPr>
                <w:i/>
                <w:color w:val="1A5F8A"/>
                <w:sz w:val="16"/>
              </w:rPr>
              <w:t>Roadmap-relevant für LFLs Design Copilot</w:t>
            </w:r>
          </w:p>
        </w:tc>
      </w:tr>
      <w:tr>
        <w:tc>
          <w:tcPr>
            <w:tcW w:type="dxa" w:w="1568"/>
            <w:shd w:val="clear" w:color="auto" w:fill="F2F5F8"/>
          </w:tcPr>
          <w:p>
            <w:r>
              <w:rPr>
                <w:sz w:val="16"/>
              </w:rPr>
              <w:t>Constraint-based Configuration Engine</w:t>
            </w:r>
          </w:p>
        </w:tc>
        <w:tc>
          <w:tcPr>
            <w:tcW w:type="dxa" w:w="1568"/>
            <w:shd w:val="clear" w:color="auto" w:fill="F2F5F8"/>
          </w:tcPr>
          <w:p>
            <w:r>
              <w:rPr>
                <w:sz w:val="16"/>
              </w:rPr>
              <w:t>★★★★★ Produktiv</w:t>
            </w:r>
          </w:p>
        </w:tc>
        <w:tc>
          <w:tcPr>
            <w:tcW w:type="dxa" w:w="1568"/>
            <w:shd w:val="clear" w:color="auto" w:fill="F2F5F8"/>
          </w:tcPr>
          <w:p>
            <w:r>
              <w:rPr>
                <w:sz w:val="16"/>
              </w:rPr>
              <w:t>C</w:t>
            </w:r>
          </w:p>
        </w:tc>
        <w:tc>
          <w:tcPr>
            <w:tcW w:type="dxa" w:w="1568"/>
            <w:shd w:val="clear" w:color="auto" w:fill="F2F5F8"/>
          </w:tcPr>
          <w:p>
            <w:r>
              <w:rPr>
                <w:sz w:val="16"/>
              </w:rPr>
              <w:t>Tacton, DriveWorks, Elfsquad</w:t>
            </w:r>
          </w:p>
        </w:tc>
        <w:tc>
          <w:tcPr>
            <w:tcW w:type="dxa" w:w="1568"/>
            <w:shd w:val="clear" w:color="auto" w:fill="F2F5F8"/>
          </w:tcPr>
          <w:p>
            <w:r>
              <w:rPr>
                <w:sz w:val="16"/>
              </w:rPr>
              <w:t>Kern-IP für CPQ bei ETO — Differenzierung über Komplexitätstiefe</w:t>
            </w:r>
          </w:p>
        </w:tc>
        <w:tc>
          <w:tcPr>
            <w:tcW w:type="dxa" w:w="1568"/>
            <w:shd w:val="clear" w:color="auto" w:fill="F2F5F8"/>
          </w:tcPr>
          <w:p>
            <w:r>
              <w:rPr>
                <w:i/>
                <w:color w:val="1A5F8A"/>
                <w:sz w:val="16"/>
              </w:rPr>
              <w:t>Direkte Konkurrenz zum LFL-RFQ-Modul für ETO</w:t>
            </w:r>
          </w:p>
        </w:tc>
      </w:tr>
      <w:tr>
        <w:tc>
          <w:tcPr>
            <w:tcW w:type="dxa" w:w="1568"/>
            <w:shd w:val="clear" w:color="auto" w:fill="FFFFFF"/>
          </w:tcPr>
          <w:p>
            <w:r>
              <w:rPr>
                <w:sz w:val="16"/>
              </w:rPr>
              <w:t>CAD-CPQ-Integration</w:t>
            </w:r>
          </w:p>
        </w:tc>
        <w:tc>
          <w:tcPr>
            <w:tcW w:type="dxa" w:w="1568"/>
            <w:shd w:val="clear" w:color="auto" w:fill="FFFFFF"/>
          </w:tcPr>
          <w:p>
            <w:r>
              <w:rPr>
                <w:sz w:val="16"/>
              </w:rPr>
              <w:t>★★★★☆ Produktiv</w:t>
            </w:r>
          </w:p>
        </w:tc>
        <w:tc>
          <w:tcPr>
            <w:tcW w:type="dxa" w:w="1568"/>
            <w:shd w:val="clear" w:color="auto" w:fill="FFFFFF"/>
          </w:tcPr>
          <w:p>
            <w:r>
              <w:rPr>
                <w:sz w:val="16"/>
              </w:rPr>
              <w:t>C</w:t>
            </w:r>
          </w:p>
        </w:tc>
        <w:tc>
          <w:tcPr>
            <w:tcW w:type="dxa" w:w="1568"/>
            <w:shd w:val="clear" w:color="auto" w:fill="FFFFFF"/>
          </w:tcPr>
          <w:p>
            <w:r>
              <w:rPr>
                <w:sz w:val="16"/>
              </w:rPr>
              <w:t>DriveWorks (SolidWorks-nativ)</w:t>
            </w:r>
          </w:p>
        </w:tc>
        <w:tc>
          <w:tcPr>
            <w:tcW w:type="dxa" w:w="1568"/>
            <w:shd w:val="clear" w:color="auto" w:fill="FFFFFF"/>
          </w:tcPr>
          <w:p>
            <w:r>
              <w:rPr>
                <w:sz w:val="16"/>
              </w:rPr>
              <w:t>Einzigartiger Workflow: Angebot → CAD-Modell automatisch</w:t>
            </w:r>
          </w:p>
        </w:tc>
        <w:tc>
          <w:tcPr>
            <w:tcW w:type="dxa" w:w="1568"/>
            <w:shd w:val="clear" w:color="auto" w:fill="FFFFFF"/>
          </w:tcPr>
          <w:p>
            <w:r>
              <w:rPr>
                <w:i/>
                <w:color w:val="1A5F8A"/>
                <w:sz w:val="16"/>
              </w:rPr>
              <w:t>Kern-Feature des LFL-Differenzierungsansatzes</w:t>
            </w:r>
          </w:p>
        </w:tc>
      </w:tr>
      <w:tr>
        <w:tc>
          <w:tcPr>
            <w:tcW w:type="dxa" w:w="1568"/>
            <w:shd w:val="clear" w:color="auto" w:fill="F2F5F8"/>
          </w:tcPr>
          <w:p>
            <w:r>
              <w:rPr>
                <w:sz w:val="16"/>
              </w:rPr>
              <w:t>ML für Instant Quoting</w:t>
            </w:r>
          </w:p>
        </w:tc>
        <w:tc>
          <w:tcPr>
            <w:tcW w:type="dxa" w:w="1568"/>
            <w:shd w:val="clear" w:color="auto" w:fill="F2F5F8"/>
          </w:tcPr>
          <w:p>
            <w:r>
              <w:rPr>
                <w:sz w:val="16"/>
              </w:rPr>
              <w:t>★★★★★ Produktiv</w:t>
            </w:r>
          </w:p>
        </w:tc>
        <w:tc>
          <w:tcPr>
            <w:tcW w:type="dxa" w:w="1568"/>
            <w:shd w:val="clear" w:color="auto" w:fill="F2F5F8"/>
          </w:tcPr>
          <w:p>
            <w:r>
              <w:rPr>
                <w:sz w:val="16"/>
              </w:rPr>
              <w:t>B (Fertigung)</w:t>
            </w:r>
          </w:p>
        </w:tc>
        <w:tc>
          <w:tcPr>
            <w:tcW w:type="dxa" w:w="1568"/>
            <w:shd w:val="clear" w:color="auto" w:fill="F2F5F8"/>
          </w:tcPr>
          <w:p>
            <w:r>
              <w:rPr>
                <w:sz w:val="16"/>
              </w:rPr>
              <w:t>Xometry, Protolabs</w:t>
            </w:r>
          </w:p>
        </w:tc>
        <w:tc>
          <w:tcPr>
            <w:tcW w:type="dxa" w:w="1568"/>
            <w:shd w:val="clear" w:color="auto" w:fill="F2F5F8"/>
          </w:tcPr>
          <w:p>
            <w:r>
              <w:rPr>
                <w:sz w:val="16"/>
              </w:rPr>
              <w:t>ML auf Millionen Teilen trainiert — Preis in &lt;60 Sek.</w:t>
            </w:r>
          </w:p>
        </w:tc>
        <w:tc>
          <w:tcPr>
            <w:tcW w:type="dxa" w:w="1568"/>
            <w:shd w:val="clear" w:color="auto" w:fill="F2F5F8"/>
          </w:tcPr>
          <w:p>
            <w:r>
              <w:rPr>
                <w:i/>
                <w:color w:val="1A5F8A"/>
                <w:sz w:val="16"/>
              </w:rPr>
              <w:t>Langfristiges Ziel für LFL im Fertigungsnetzwerk</w:t>
            </w:r>
          </w:p>
        </w:tc>
      </w:tr>
      <w:tr>
        <w:tc>
          <w:tcPr>
            <w:tcW w:type="dxa" w:w="1568"/>
            <w:shd w:val="clear" w:color="auto" w:fill="FFFFFF"/>
          </w:tcPr>
          <w:p>
            <w:r>
              <w:rPr>
                <w:sz w:val="16"/>
              </w:rPr>
              <w:t>Concurrent Planning / Digital Twin SC</w:t>
            </w:r>
          </w:p>
        </w:tc>
        <w:tc>
          <w:tcPr>
            <w:tcW w:type="dxa" w:w="1568"/>
            <w:shd w:val="clear" w:color="auto" w:fill="FFFFFF"/>
          </w:tcPr>
          <w:p>
            <w:r>
              <w:rPr>
                <w:sz w:val="16"/>
              </w:rPr>
              <w:t>★★★★☆ Aufsteigend</w:t>
            </w:r>
          </w:p>
        </w:tc>
        <w:tc>
          <w:tcPr>
            <w:tcW w:type="dxa" w:w="1568"/>
            <w:shd w:val="clear" w:color="auto" w:fill="FFFFFF"/>
          </w:tcPr>
          <w:p>
            <w:r>
              <w:rPr>
                <w:sz w:val="16"/>
              </w:rPr>
              <w:t>D</w:t>
            </w:r>
          </w:p>
        </w:tc>
        <w:tc>
          <w:tcPr>
            <w:tcW w:type="dxa" w:w="1568"/>
            <w:shd w:val="clear" w:color="auto" w:fill="FFFFFF"/>
          </w:tcPr>
          <w:p>
            <w:r>
              <w:rPr>
                <w:sz w:val="16"/>
              </w:rPr>
              <w:t>Kinaxis (RapidResponse), Cosmo Tech, o9 Solutions</w:t>
            </w:r>
          </w:p>
        </w:tc>
        <w:tc>
          <w:tcPr>
            <w:tcW w:type="dxa" w:w="1568"/>
            <w:shd w:val="clear" w:color="auto" w:fill="FFFFFF"/>
          </w:tcPr>
          <w:p>
            <w:r>
              <w:rPr>
                <w:sz w:val="16"/>
              </w:rPr>
              <w:t>Echtzeit-Plananpassung ohne sequentielle Zyklen</w:t>
            </w:r>
          </w:p>
        </w:tc>
        <w:tc>
          <w:tcPr>
            <w:tcW w:type="dxa" w:w="1568"/>
            <w:shd w:val="clear" w:color="auto" w:fill="FFFFFF"/>
          </w:tcPr>
          <w:p>
            <w:r>
              <w:rPr>
                <w:i/>
                <w:color w:val="1A5F8A"/>
                <w:sz w:val="16"/>
              </w:rPr>
              <w:t>Mittelbar relevant für LFLs Supply-Chain-Datenschicht</w:t>
            </w:r>
          </w:p>
        </w:tc>
      </w:tr>
      <w:tr>
        <w:tc>
          <w:tcPr>
            <w:tcW w:type="dxa" w:w="1568"/>
            <w:shd w:val="clear" w:color="auto" w:fill="F2F5F8"/>
          </w:tcPr>
          <w:p>
            <w:r>
              <w:rPr>
                <w:sz w:val="16"/>
              </w:rPr>
              <w:t>ESG/CSRD-Daten in Sourcing-Workflow</w:t>
            </w:r>
          </w:p>
        </w:tc>
        <w:tc>
          <w:tcPr>
            <w:tcW w:type="dxa" w:w="1568"/>
            <w:shd w:val="clear" w:color="auto" w:fill="F2F5F8"/>
          </w:tcPr>
          <w:p>
            <w:r>
              <w:rPr>
                <w:sz w:val="16"/>
              </w:rPr>
              <w:t>★★★☆☆ Wachsend</w:t>
            </w:r>
          </w:p>
        </w:tc>
        <w:tc>
          <w:tcPr>
            <w:tcW w:type="dxa" w:w="1568"/>
            <w:shd w:val="clear" w:color="auto" w:fill="F2F5F8"/>
          </w:tcPr>
          <w:p>
            <w:r>
              <w:rPr>
                <w:sz w:val="16"/>
              </w:rPr>
              <w:t>B+C</w:t>
            </w:r>
          </w:p>
        </w:tc>
        <w:tc>
          <w:tcPr>
            <w:tcW w:type="dxa" w:w="1568"/>
            <w:shd w:val="clear" w:color="auto" w:fill="F2F5F8"/>
          </w:tcPr>
          <w:p>
            <w:r>
              <w:rPr>
                <w:sz w:val="16"/>
              </w:rPr>
              <w:t>Tacton (CO₂-Konfigurator), Jaggaer, Ivalua</w:t>
            </w:r>
          </w:p>
        </w:tc>
        <w:tc>
          <w:tcPr>
            <w:tcW w:type="dxa" w:w="1568"/>
            <w:shd w:val="clear" w:color="auto" w:fill="F2F5F8"/>
          </w:tcPr>
          <w:p>
            <w:r>
              <w:rPr>
                <w:sz w:val="16"/>
              </w:rPr>
              <w:t>Pflicht-Feature für EU-Compliance ab 2025</w:t>
            </w:r>
          </w:p>
        </w:tc>
        <w:tc>
          <w:tcPr>
            <w:tcW w:type="dxa" w:w="1568"/>
            <w:shd w:val="clear" w:color="auto" w:fill="F2F5F8"/>
          </w:tcPr>
          <w:p>
            <w:r>
              <w:rPr>
                <w:i/>
                <w:color w:val="1A5F8A"/>
                <w:sz w:val="16"/>
              </w:rPr>
              <w:t>Kernbestandteil der LFL Sustainability-Positionierung</w:t>
            </w:r>
          </w:p>
        </w:tc>
      </w:tr>
      <w:tr>
        <w:tc>
          <w:tcPr>
            <w:tcW w:type="dxa" w:w="1568"/>
            <w:shd w:val="clear" w:color="auto" w:fill="FFFFFF"/>
          </w:tcPr>
          <w:p>
            <w:r>
              <w:rPr>
                <w:sz w:val="16"/>
              </w:rPr>
              <w:t>Bid/No-Bid AI Scoring</w:t>
            </w:r>
          </w:p>
        </w:tc>
        <w:tc>
          <w:tcPr>
            <w:tcW w:type="dxa" w:w="1568"/>
            <w:shd w:val="clear" w:color="auto" w:fill="FFFFFF"/>
          </w:tcPr>
          <w:p>
            <w:r>
              <w:rPr>
                <w:sz w:val="16"/>
              </w:rPr>
              <w:t>★★★☆☆ Aufsteigend</w:t>
            </w:r>
          </w:p>
        </w:tc>
        <w:tc>
          <w:tcPr>
            <w:tcW w:type="dxa" w:w="1568"/>
            <w:shd w:val="clear" w:color="auto" w:fill="FFFFFF"/>
          </w:tcPr>
          <w:p>
            <w:r>
              <w:rPr>
                <w:sz w:val="16"/>
              </w:rPr>
              <w:t>A</w:t>
            </w:r>
          </w:p>
        </w:tc>
        <w:tc>
          <w:tcPr>
            <w:tcW w:type="dxa" w:w="1568"/>
            <w:shd w:val="clear" w:color="auto" w:fill="FFFFFF"/>
          </w:tcPr>
          <w:p>
            <w:r>
              <w:rPr>
                <w:sz w:val="16"/>
              </w:rPr>
              <w:t>Altura, Inventive AI, AutogenAI</w:t>
            </w:r>
          </w:p>
        </w:tc>
        <w:tc>
          <w:tcPr>
            <w:tcW w:type="dxa" w:w="1568"/>
            <w:shd w:val="clear" w:color="auto" w:fill="FFFFFF"/>
          </w:tcPr>
          <w:p>
            <w:r>
              <w:rPr>
                <w:sz w:val="16"/>
              </w:rPr>
              <w:t>Ressourcenallokation optimieren: richtige Bids priorisieren</w:t>
            </w:r>
          </w:p>
        </w:tc>
        <w:tc>
          <w:tcPr>
            <w:tcW w:type="dxa" w:w="1568"/>
            <w:shd w:val="clear" w:color="auto" w:fill="FFFFFF"/>
          </w:tcPr>
          <w:p>
            <w:r>
              <w:rPr>
                <w:i/>
                <w:color w:val="1A5F8A"/>
                <w:sz w:val="16"/>
              </w:rPr>
              <w:t>Relevant für LFLs Technical Sales Zielgruppe</w:t>
            </w:r>
          </w:p>
        </w:tc>
      </w:tr>
    </w:tbl>
    <w:p/>
    <w:p>
      <w:r>
        <w:br w:type="page"/>
      </w:r>
    </w:p>
    <w:p>
      <w:pPr>
        <w:pStyle w:val="Heading1"/>
      </w:pPr>
      <w:r>
        <w:rPr>
          <w:color w:val="0D2B4A"/>
        </w:rPr>
        <w:t>5  Strategische Positionierung &amp; Whitespace für LoopForgeLab</w:t>
      </w:r>
    </w:p>
    <w:p>
      <w:pPr>
        <w:spacing w:after="120"/>
      </w:pPr>
      <w:r>
        <w:rPr>
          <w:b w:val="0"/>
        </w:rPr>
        <w:t>Aus der Analyse der 35 Unternehmen und 39 Lösungen in der Sales-&amp;-Quotes-Kategorie ergibt sich ein klares Bild über Marktlücken, die LoopForgeLab gezielt adressieren kann:</w:t>
      </w:r>
    </w:p>
    <w:p>
      <w:pPr>
        <w:spacing w:before="160" w:after="40"/>
      </w:pPr>
      <w:r>
        <w:rPr>
          <w:b/>
          <w:color w:val="0D2B4A"/>
          <w:sz w:val="22"/>
        </w:rPr>
        <w:t>1.  Engineering-nativer RFQ-Prozess fehlt</w:t>
      </w:r>
    </w:p>
    <w:p>
      <w:pPr>
        <w:spacing w:after="80"/>
      </w:pPr>
      <w:r>
        <w:rPr>
          <w:b w:val="0"/>
        </w:rPr>
        <w:t>Alle bestehenden CPQ- und E-Sourcing-Lösungen setzen nach dem Design-Prozess an. Keine Lösung verankert die Angebotskalkulation nativ im CAD-basierten Engineering-Workflow. Tacton und DriveWorks kommen am nächsten, sind aber nicht als "Engineering-First"-Werkzeug positioniert. LFL schließt diese Lücke mit seiner Product Intelligence Engine — Kosten, Compliance und CO₂ werden zu nativen Designparametern, nicht zu nachgelagerten Berechnungen.</w:t>
      </w:r>
    </w:p>
    <w:p>
      <w:pPr>
        <w:spacing w:before="160" w:after="40"/>
      </w:pPr>
      <w:r>
        <w:rPr>
          <w:b/>
          <w:color w:val="0D2B4A"/>
          <w:sz w:val="22"/>
        </w:rPr>
        <w:t>2.  KMU-taugliche ETO-CPQ fehlt</w:t>
      </w:r>
    </w:p>
    <w:p>
      <w:pPr>
        <w:spacing w:after="80"/>
      </w:pPr>
      <w:r>
        <w:rPr>
          <w:b w:val="0"/>
        </w:rPr>
        <w:t>Die drei CPQ-Anbieter (Tacton, DriveWorks, Elfsquad) sind entweder Enterprise-only oder SolidWorks-exklusiv. Für den europäischen Mittelstand (Maschinenbau, Material Handling) gibt es keine erschwingliche, CAD-agnostische CPQ-Lösung für echte ETO-Produkte. LFLs Zielsegment (OEM &gt;30 MA in DACH/Benelux) ist genau diese Lücke.</w:t>
      </w:r>
    </w:p>
    <w:p>
      <w:pPr>
        <w:spacing w:before="160" w:after="40"/>
      </w:pPr>
      <w:r>
        <w:rPr>
          <w:b/>
          <w:color w:val="0D2B4A"/>
          <w:sz w:val="22"/>
        </w:rPr>
        <w:t>3.  CO₂ + Kosten in einem Tool</w:t>
      </w:r>
    </w:p>
    <w:p>
      <w:pPr>
        <w:spacing w:after="80"/>
      </w:pPr>
      <w:r>
        <w:rPr>
          <w:b w:val="0"/>
        </w:rPr>
        <w:t>Nur Tacton hat ansatzweise einen CO₂-Kalkulatoren in CPQ integriert. Die Verbindung von Real-time-Kostenberechnung, CO₂-Feedback und Angebotsgenerierung in einer für Engineers konzipierten Oberfläche existiert nicht. LFLs "Carbon Case" (bis zu 10,5 Mio. tCO₂e Einsparung im Jahr 10 bei 14 % Marktanteil) positioniert diese Integration als strategischen Differenziator.</w:t>
      </w:r>
    </w:p>
    <w:p>
      <w:pPr>
        <w:spacing w:before="160" w:after="40"/>
      </w:pPr>
      <w:r>
        <w:rPr>
          <w:b/>
          <w:color w:val="0D2B4A"/>
          <w:sz w:val="22"/>
        </w:rPr>
        <w:t>4.  Tribal Knowledge als Wettbewerbsvorteil</w:t>
      </w:r>
    </w:p>
    <w:p>
      <w:pPr>
        <w:spacing w:after="80"/>
      </w:pPr>
      <w:r>
        <w:rPr>
          <w:b w:val="0"/>
        </w:rPr>
        <w:t>Kein Anbieter in der Sales-&amp;-Quotes-Kategorie adressiert explizit die Kodifizierung von institutionellem Ingenieurs-Wissen. LFLs "Operator Insights"-Modul (Reparierbarkeit, Kreislaufwirtschaft) und der Design-Copilot-Ansatz schaffen eine skalierbare digitale Wissensinfrastruktur — ein echter Whitespace.</w:t>
      </w:r>
    </w:p>
    <w:p/>
    <w:p>
      <w:pPr>
        <w:spacing w:before="240"/>
      </w:pPr>
      <w:r>
        <w:rPr>
          <w:b/>
          <w:color w:val="0D2B4A"/>
          <w:sz w:val="22"/>
        </w:rPr>
        <w:t>⟶  LoopForgeLab besetzt als einziger Anbieter den Whitespace der "economic integration" — die Verknüpfung von Engineering-Physik mit Wirtschaftslogik im Moment maximalen Einflusses: der frühen Designphase. Das ist nicht ein Feature, das Wettbewerber morgen kopieren können — es erfordert tiefes Domain-Know-how in Mechanical Engineering, Produktökonomie und KI-Engineering gleichzeitig.</w:t>
      </w:r>
    </w:p>
    <w:p/>
    <w:p>
      <w:pPr/>
      <w:r>
        <w:rPr>
          <w:b w:val="0"/>
          <w:color w:val="808090"/>
          <w:sz w:val="15"/>
        </w:rPr>
        <w:br/>
        <w:br/>
        <w:t>Quellenhinweis: Alle Marktdaten basieren auf der Competitive Intelligence Datenbank v1.7 (Stand: 13. März 2026). Qualitative Insights basieren auf dem LoopForgeLab Whitepaper (Februar 2026, 44 Experteninterviews) und dem LoopForgeLab Pitch Deck (März 2026). Externe Benchmarks: Loopio RfP Benchmark Report, Resilinc Supply Chain Disruption Study 2023, DriveWorks Engineering Change Studies, McKinsey Supply Chain Disruption Cost Analysis 2023, Center for Automotive Research (2026), CSRD-Regulierung der EU-Kommission.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