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F9" w:rsidRDefault="005441F9" w:rsidP="00DD7646">
      <w:pPr>
        <w:pStyle w:val="Titolo"/>
      </w:pPr>
    </w:p>
    <w:p w:rsidR="00DD7646" w:rsidRDefault="00DD7646" w:rsidP="00DD7646">
      <w:pPr>
        <w:pStyle w:val="Titolo"/>
      </w:pPr>
    </w:p>
    <w:p w:rsidR="00DD7646" w:rsidRDefault="00DD7646" w:rsidP="00DD7646">
      <w:pPr>
        <w:pStyle w:val="Titolo"/>
      </w:pPr>
    </w:p>
    <w:p w:rsidR="00DD7646" w:rsidRPr="00EC45A5" w:rsidRDefault="00E97D2A" w:rsidP="00EC45A5">
      <w:pPr>
        <w:pStyle w:val="Titolo"/>
        <w:ind w:left="567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 xml:space="preserve">Progetto </w:t>
      </w:r>
      <w:r w:rsidR="002E7DC4"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Prodigio</w:t>
      </w:r>
    </w:p>
    <w:p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</w:p>
    <w:p w:rsidR="004D7760" w:rsidRDefault="00FB2FF5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  <w:r>
        <w:rPr>
          <w:b/>
          <w:color w:val="2F5496" w:themeColor="accent5" w:themeShade="BF"/>
          <w:sz w:val="36"/>
          <w:szCs w:val="48"/>
          <w:u w:val="single"/>
        </w:rPr>
        <w:t xml:space="preserve">Deliverable: </w:t>
      </w:r>
      <w:r w:rsidRPr="00FB2FF5">
        <w:rPr>
          <w:b/>
          <w:color w:val="2F5496" w:themeColor="accent5" w:themeShade="BF"/>
          <w:sz w:val="36"/>
          <w:szCs w:val="48"/>
          <w:u w:val="single"/>
        </w:rPr>
        <w:t>D11 Report di analisi degli scenari costi/benefici di sviluppo</w:t>
      </w:r>
    </w:p>
    <w:p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:rsidR="004D7760" w:rsidRPr="00974255" w:rsidRDefault="004D7760" w:rsidP="004D7760">
      <w:pPr>
        <w:ind w:left="567"/>
      </w:pPr>
      <w:r w:rsidRPr="00974255">
        <w:t xml:space="preserve">Data rilascio: </w:t>
      </w:r>
      <w:r w:rsidR="00974255" w:rsidRPr="00974255">
        <w:t>30</w:t>
      </w:r>
      <w:r w:rsidRPr="00974255">
        <w:t>/</w:t>
      </w:r>
      <w:r w:rsidR="00974255" w:rsidRPr="00974255">
        <w:t>04</w:t>
      </w:r>
      <w:r w:rsidRPr="00974255">
        <w:t>/20</w:t>
      </w:r>
      <w:r w:rsidR="00974255" w:rsidRPr="00974255">
        <w:t>20</w:t>
      </w:r>
    </w:p>
    <w:p w:rsidR="004D7760" w:rsidRPr="000E590D" w:rsidRDefault="004D7760" w:rsidP="004D7760">
      <w:pPr>
        <w:ind w:left="567"/>
      </w:pPr>
      <w:r w:rsidRPr="00974255">
        <w:t>Versione: 1.0</w:t>
      </w:r>
    </w:p>
    <w:p w:rsidR="00DD7646" w:rsidRDefault="00DD7646" w:rsidP="00DD7646">
      <w:r>
        <w:br w:type="page"/>
      </w:r>
    </w:p>
    <w:p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:rsidR="002E49CB" w:rsidRDefault="000E48FC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 w:rsidR="004A51E0">
            <w:instrText xml:space="preserve"> TOC \o "1-3" \h \z \u </w:instrText>
          </w:r>
          <w:r>
            <w:fldChar w:fldCharType="separate"/>
          </w:r>
          <w:hyperlink w:anchor="_Toc35360895" w:history="1">
            <w:r w:rsidR="002E49CB" w:rsidRPr="00A921E5">
              <w:rPr>
                <w:rStyle w:val="Collegamentoipertestuale"/>
                <w:noProof/>
              </w:rPr>
              <w:t>Premessa</w:t>
            </w:r>
            <w:r w:rsidR="002E4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9CB">
              <w:rPr>
                <w:noProof/>
                <w:webHidden/>
              </w:rPr>
              <w:instrText xml:space="preserve"> PAGEREF _Toc35360895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9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9CB" w:rsidRDefault="00424160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35360896" w:history="1">
            <w:r w:rsidR="002E49CB" w:rsidRPr="00A921E5">
              <w:rPr>
                <w:rStyle w:val="Collegamentoipertestuale"/>
                <w:noProof/>
              </w:rPr>
              <w:t>1.</w:t>
            </w:r>
            <w:r w:rsidR="002E49CB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2E49CB" w:rsidRPr="00A921E5">
              <w:rPr>
                <w:rStyle w:val="Collegamentoipertestuale"/>
                <w:noProof/>
              </w:rPr>
              <w:t>Costi</w:t>
            </w:r>
            <w:r w:rsidR="002E49CB">
              <w:rPr>
                <w:noProof/>
                <w:webHidden/>
              </w:rPr>
              <w:tab/>
            </w:r>
            <w:r w:rsidR="000E48FC">
              <w:rPr>
                <w:noProof/>
                <w:webHidden/>
              </w:rPr>
              <w:fldChar w:fldCharType="begin"/>
            </w:r>
            <w:r w:rsidR="002E49CB">
              <w:rPr>
                <w:noProof/>
                <w:webHidden/>
              </w:rPr>
              <w:instrText xml:space="preserve"> PAGEREF _Toc35360896 \h </w:instrText>
            </w:r>
            <w:r w:rsidR="000E48FC">
              <w:rPr>
                <w:noProof/>
                <w:webHidden/>
              </w:rPr>
            </w:r>
            <w:r w:rsidR="000E48FC">
              <w:rPr>
                <w:noProof/>
                <w:webHidden/>
              </w:rPr>
              <w:fldChar w:fldCharType="separate"/>
            </w:r>
            <w:r w:rsidR="002E49CB">
              <w:rPr>
                <w:noProof/>
                <w:webHidden/>
              </w:rPr>
              <w:t>2</w:t>
            </w:r>
            <w:r w:rsidR="000E48FC">
              <w:rPr>
                <w:noProof/>
                <w:webHidden/>
              </w:rPr>
              <w:fldChar w:fldCharType="end"/>
            </w:r>
          </w:hyperlink>
        </w:p>
        <w:p w:rsidR="002E49CB" w:rsidRDefault="00424160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35360897" w:history="1">
            <w:r w:rsidR="002E49CB" w:rsidRPr="00A921E5">
              <w:rPr>
                <w:rStyle w:val="Collegamentoipertestuale"/>
                <w:noProof/>
              </w:rPr>
              <w:t>2.</w:t>
            </w:r>
            <w:r w:rsidR="002E49CB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2E49CB" w:rsidRPr="00A921E5">
              <w:rPr>
                <w:rStyle w:val="Collegamentoipertestuale"/>
                <w:noProof/>
              </w:rPr>
              <w:t>Benefici</w:t>
            </w:r>
            <w:r w:rsidR="002E49CB">
              <w:rPr>
                <w:noProof/>
                <w:webHidden/>
              </w:rPr>
              <w:tab/>
            </w:r>
            <w:r w:rsidR="000E48FC">
              <w:rPr>
                <w:noProof/>
                <w:webHidden/>
              </w:rPr>
              <w:fldChar w:fldCharType="begin"/>
            </w:r>
            <w:r w:rsidR="002E49CB">
              <w:rPr>
                <w:noProof/>
                <w:webHidden/>
              </w:rPr>
              <w:instrText xml:space="preserve"> PAGEREF _Toc35360897 \h </w:instrText>
            </w:r>
            <w:r w:rsidR="000E48FC">
              <w:rPr>
                <w:noProof/>
                <w:webHidden/>
              </w:rPr>
            </w:r>
            <w:r w:rsidR="000E48FC">
              <w:rPr>
                <w:noProof/>
                <w:webHidden/>
              </w:rPr>
              <w:fldChar w:fldCharType="separate"/>
            </w:r>
            <w:r w:rsidR="002E49CB">
              <w:rPr>
                <w:noProof/>
                <w:webHidden/>
              </w:rPr>
              <w:t>2</w:t>
            </w:r>
            <w:r w:rsidR="000E48FC">
              <w:rPr>
                <w:noProof/>
                <w:webHidden/>
              </w:rPr>
              <w:fldChar w:fldCharType="end"/>
            </w:r>
          </w:hyperlink>
        </w:p>
        <w:p w:rsidR="004A51E0" w:rsidRDefault="000E48FC">
          <w:r>
            <w:rPr>
              <w:b/>
              <w:bCs/>
            </w:rPr>
            <w:fldChar w:fldCharType="end"/>
          </w:r>
        </w:p>
      </w:sdtContent>
    </w:sdt>
    <w:p w:rsidR="00DD7646" w:rsidRDefault="00DD7646" w:rsidP="00DD7646">
      <w:r>
        <w:br w:type="page"/>
      </w:r>
    </w:p>
    <w:p w:rsidR="00B62729" w:rsidRPr="001376B7" w:rsidRDefault="00B62729" w:rsidP="001376B7">
      <w:pPr>
        <w:pStyle w:val="Titolo1"/>
      </w:pPr>
      <w:bookmarkStart w:id="1" w:name="_Toc35360895"/>
      <w:r w:rsidRPr="001376B7">
        <w:lastRenderedPageBreak/>
        <w:t>Premessa</w:t>
      </w:r>
      <w:bookmarkEnd w:id="1"/>
    </w:p>
    <w:p w:rsidR="00FB2FF5" w:rsidRDefault="00955EDE" w:rsidP="0047512E">
      <w:r>
        <w:t xml:space="preserve">Il presente documento </w:t>
      </w:r>
      <w:r w:rsidR="00FB2FF5">
        <w:t xml:space="preserve">rappresenta il </w:t>
      </w:r>
      <w:r w:rsidR="00FB2FF5" w:rsidRPr="00FB2FF5">
        <w:rPr>
          <w:b/>
          <w:bCs/>
        </w:rPr>
        <w:t>Deliverable D11 - report di analisi degli scenari costi/benefici di sviluppo</w:t>
      </w:r>
      <w:r w:rsidR="00FB2FF5">
        <w:t xml:space="preserve">. Di seguito saranno presentati i costi ed i benefici derivanti dall’adizione della buona pratica. </w:t>
      </w:r>
      <w:r w:rsidR="00D351D9">
        <w:t>Il documento è stato diviso in due parti, nella prima l</w:t>
      </w:r>
      <w:r w:rsidR="00FB2FF5">
        <w:t xml:space="preserve">e informazioni </w:t>
      </w:r>
      <w:r w:rsidR="00B1416A">
        <w:t>sono tratte</w:t>
      </w:r>
      <w:r w:rsidR="00FB2FF5">
        <w:t xml:space="preserve"> da una serie di interviste svolte ai rappresentati degli Enti coinvolti in precedenti esperienze di riuso</w:t>
      </w:r>
      <w:r w:rsidR="00D351D9">
        <w:t>, nella seconda vengono presentati i dati forniti dall’Ente Cedente</w:t>
      </w:r>
      <w:r w:rsidR="002D344F">
        <w:t xml:space="preserve"> riguardo alle stime di costi e benefici derivanti dall’adozione della soluzione</w:t>
      </w:r>
      <w:r w:rsidR="00D351D9">
        <w:t>.</w:t>
      </w:r>
    </w:p>
    <w:p w:rsidR="00D351D9" w:rsidRDefault="00D351D9" w:rsidP="006552F9">
      <w:pPr>
        <w:pStyle w:val="Titolo2"/>
      </w:pPr>
      <w:bookmarkStart w:id="2" w:name="_Toc35360896"/>
      <w:r>
        <w:t>Interviste</w:t>
      </w:r>
    </w:p>
    <w:p w:rsidR="002D344F" w:rsidRPr="002D344F" w:rsidRDefault="002D344F" w:rsidP="002D344F">
      <w:r>
        <w:t>In questa prima parte del documento le informazioni sono tratte da una serie di interviste svolte ai rappresentati degli Enti coinvolti in precedenti esperienze di riuso</w:t>
      </w:r>
      <w:r w:rsidR="00CF567B">
        <w:t>.</w:t>
      </w:r>
    </w:p>
    <w:p w:rsidR="00AB5443" w:rsidRDefault="00FB2FF5" w:rsidP="006552F9">
      <w:pPr>
        <w:pStyle w:val="Titolo3"/>
      </w:pPr>
      <w:r>
        <w:t>Costi</w:t>
      </w:r>
      <w:bookmarkEnd w:id="2"/>
    </w:p>
    <w:p w:rsidR="00FB2FF5" w:rsidRDefault="00B1416A" w:rsidP="00FB2FF5">
      <w:r>
        <w:t>Per quanto riguarda i cosi sostenuti per la realizzazione del progetto, gli Enti riportano di aver incontrato costi complessivi molto contenuti. In particolare</w:t>
      </w:r>
      <w:r w:rsidR="00D93791">
        <w:t>, i c</w:t>
      </w:r>
      <w:r>
        <w:t xml:space="preserve">osti di personale </w:t>
      </w:r>
      <w:r w:rsidR="00D93791">
        <w:t>(</w:t>
      </w:r>
      <w:r>
        <w:t>interno ed esterno</w:t>
      </w:r>
      <w:r w:rsidR="00D93791">
        <w:t>)</w:t>
      </w:r>
      <w:r>
        <w:t xml:space="preserve"> sono stati indicati come molto bassi o inesistenti</w:t>
      </w:r>
      <w:r w:rsidR="00D93791">
        <w:t>,</w:t>
      </w:r>
      <w:r>
        <w:t xml:space="preserve"> mentre l’unica voce di costo ad essere emersa come rilevante sono i co</w:t>
      </w:r>
      <w:r w:rsidR="004D50D2">
        <w:t xml:space="preserve">sti di </w:t>
      </w:r>
      <w:r w:rsidR="004D50D2" w:rsidRPr="00974255">
        <w:t xml:space="preserve">hardware. </w:t>
      </w:r>
      <w:r w:rsidR="004C64F4" w:rsidRPr="00974255">
        <w:t>Tali costi s</w:t>
      </w:r>
      <w:r w:rsidR="004D50D2" w:rsidRPr="00974255">
        <w:t>ono comunque ammortizzabili se si considera l’intero ciclo di vita della soluzione tecnologica.</w:t>
      </w:r>
    </w:p>
    <w:p w:rsidR="00FB2FF5" w:rsidRDefault="00FB2FF5" w:rsidP="006552F9">
      <w:pPr>
        <w:pStyle w:val="Titolo3"/>
      </w:pPr>
      <w:bookmarkStart w:id="3" w:name="_Toc35360897"/>
      <w:r>
        <w:t>Benefici</w:t>
      </w:r>
      <w:bookmarkEnd w:id="3"/>
    </w:p>
    <w:p w:rsidR="002E49CB" w:rsidRDefault="00D93791" w:rsidP="002E49CB">
      <w:r>
        <w:t>I rappresentanti degli Enti intervistato hanno indicato come effetti positivi dell’intervento di riuso:</w:t>
      </w:r>
    </w:p>
    <w:p w:rsidR="00D93791" w:rsidRDefault="00D93791" w:rsidP="00D93791">
      <w:pPr>
        <w:pStyle w:val="Paragrafoelenco"/>
        <w:numPr>
          <w:ilvl w:val="0"/>
          <w:numId w:val="6"/>
        </w:numPr>
      </w:pPr>
      <w:r>
        <w:t xml:space="preserve">Facilità di apprendimento: la procedura risulta facile da apprendere per gli utenti, </w:t>
      </w:r>
      <w:r w:rsidRPr="00CE182D">
        <w:t>che si sono trovati non solo ad utilizzare un altro nuovo programma ma ad utilizzare per la prima volta un programma di questo tipo</w:t>
      </w:r>
      <w:r>
        <w:t>;</w:t>
      </w:r>
    </w:p>
    <w:p w:rsidR="00D93791" w:rsidRDefault="00D93791" w:rsidP="00D93791">
      <w:pPr>
        <w:pStyle w:val="Paragrafoelenco"/>
        <w:numPr>
          <w:ilvl w:val="0"/>
          <w:numId w:val="6"/>
        </w:numPr>
      </w:pPr>
      <w:r>
        <w:t xml:space="preserve">Decentralizzazione: grazie alla soluzione adottata, è stato possibile il processo di </w:t>
      </w:r>
      <w:r w:rsidRPr="00CE182D">
        <w:t>decentralizzazione della fase protocollare</w:t>
      </w:r>
      <w:r>
        <w:t xml:space="preserve">; </w:t>
      </w:r>
    </w:p>
    <w:p w:rsidR="00E103F4" w:rsidRDefault="00E103F4" w:rsidP="00D93791">
      <w:pPr>
        <w:pStyle w:val="Paragrafoelenco"/>
        <w:numPr>
          <w:ilvl w:val="0"/>
          <w:numId w:val="6"/>
        </w:numPr>
      </w:pPr>
      <w:r>
        <w:t>Riduzione dei tempi: l’automazione della procedura di protocollazione ha permesso di ridurre sensibilmente i tempi di tale attività;</w:t>
      </w:r>
    </w:p>
    <w:p w:rsidR="00D93791" w:rsidRDefault="00D93791" w:rsidP="00D93791">
      <w:pPr>
        <w:pStyle w:val="Paragrafoelenco"/>
        <w:numPr>
          <w:ilvl w:val="0"/>
          <w:numId w:val="6"/>
        </w:numPr>
      </w:pPr>
      <w:r>
        <w:t xml:space="preserve">Approccio all’acquisto: </w:t>
      </w:r>
      <w:r w:rsidRPr="00CE182D">
        <w:t>usando una soluzione di riuso è cambiata nel tempo anche la mentalità di approccio all’acquisto di prodotti esterni.</w:t>
      </w:r>
    </w:p>
    <w:p w:rsidR="00342391" w:rsidRPr="00974255" w:rsidRDefault="00342391" w:rsidP="00D93791">
      <w:pPr>
        <w:pStyle w:val="Paragrafoelenco"/>
        <w:numPr>
          <w:ilvl w:val="0"/>
          <w:numId w:val="6"/>
        </w:numPr>
      </w:pPr>
      <w:r w:rsidRPr="00974255">
        <w:t xml:space="preserve">Superamento del rischio di </w:t>
      </w:r>
      <w:r w:rsidRPr="00974255">
        <w:rPr>
          <w:i/>
        </w:rPr>
        <w:t>lock-in</w:t>
      </w:r>
      <w:r w:rsidR="00C3298F" w:rsidRPr="00974255">
        <w:rPr>
          <w:i/>
        </w:rPr>
        <w:t xml:space="preserve"> </w:t>
      </w:r>
      <w:r w:rsidR="00C3298F" w:rsidRPr="00974255">
        <w:t xml:space="preserve">nel caso di servizi ritenuti infungibili, evitando situazioni di acquisto che vincolino le decisioni future (Linee Guida </w:t>
      </w:r>
      <w:proofErr w:type="spellStart"/>
      <w:r w:rsidR="00C3298F" w:rsidRPr="00974255">
        <w:t>Anac</w:t>
      </w:r>
      <w:proofErr w:type="spellEnd"/>
      <w:r w:rsidR="00C3298F" w:rsidRPr="00974255">
        <w:t xml:space="preserve"> n.8);</w:t>
      </w:r>
    </w:p>
    <w:p w:rsidR="00692B4E" w:rsidRPr="00974255" w:rsidRDefault="00692B4E" w:rsidP="00692B4E">
      <w:pPr>
        <w:pStyle w:val="Paragrafoelenco"/>
        <w:numPr>
          <w:ilvl w:val="0"/>
          <w:numId w:val="6"/>
        </w:numPr>
      </w:pPr>
      <w:r w:rsidRPr="00974255">
        <w:t>Maggiore possibilità di programmazione dei fabbisogni sul lungo periodo e possibilità di accedere a soluzioni più efficienti;</w:t>
      </w:r>
    </w:p>
    <w:p w:rsidR="00242956" w:rsidRPr="00974255" w:rsidRDefault="00242956" w:rsidP="00D93791">
      <w:pPr>
        <w:pStyle w:val="Paragrafoelenco"/>
        <w:numPr>
          <w:ilvl w:val="0"/>
          <w:numId w:val="6"/>
        </w:numPr>
      </w:pPr>
      <w:r w:rsidRPr="00974255">
        <w:t>Autonomia: gestione aggiornamenti, personalizzazioni con più facilità rispetto all’utilizzo di software proprietari</w:t>
      </w:r>
      <w:r w:rsidR="00C16361" w:rsidRPr="00974255">
        <w:t>, possibilità di interagire sulle specifiche tecniche</w:t>
      </w:r>
      <w:r w:rsidR="00C3298F" w:rsidRPr="00974255">
        <w:t>;</w:t>
      </w:r>
    </w:p>
    <w:p w:rsidR="00C16361" w:rsidRPr="00974255" w:rsidRDefault="00C16361" w:rsidP="00D93791">
      <w:pPr>
        <w:pStyle w:val="Paragrafoelenco"/>
        <w:numPr>
          <w:ilvl w:val="0"/>
          <w:numId w:val="6"/>
        </w:numPr>
      </w:pPr>
      <w:r w:rsidRPr="00974255">
        <w:t xml:space="preserve">Riutilizzo delle informazioni </w:t>
      </w:r>
      <w:r w:rsidR="00974255" w:rsidRPr="00974255">
        <w:t>e innovazione</w:t>
      </w:r>
      <w:r w:rsidRPr="00974255">
        <w:t xml:space="preserve"> tecnologica</w:t>
      </w:r>
      <w:r w:rsidR="00C3298F" w:rsidRPr="00974255">
        <w:t>;</w:t>
      </w:r>
    </w:p>
    <w:p w:rsidR="00C16361" w:rsidRPr="00974255" w:rsidRDefault="00C16361" w:rsidP="00D93791">
      <w:pPr>
        <w:pStyle w:val="Paragrafoelenco"/>
        <w:numPr>
          <w:ilvl w:val="0"/>
          <w:numId w:val="6"/>
        </w:numPr>
      </w:pPr>
      <w:r w:rsidRPr="00974255">
        <w:t>Miglioramento delle capacità di identificazione ed espressione delle esigenze e di individuazione delle modalità in grado di soddisfare nel miglior modo tali esigenze</w:t>
      </w:r>
      <w:r w:rsidR="00C3298F" w:rsidRPr="00974255">
        <w:t>;</w:t>
      </w:r>
    </w:p>
    <w:p w:rsidR="00342391" w:rsidRDefault="00342391" w:rsidP="00342391">
      <w:pPr>
        <w:pStyle w:val="Paragrafoelenco"/>
        <w:rPr>
          <w:highlight w:val="yellow"/>
        </w:rPr>
      </w:pPr>
    </w:p>
    <w:p w:rsidR="004D50D2" w:rsidRDefault="004D50D2" w:rsidP="004D50D2">
      <w:pPr>
        <w:pStyle w:val="Paragrafoelenco"/>
        <w:rPr>
          <w:highlight w:val="yellow"/>
        </w:rPr>
      </w:pPr>
    </w:p>
    <w:p w:rsidR="00C16361" w:rsidRPr="00242956" w:rsidRDefault="00C16361" w:rsidP="00C16361">
      <w:pPr>
        <w:pStyle w:val="Paragrafoelenco"/>
        <w:rPr>
          <w:highlight w:val="yellow"/>
        </w:rPr>
      </w:pPr>
    </w:p>
    <w:p w:rsidR="002D344F" w:rsidRDefault="002D344F" w:rsidP="006552F9">
      <w:pPr>
        <w:pStyle w:val="Titolo2"/>
      </w:pPr>
      <w:r>
        <w:lastRenderedPageBreak/>
        <w:t>Stime Ente Cedente</w:t>
      </w:r>
    </w:p>
    <w:p w:rsidR="002D344F" w:rsidRDefault="002D344F" w:rsidP="002D344F">
      <w:r>
        <w:t>In questa seconda parte del documento le informazioni sono tratte dalle stime sviluppate dall’Ente cedente.</w:t>
      </w:r>
    </w:p>
    <w:p w:rsidR="002D344F" w:rsidRDefault="002D344F" w:rsidP="006552F9">
      <w:pPr>
        <w:pStyle w:val="Titolo3"/>
      </w:pPr>
      <w:r>
        <w:t>Costi</w:t>
      </w:r>
    </w:p>
    <w:p w:rsidR="002D344F" w:rsidRPr="00FC65E8" w:rsidRDefault="002D344F" w:rsidP="006552F9">
      <w:pPr>
        <w:pStyle w:val="Titolo4"/>
      </w:pPr>
      <w:r w:rsidRPr="00FC65E8">
        <w:t>Predisposizione degli ambienti tecnologici</w:t>
      </w:r>
    </w:p>
    <w:p w:rsidR="002D344F" w:rsidRDefault="00C502B8" w:rsidP="00CD45BD">
      <w:pPr>
        <w:ind w:left="708"/>
      </w:pPr>
      <w:r>
        <w:t>I c</w:t>
      </w:r>
      <w:r w:rsidR="002D344F">
        <w:t>osti: sono variabili - possono oscillare dai 3.000 ai 15.000 euro – sulla base delle politiche di back-up, di sicurezza delle macchine virtuali, etc. La documentazione tecnica fornisce una prima indicazione circa la configurazione minima del sistema.</w:t>
      </w:r>
    </w:p>
    <w:p w:rsidR="002D344F" w:rsidRPr="00FC65E8" w:rsidRDefault="002D344F" w:rsidP="006552F9">
      <w:pPr>
        <w:pStyle w:val="Titolo4"/>
      </w:pPr>
      <w:r w:rsidRPr="00FC65E8">
        <w:t>Installazione dei sistemi tecnologici</w:t>
      </w:r>
    </w:p>
    <w:p w:rsidR="002D344F" w:rsidRDefault="002D344F" w:rsidP="00CD45BD">
      <w:pPr>
        <w:ind w:firstLine="708"/>
      </w:pPr>
      <w:r>
        <w:t xml:space="preserve">500 </w:t>
      </w:r>
      <w:r w:rsidR="00C502B8">
        <w:t xml:space="preserve">euro per la </w:t>
      </w:r>
      <w:r>
        <w:t>macchina virtuale</w:t>
      </w:r>
    </w:p>
    <w:p w:rsidR="002D344F" w:rsidRPr="00FC65E8" w:rsidRDefault="002D344F" w:rsidP="006552F9">
      <w:pPr>
        <w:pStyle w:val="Titolo4"/>
      </w:pPr>
      <w:r w:rsidRPr="00FC65E8">
        <w:t>Formazione</w:t>
      </w:r>
    </w:p>
    <w:p w:rsidR="002D344F" w:rsidRDefault="00C502B8" w:rsidP="00F066FE">
      <w:pPr>
        <w:pStyle w:val="Titolo4"/>
        <w:numPr>
          <w:ilvl w:val="3"/>
          <w:numId w:val="1"/>
        </w:numPr>
      </w:pPr>
      <w:r>
        <w:t>S</w:t>
      </w:r>
      <w:r w:rsidR="002D344F">
        <w:t>istemista:</w:t>
      </w:r>
    </w:p>
    <w:p w:rsidR="002D344F" w:rsidRDefault="002D344F" w:rsidP="00CD45BD">
      <w:pPr>
        <w:ind w:left="372" w:firstLine="708"/>
      </w:pPr>
      <w:r>
        <w:t>costo: (400 euro/giorno costo uomo) 1.200 -2000 euro + iva</w:t>
      </w:r>
    </w:p>
    <w:p w:rsidR="002D344F" w:rsidRDefault="00C502B8" w:rsidP="006552F9">
      <w:pPr>
        <w:pStyle w:val="Titolo4"/>
        <w:numPr>
          <w:ilvl w:val="3"/>
          <w:numId w:val="1"/>
        </w:numPr>
      </w:pPr>
      <w:r>
        <w:t>T</w:t>
      </w:r>
      <w:r w:rsidR="002D344F">
        <w:t>ecnico</w:t>
      </w:r>
    </w:p>
    <w:p w:rsidR="002D344F" w:rsidRDefault="002D344F" w:rsidP="00CD45BD">
      <w:pPr>
        <w:ind w:left="372" w:firstLine="708"/>
      </w:pPr>
      <w:r>
        <w:t>costo: (400 euro/giorno costo uomo) 2.000 – 4000 euro + iva</w:t>
      </w:r>
    </w:p>
    <w:p w:rsidR="002D344F" w:rsidRDefault="00C502B8" w:rsidP="006552F9">
      <w:pPr>
        <w:pStyle w:val="Titolo4"/>
        <w:numPr>
          <w:ilvl w:val="3"/>
          <w:numId w:val="1"/>
        </w:numPr>
      </w:pPr>
      <w:r>
        <w:t>R</w:t>
      </w:r>
      <w:r w:rsidR="002D344F">
        <w:t>esponsabile</w:t>
      </w:r>
    </w:p>
    <w:p w:rsidR="002D344F" w:rsidRDefault="002D344F" w:rsidP="00CD45BD">
      <w:pPr>
        <w:ind w:left="372" w:firstLine="708"/>
      </w:pPr>
      <w:r>
        <w:t>costo: (400 euro/giorno costo uomo) 1.200 -2000 euro + iva</w:t>
      </w:r>
    </w:p>
    <w:p w:rsidR="002D344F" w:rsidRDefault="00C502B8" w:rsidP="006552F9">
      <w:pPr>
        <w:pStyle w:val="Titolo4"/>
        <w:numPr>
          <w:ilvl w:val="3"/>
          <w:numId w:val="1"/>
        </w:numPr>
      </w:pPr>
      <w:r>
        <w:t>U</w:t>
      </w:r>
      <w:r w:rsidR="002D344F">
        <w:t>tenti:</w:t>
      </w:r>
    </w:p>
    <w:p w:rsidR="002D344F" w:rsidRDefault="002D344F" w:rsidP="00CD45BD">
      <w:pPr>
        <w:ind w:left="372" w:firstLine="708"/>
      </w:pPr>
      <w:r>
        <w:t>costo: (400 euro/giorno costo uomo) 1.200 -2000 euro + iva</w:t>
      </w:r>
    </w:p>
    <w:p w:rsidR="002D344F" w:rsidRPr="00FC65E8" w:rsidRDefault="006552F9" w:rsidP="006552F9">
      <w:pPr>
        <w:pStyle w:val="Titolo4"/>
      </w:pPr>
      <w:r>
        <w:t>C</w:t>
      </w:r>
      <w:r w:rsidR="002D344F" w:rsidRPr="00FC65E8">
        <w:t>ollaudo</w:t>
      </w:r>
    </w:p>
    <w:p w:rsidR="002D344F" w:rsidRDefault="002D344F" w:rsidP="00CD45BD">
      <w:pPr>
        <w:ind w:firstLine="708"/>
      </w:pPr>
      <w:r>
        <w:t>costo: (400 euro/giorno costo uomo) 800 -1200 euro + iva</w:t>
      </w:r>
    </w:p>
    <w:p w:rsidR="002D344F" w:rsidRPr="00FC65E8" w:rsidRDefault="006552F9" w:rsidP="006552F9">
      <w:pPr>
        <w:pStyle w:val="Titolo4"/>
      </w:pPr>
      <w:r>
        <w:t>M</w:t>
      </w:r>
      <w:r w:rsidR="002D344F" w:rsidRPr="00FC65E8">
        <w:t>essa in esercizio</w:t>
      </w:r>
    </w:p>
    <w:p w:rsidR="001B69F6" w:rsidRPr="001B69F6" w:rsidRDefault="002D344F" w:rsidP="00CD45BD">
      <w:pPr>
        <w:ind w:firstLine="708"/>
      </w:pPr>
      <w:r>
        <w:t>costo: (400 euro/giorno costo uomo) 800 -1200 euro + iva</w:t>
      </w:r>
    </w:p>
    <w:p w:rsidR="001B69F6" w:rsidRPr="001B69F6" w:rsidRDefault="001B69F6" w:rsidP="006552F9">
      <w:pPr>
        <w:pStyle w:val="Titolo3"/>
      </w:pPr>
      <w:r>
        <w:t>Benefici</w:t>
      </w:r>
    </w:p>
    <w:p w:rsidR="001B69F6" w:rsidRDefault="001B69F6" w:rsidP="001B69F6">
      <w:pPr>
        <w:spacing w:before="120" w:after="0" w:line="240" w:lineRule="auto"/>
      </w:pPr>
      <w:r>
        <w:t>L</w:t>
      </w:r>
      <w:r w:rsidRPr="00982285">
        <w:t xml:space="preserve">a buona pratica contribuisce a un concreto miglioramento nell’efficienza operativa e/o </w:t>
      </w:r>
      <w:r>
        <w:t>nell’</w:t>
      </w:r>
      <w:r w:rsidRPr="00982285">
        <w:t>efficacia amministrativa interna e/o esterna degli Enti che la adottano</w:t>
      </w:r>
      <w:r>
        <w:t xml:space="preserve"> attraverso, in particolare: </w:t>
      </w:r>
    </w:p>
    <w:p w:rsidR="001B69F6" w:rsidRDefault="001B69F6" w:rsidP="001B69F6">
      <w:pPr>
        <w:pStyle w:val="Paragrafoelenco"/>
        <w:numPr>
          <w:ilvl w:val="0"/>
          <w:numId w:val="7"/>
        </w:numPr>
        <w:spacing w:before="120" w:after="0" w:line="240" w:lineRule="auto"/>
        <w:ind w:hanging="357"/>
        <w:contextualSpacing w:val="0"/>
      </w:pPr>
      <w:r w:rsidRPr="006B509C">
        <w:t xml:space="preserve">impatti sulla soddisfazione dell’utenza: </w:t>
      </w:r>
    </w:p>
    <w:p w:rsidR="001B69F6" w:rsidRDefault="001B69F6" w:rsidP="001B69F6">
      <w:pPr>
        <w:pStyle w:val="Paragrafoelenco"/>
        <w:numPr>
          <w:ilvl w:val="0"/>
          <w:numId w:val="9"/>
        </w:numPr>
        <w:spacing w:before="120" w:after="0" w:line="240" w:lineRule="auto"/>
        <w:contextualSpacing w:val="0"/>
      </w:pPr>
      <w:r>
        <w:t>migliore percezione organizzata del lavoro;</w:t>
      </w:r>
    </w:p>
    <w:p w:rsidR="00B24FE8" w:rsidRPr="00974255" w:rsidRDefault="00B24FE8" w:rsidP="001B69F6">
      <w:pPr>
        <w:pStyle w:val="Paragrafoelenco"/>
        <w:numPr>
          <w:ilvl w:val="0"/>
          <w:numId w:val="9"/>
        </w:numPr>
        <w:spacing w:before="120" w:after="0" w:line="240" w:lineRule="auto"/>
        <w:contextualSpacing w:val="0"/>
      </w:pPr>
      <w:r w:rsidRPr="00974255">
        <w:t>accrescimento della fiducia nei confronti dell’ente;</w:t>
      </w:r>
    </w:p>
    <w:p w:rsidR="00531AA9" w:rsidRPr="00974255" w:rsidRDefault="00692B4E" w:rsidP="001B69F6">
      <w:pPr>
        <w:pStyle w:val="Paragrafoelenco"/>
        <w:numPr>
          <w:ilvl w:val="0"/>
          <w:numId w:val="9"/>
        </w:numPr>
        <w:spacing w:before="120" w:after="0" w:line="240" w:lineRule="auto"/>
        <w:contextualSpacing w:val="0"/>
      </w:pPr>
      <w:r w:rsidRPr="00974255">
        <w:t>attuazione</w:t>
      </w:r>
      <w:r w:rsidR="00531AA9" w:rsidRPr="00974255">
        <w:t xml:space="preserve"> del diritto all’uso delle tecnologie;</w:t>
      </w:r>
    </w:p>
    <w:p w:rsidR="00531AA9" w:rsidRPr="00974255" w:rsidRDefault="00531AA9" w:rsidP="001B69F6">
      <w:pPr>
        <w:pStyle w:val="Paragrafoelenco"/>
        <w:numPr>
          <w:ilvl w:val="0"/>
          <w:numId w:val="9"/>
        </w:numPr>
        <w:spacing w:before="120" w:after="0" w:line="240" w:lineRule="auto"/>
        <w:contextualSpacing w:val="0"/>
      </w:pPr>
      <w:r w:rsidRPr="00974255">
        <w:t>semplificazione degli adempimenti per la presentazione d</w:t>
      </w:r>
      <w:r w:rsidR="008945F3" w:rsidRPr="00974255">
        <w:t>elle</w:t>
      </w:r>
      <w:r w:rsidRPr="00974255">
        <w:t xml:space="preserve"> istanze;</w:t>
      </w:r>
    </w:p>
    <w:p w:rsidR="00EC1828" w:rsidRPr="00974255" w:rsidRDefault="00EC1828" w:rsidP="00EC1828">
      <w:pPr>
        <w:pStyle w:val="Paragrafoelenco"/>
        <w:numPr>
          <w:ilvl w:val="0"/>
          <w:numId w:val="9"/>
        </w:numPr>
        <w:spacing w:before="120" w:after="0" w:line="240" w:lineRule="auto"/>
        <w:contextualSpacing w:val="0"/>
      </w:pPr>
      <w:r w:rsidRPr="00974255">
        <w:lastRenderedPageBreak/>
        <w:t>ancor maggiore semplificazione e snellimento per il cittadino laddove più enti diversi utilizzano la stessa tecnologia;</w:t>
      </w:r>
    </w:p>
    <w:p w:rsidR="00C16361" w:rsidRPr="00974255" w:rsidRDefault="00C16361" w:rsidP="00EC1828">
      <w:pPr>
        <w:pStyle w:val="Paragrafoelenco"/>
        <w:numPr>
          <w:ilvl w:val="0"/>
          <w:numId w:val="9"/>
        </w:numPr>
        <w:spacing w:before="120" w:after="0" w:line="240" w:lineRule="auto"/>
        <w:contextualSpacing w:val="0"/>
      </w:pPr>
      <w:r w:rsidRPr="00974255">
        <w:t xml:space="preserve">aumentata facilità di contatto fra cittadini </w:t>
      </w:r>
      <w:proofErr w:type="gramStart"/>
      <w:r w:rsidRPr="00974255">
        <w:t>e</w:t>
      </w:r>
      <w:proofErr w:type="gramEnd"/>
      <w:r w:rsidRPr="00974255">
        <w:t xml:space="preserve"> ente</w:t>
      </w:r>
    </w:p>
    <w:p w:rsidR="001B69F6" w:rsidRPr="00974255" w:rsidRDefault="001B69F6" w:rsidP="001B69F6">
      <w:pPr>
        <w:pStyle w:val="Paragrafoelenco"/>
        <w:numPr>
          <w:ilvl w:val="0"/>
          <w:numId w:val="7"/>
        </w:numPr>
        <w:spacing w:before="120" w:after="0" w:line="240" w:lineRule="auto"/>
        <w:ind w:hanging="357"/>
        <w:contextualSpacing w:val="0"/>
      </w:pPr>
      <w:r w:rsidRPr="00974255">
        <w:t xml:space="preserve">Impatti sull’efficienza dei processi: </w:t>
      </w:r>
    </w:p>
    <w:p w:rsidR="001B69F6" w:rsidRPr="00974255" w:rsidRDefault="001B69F6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maggiore facilità di comunicazione;</w:t>
      </w:r>
    </w:p>
    <w:p w:rsidR="001B69F6" w:rsidRPr="00974255" w:rsidRDefault="001B69F6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riduzione dei tempi per l’attuazione dei processi;</w:t>
      </w:r>
    </w:p>
    <w:p w:rsidR="001B69F6" w:rsidRPr="00974255" w:rsidRDefault="001B69F6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incremento del numero di pratiche evase;</w:t>
      </w:r>
    </w:p>
    <w:p w:rsidR="00CF567B" w:rsidRPr="00974255" w:rsidRDefault="00CF567B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miglioramento qualitativo de</w:t>
      </w:r>
      <w:r w:rsidR="00337670" w:rsidRPr="00974255">
        <w:t>gli aspetti di</w:t>
      </w:r>
      <w:r w:rsidRPr="00974255">
        <w:t xml:space="preserve"> gestione documentale</w:t>
      </w:r>
      <w:r w:rsidR="00337670" w:rsidRPr="00974255">
        <w:t xml:space="preserve"> e archivistica informatica</w:t>
      </w:r>
      <w:r w:rsidR="00B24FE8" w:rsidRPr="00974255">
        <w:t>;</w:t>
      </w:r>
      <w:r w:rsidR="00337670" w:rsidRPr="00974255">
        <w:t xml:space="preserve"> </w:t>
      </w:r>
    </w:p>
    <w:p w:rsidR="00CF567B" w:rsidRPr="00974255" w:rsidRDefault="00CF567B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standardizzazione dei procedimenti afferenti alle diverse unità organizzative</w:t>
      </w:r>
      <w:r w:rsidR="00B24FE8" w:rsidRPr="00974255">
        <w:t>;</w:t>
      </w:r>
    </w:p>
    <w:p w:rsidR="00337670" w:rsidRPr="00974255" w:rsidRDefault="00337670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rPr>
          <w:i/>
        </w:rPr>
        <w:t>compliance</w:t>
      </w:r>
      <w:r w:rsidRPr="00974255">
        <w:t xml:space="preserve"> alla normativa tecnica in materia di procedimenti amministrativi e tecnologie digitali</w:t>
      </w:r>
      <w:r w:rsidR="00B24FE8" w:rsidRPr="00974255">
        <w:t>;</w:t>
      </w:r>
    </w:p>
    <w:p w:rsidR="0064703B" w:rsidRPr="00974255" w:rsidRDefault="00B24FE8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produzione</w:t>
      </w:r>
      <w:r w:rsidR="00D11C66" w:rsidRPr="00974255">
        <w:t xml:space="preserve"> di risultati di efficacia quantificabili con dati valorizzabili</w:t>
      </w:r>
      <w:r w:rsidRPr="00974255">
        <w:t xml:space="preserve"> e ostensibili;</w:t>
      </w:r>
    </w:p>
    <w:p w:rsidR="00B24FE8" w:rsidRPr="00974255" w:rsidRDefault="00B24FE8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miglioramento della trasparenza;</w:t>
      </w:r>
    </w:p>
    <w:p w:rsidR="00C16361" w:rsidRPr="00974255" w:rsidRDefault="00C16361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semplificazione negli interventi</w:t>
      </w:r>
      <w:r w:rsidR="00A27BCC" w:rsidRPr="00974255">
        <w:t xml:space="preserve"> tecnico-informatici</w:t>
      </w:r>
      <w:r w:rsidRPr="00974255">
        <w:t xml:space="preserve"> in caso di necessità di modifiche, correzioni, miglioramento dell’usabilità, adattamenti </w:t>
      </w:r>
      <w:r w:rsidR="00A27BCC" w:rsidRPr="00974255">
        <w:t xml:space="preserve">del sistema </w:t>
      </w:r>
      <w:r w:rsidRPr="00974255">
        <w:t>ai cambiamenti dell’ambiente</w:t>
      </w:r>
    </w:p>
    <w:p w:rsidR="001B69F6" w:rsidRPr="00974255" w:rsidRDefault="001B69F6" w:rsidP="001B69F6">
      <w:pPr>
        <w:pStyle w:val="Paragrafoelenco"/>
        <w:numPr>
          <w:ilvl w:val="0"/>
          <w:numId w:val="7"/>
        </w:numPr>
        <w:spacing w:before="120" w:after="0" w:line="240" w:lineRule="auto"/>
        <w:ind w:hanging="357"/>
        <w:contextualSpacing w:val="0"/>
      </w:pPr>
      <w:r w:rsidRPr="00974255">
        <w:t xml:space="preserve">altri impatti sull’organizzazione: </w:t>
      </w:r>
    </w:p>
    <w:p w:rsidR="001B69F6" w:rsidRPr="00974255" w:rsidRDefault="001B69F6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maggi</w:t>
      </w:r>
      <w:r w:rsidR="004D50D2" w:rsidRPr="00974255">
        <w:t>or apertura a progetti di riuso e circolazione dei dati e delle informazioni;</w:t>
      </w:r>
    </w:p>
    <w:p w:rsidR="001B69F6" w:rsidRPr="00974255" w:rsidRDefault="001B69F6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maggiore garanzia di gestione privacy sulle informazioni;</w:t>
      </w:r>
    </w:p>
    <w:p w:rsidR="001B69F6" w:rsidRPr="00974255" w:rsidRDefault="001B69F6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maggiore distribuzione del carico di lavoro;</w:t>
      </w:r>
    </w:p>
    <w:p w:rsidR="00337670" w:rsidRPr="00974255" w:rsidRDefault="00A706CE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 xml:space="preserve"> aumento della </w:t>
      </w:r>
      <w:r w:rsidR="00337670" w:rsidRPr="00974255">
        <w:t>consapevolezza del cambiamento digitale</w:t>
      </w:r>
      <w:r w:rsidR="00B24FE8" w:rsidRPr="00974255">
        <w:t>;</w:t>
      </w:r>
    </w:p>
    <w:p w:rsidR="00337670" w:rsidRPr="00974255" w:rsidRDefault="00337670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attivazione di comportamenti proattivi favorevoli al cambiamento culturale all’interno dell’organizzazione</w:t>
      </w:r>
      <w:r w:rsidR="00B24FE8" w:rsidRPr="00974255">
        <w:t>;</w:t>
      </w:r>
    </w:p>
    <w:p w:rsidR="00337670" w:rsidRPr="00974255" w:rsidRDefault="00337670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valorizzazione delle professionalità interne</w:t>
      </w:r>
      <w:r w:rsidR="00B24FE8" w:rsidRPr="00974255">
        <w:t>;</w:t>
      </w:r>
    </w:p>
    <w:p w:rsidR="00337670" w:rsidRPr="00974255" w:rsidRDefault="00337670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maggiore stimolo dell’attitudine all’innovazione digitale</w:t>
      </w:r>
      <w:r w:rsidR="00B24FE8" w:rsidRPr="00974255">
        <w:t>;</w:t>
      </w:r>
    </w:p>
    <w:p w:rsidR="00337670" w:rsidRPr="00974255" w:rsidRDefault="00337670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 xml:space="preserve">miglioramento delle capacità di collaborazione e lavoro in </w:t>
      </w:r>
      <w:r w:rsidRPr="00974255">
        <w:rPr>
          <w:i/>
        </w:rPr>
        <w:t>team</w:t>
      </w:r>
      <w:r w:rsidR="00B24FE8" w:rsidRPr="00974255">
        <w:rPr>
          <w:i/>
        </w:rPr>
        <w:t>;</w:t>
      </w:r>
    </w:p>
    <w:p w:rsidR="00A706CE" w:rsidRPr="00974255" w:rsidRDefault="00A706CE" w:rsidP="001B69F6">
      <w:pPr>
        <w:pStyle w:val="Paragrafoelenco"/>
        <w:numPr>
          <w:ilvl w:val="0"/>
          <w:numId w:val="8"/>
        </w:numPr>
        <w:spacing w:before="120" w:after="0" w:line="240" w:lineRule="auto"/>
        <w:contextualSpacing w:val="0"/>
      </w:pPr>
      <w:r w:rsidRPr="00974255">
        <w:t>miglioramento dell</w:t>
      </w:r>
      <w:r w:rsidR="00B24FE8" w:rsidRPr="00974255">
        <w:t>e</w:t>
      </w:r>
      <w:r w:rsidRPr="00974255">
        <w:t xml:space="preserve"> capacità di lavoro secondo una prospettiva che va oltre l’ordinario quotidiano, orientata a una </w:t>
      </w:r>
      <w:proofErr w:type="spellStart"/>
      <w:r w:rsidRPr="00974255">
        <w:rPr>
          <w:i/>
        </w:rPr>
        <w:t>vision</w:t>
      </w:r>
      <w:proofErr w:type="spellEnd"/>
      <w:r w:rsidRPr="00974255">
        <w:t xml:space="preserve"> </w:t>
      </w:r>
      <w:r w:rsidR="00B24FE8" w:rsidRPr="00974255">
        <w:t>definita e condivisa;</w:t>
      </w:r>
    </w:p>
    <w:p w:rsidR="002D344F" w:rsidRPr="002D344F" w:rsidRDefault="002D344F" w:rsidP="002D344F">
      <w:bookmarkStart w:id="4" w:name="_GoBack"/>
      <w:bookmarkEnd w:id="4"/>
    </w:p>
    <w:sectPr w:rsidR="002D344F" w:rsidRPr="002D344F" w:rsidSect="00A932B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160" w:rsidRDefault="00424160" w:rsidP="00DD7646">
      <w:r>
        <w:separator/>
      </w:r>
    </w:p>
  </w:endnote>
  <w:endnote w:type="continuationSeparator" w:id="0">
    <w:p w:rsidR="00424160" w:rsidRDefault="00424160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168245"/>
      <w:docPartObj>
        <w:docPartGallery w:val="Page Numbers (Bottom of Page)"/>
        <w:docPartUnique/>
      </w:docPartObj>
    </w:sdtPr>
    <w:sdtEndPr/>
    <w:sdtContent>
      <w:p w:rsidR="008945F3" w:rsidRPr="00A060E2" w:rsidRDefault="008945F3">
        <w:pPr>
          <w:pStyle w:val="Pidipagina"/>
          <w:jc w:val="right"/>
          <w:rPr>
            <w:noProof/>
          </w:rPr>
        </w:pPr>
        <w:r>
          <w:rPr>
            <w:noProof/>
            <w:lang w:eastAsia="it-IT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2486</wp:posOffset>
              </wp:positionH>
              <wp:positionV relativeFrom="paragraph">
                <wp:posOffset>118110</wp:posOffset>
              </wp:positionV>
              <wp:extent cx="4552950" cy="428463"/>
              <wp:effectExtent l="0" t="0" r="0" b="0"/>
              <wp:wrapTight wrapText="bothSides">
                <wp:wrapPolygon edited="0">
                  <wp:start x="0" y="0"/>
                  <wp:lineTo x="0" y="20190"/>
                  <wp:lineTo x="21510" y="20190"/>
                  <wp:lineTo x="21510" y="0"/>
                  <wp:lineTo x="0" y="0"/>
                </wp:wrapPolygon>
              </wp:wrapTight>
              <wp:docPr id="1" name="Immagin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ntestazion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2950" cy="4284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8945F3" w:rsidRDefault="008945F3" w:rsidP="00757AC5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tab/>
        </w:r>
        <w:r>
          <w:rPr>
            <w:noProof/>
          </w:rPr>
          <w:tab/>
        </w:r>
        <w:r w:rsidR="00424160">
          <w:fldChar w:fldCharType="begin"/>
        </w:r>
        <w:r w:rsidR="00424160">
          <w:instrText>PAGE   \* MERGEFORMAT</w:instrText>
        </w:r>
        <w:r w:rsidR="00424160">
          <w:fldChar w:fldCharType="separate"/>
        </w:r>
        <w:r w:rsidR="00A27BCC">
          <w:rPr>
            <w:noProof/>
          </w:rPr>
          <w:t>4</w:t>
        </w:r>
        <w:r w:rsidR="00424160">
          <w:rPr>
            <w:noProof/>
          </w:rPr>
          <w:fldChar w:fldCharType="end"/>
        </w:r>
      </w:p>
    </w:sdtContent>
  </w:sdt>
  <w:p w:rsidR="008945F3" w:rsidRDefault="008945F3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F3" w:rsidRDefault="008945F3">
    <w:pPr>
      <w:pStyle w:val="Pidipagina"/>
    </w:pPr>
    <w:r>
      <w:rPr>
        <w:noProof/>
        <w:lang w:eastAsia="it-IT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-209550</wp:posOffset>
          </wp:positionV>
          <wp:extent cx="4552950" cy="428463"/>
          <wp:effectExtent l="0" t="0" r="0" b="0"/>
          <wp:wrapTight wrapText="bothSides">
            <wp:wrapPolygon edited="0">
              <wp:start x="0" y="0"/>
              <wp:lineTo x="0" y="20190"/>
              <wp:lineTo x="21510" y="20190"/>
              <wp:lineTo x="21510" y="0"/>
              <wp:lineTo x="0" y="0"/>
            </wp:wrapPolygon>
          </wp:wrapTight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stazi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0" cy="428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160" w:rsidRDefault="00424160" w:rsidP="00DD7646">
      <w:bookmarkStart w:id="0" w:name="_Hlk532206960"/>
      <w:bookmarkEnd w:id="0"/>
      <w:r>
        <w:separator/>
      </w:r>
    </w:p>
  </w:footnote>
  <w:footnote w:type="continuationSeparator" w:id="0">
    <w:p w:rsidR="00424160" w:rsidRDefault="00424160" w:rsidP="00DD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F3" w:rsidRDefault="008945F3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945F3" w:rsidRDefault="008945F3" w:rsidP="00DD7646">
    <w:pPr>
      <w:pStyle w:val="Intestazione"/>
      <w:rPr>
        <w:noProof/>
        <w:lang w:eastAsia="it-IT"/>
      </w:rPr>
    </w:pPr>
  </w:p>
  <w:p w:rsidR="008945F3" w:rsidRDefault="008945F3" w:rsidP="00DD7646">
    <w:pPr>
      <w:pStyle w:val="Intestazione"/>
      <w:rPr>
        <w:noProof/>
        <w:lang w:eastAsia="it-IT"/>
      </w:rPr>
    </w:pPr>
  </w:p>
  <w:p w:rsidR="008945F3" w:rsidRDefault="008945F3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F3" w:rsidRDefault="008945F3">
    <w:pPr>
      <w:pStyle w:val="Intestazione"/>
    </w:pPr>
    <w:r w:rsidRPr="007C0EEE">
      <w:rPr>
        <w:noProof/>
        <w:lang w:eastAsia="it-IT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0EEE">
      <w:rPr>
        <w:noProof/>
        <w:lang w:eastAsia="it-IT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272C"/>
    <w:multiLevelType w:val="hybridMultilevel"/>
    <w:tmpl w:val="1A20A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38C3"/>
    <w:multiLevelType w:val="hybridMultilevel"/>
    <w:tmpl w:val="864A494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7781B"/>
    <w:multiLevelType w:val="hybridMultilevel"/>
    <w:tmpl w:val="FE802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B3418"/>
    <w:multiLevelType w:val="hybridMultilevel"/>
    <w:tmpl w:val="7F30F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DA6"/>
    <w:multiLevelType w:val="hybridMultilevel"/>
    <w:tmpl w:val="DE9805DC"/>
    <w:lvl w:ilvl="0" w:tplc="9FE0BF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3B45"/>
    <w:multiLevelType w:val="hybridMultilevel"/>
    <w:tmpl w:val="1C648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75CA9"/>
    <w:multiLevelType w:val="multilevel"/>
    <w:tmpl w:val="336AE6AC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CD2223"/>
    <w:multiLevelType w:val="hybridMultilevel"/>
    <w:tmpl w:val="B65EA1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1353E"/>
    <w:multiLevelType w:val="hybridMultilevel"/>
    <w:tmpl w:val="23D4DD02"/>
    <w:lvl w:ilvl="0" w:tplc="EC1C7C76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885"/>
    <w:rsid w:val="000017C5"/>
    <w:rsid w:val="00010455"/>
    <w:rsid w:val="00010B4C"/>
    <w:rsid w:val="00012DCB"/>
    <w:rsid w:val="000226E2"/>
    <w:rsid w:val="0002789A"/>
    <w:rsid w:val="000313D1"/>
    <w:rsid w:val="00031F5F"/>
    <w:rsid w:val="0003552C"/>
    <w:rsid w:val="00036223"/>
    <w:rsid w:val="000529ED"/>
    <w:rsid w:val="000564A9"/>
    <w:rsid w:val="00066699"/>
    <w:rsid w:val="0007134D"/>
    <w:rsid w:val="000713E3"/>
    <w:rsid w:val="000849F1"/>
    <w:rsid w:val="000A16A9"/>
    <w:rsid w:val="000A34B4"/>
    <w:rsid w:val="000D7090"/>
    <w:rsid w:val="000E48FC"/>
    <w:rsid w:val="000E530E"/>
    <w:rsid w:val="000E590D"/>
    <w:rsid w:val="000F082C"/>
    <w:rsid w:val="000F2E78"/>
    <w:rsid w:val="000F72E5"/>
    <w:rsid w:val="00100823"/>
    <w:rsid w:val="00101F81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578C"/>
    <w:rsid w:val="00195A08"/>
    <w:rsid w:val="001A1F24"/>
    <w:rsid w:val="001A3E30"/>
    <w:rsid w:val="001A7A8E"/>
    <w:rsid w:val="001B69F6"/>
    <w:rsid w:val="001C536A"/>
    <w:rsid w:val="001D39BC"/>
    <w:rsid w:val="001E4656"/>
    <w:rsid w:val="001E5217"/>
    <w:rsid w:val="001E631B"/>
    <w:rsid w:val="001F2BD1"/>
    <w:rsid w:val="00212479"/>
    <w:rsid w:val="00213E83"/>
    <w:rsid w:val="0021609B"/>
    <w:rsid w:val="002229DC"/>
    <w:rsid w:val="0022605C"/>
    <w:rsid w:val="00231DB6"/>
    <w:rsid w:val="0023473B"/>
    <w:rsid w:val="00242956"/>
    <w:rsid w:val="00265925"/>
    <w:rsid w:val="00277C92"/>
    <w:rsid w:val="002857A8"/>
    <w:rsid w:val="0029689B"/>
    <w:rsid w:val="002A07FC"/>
    <w:rsid w:val="002A2700"/>
    <w:rsid w:val="002A4BC7"/>
    <w:rsid w:val="002B14CF"/>
    <w:rsid w:val="002B2198"/>
    <w:rsid w:val="002B2592"/>
    <w:rsid w:val="002B3000"/>
    <w:rsid w:val="002B6A51"/>
    <w:rsid w:val="002B7ACE"/>
    <w:rsid w:val="002C034A"/>
    <w:rsid w:val="002C26BC"/>
    <w:rsid w:val="002C64BE"/>
    <w:rsid w:val="002D0E57"/>
    <w:rsid w:val="002D324B"/>
    <w:rsid w:val="002D344F"/>
    <w:rsid w:val="002E49CB"/>
    <w:rsid w:val="002E7DA6"/>
    <w:rsid w:val="002E7DC4"/>
    <w:rsid w:val="002F2F77"/>
    <w:rsid w:val="00311E93"/>
    <w:rsid w:val="00313345"/>
    <w:rsid w:val="00317CB9"/>
    <w:rsid w:val="00323893"/>
    <w:rsid w:val="00324E98"/>
    <w:rsid w:val="00333699"/>
    <w:rsid w:val="00333E2F"/>
    <w:rsid w:val="00337670"/>
    <w:rsid w:val="00342391"/>
    <w:rsid w:val="003516D2"/>
    <w:rsid w:val="00356FC4"/>
    <w:rsid w:val="00370837"/>
    <w:rsid w:val="00382BE5"/>
    <w:rsid w:val="003832FF"/>
    <w:rsid w:val="00385444"/>
    <w:rsid w:val="003A2026"/>
    <w:rsid w:val="003B1C74"/>
    <w:rsid w:val="003D1BB4"/>
    <w:rsid w:val="003E380F"/>
    <w:rsid w:val="003F5E1A"/>
    <w:rsid w:val="00400885"/>
    <w:rsid w:val="00402638"/>
    <w:rsid w:val="00410597"/>
    <w:rsid w:val="00424160"/>
    <w:rsid w:val="00433051"/>
    <w:rsid w:val="00433EC5"/>
    <w:rsid w:val="004362FA"/>
    <w:rsid w:val="004740DC"/>
    <w:rsid w:val="00474964"/>
    <w:rsid w:val="0047512E"/>
    <w:rsid w:val="00485ED2"/>
    <w:rsid w:val="004918C8"/>
    <w:rsid w:val="00493AEE"/>
    <w:rsid w:val="00496780"/>
    <w:rsid w:val="0049797C"/>
    <w:rsid w:val="004A51E0"/>
    <w:rsid w:val="004B407E"/>
    <w:rsid w:val="004B6205"/>
    <w:rsid w:val="004C430E"/>
    <w:rsid w:val="004C64F4"/>
    <w:rsid w:val="004C7162"/>
    <w:rsid w:val="004D2FB9"/>
    <w:rsid w:val="004D50D2"/>
    <w:rsid w:val="004D7760"/>
    <w:rsid w:val="004E03CB"/>
    <w:rsid w:val="004E2832"/>
    <w:rsid w:val="004E46C6"/>
    <w:rsid w:val="004F4C14"/>
    <w:rsid w:val="0050064A"/>
    <w:rsid w:val="00501832"/>
    <w:rsid w:val="0050349A"/>
    <w:rsid w:val="00531AA9"/>
    <w:rsid w:val="00536F36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53D1"/>
    <w:rsid w:val="00586E88"/>
    <w:rsid w:val="00587B32"/>
    <w:rsid w:val="005970ED"/>
    <w:rsid w:val="005A42CD"/>
    <w:rsid w:val="005B3259"/>
    <w:rsid w:val="005C1161"/>
    <w:rsid w:val="005C26FB"/>
    <w:rsid w:val="005C2C3B"/>
    <w:rsid w:val="005E64D1"/>
    <w:rsid w:val="005F1D58"/>
    <w:rsid w:val="006022DC"/>
    <w:rsid w:val="00621077"/>
    <w:rsid w:val="006270DA"/>
    <w:rsid w:val="00642946"/>
    <w:rsid w:val="006432E5"/>
    <w:rsid w:val="0064703B"/>
    <w:rsid w:val="00653A7A"/>
    <w:rsid w:val="006552F9"/>
    <w:rsid w:val="00657B01"/>
    <w:rsid w:val="00670070"/>
    <w:rsid w:val="00670B96"/>
    <w:rsid w:val="006833D3"/>
    <w:rsid w:val="00692B4E"/>
    <w:rsid w:val="006B1B03"/>
    <w:rsid w:val="006B59F8"/>
    <w:rsid w:val="006B6780"/>
    <w:rsid w:val="006C68DD"/>
    <w:rsid w:val="006F5023"/>
    <w:rsid w:val="006F57A9"/>
    <w:rsid w:val="006F60CA"/>
    <w:rsid w:val="007009A4"/>
    <w:rsid w:val="007258B8"/>
    <w:rsid w:val="00735415"/>
    <w:rsid w:val="0073650E"/>
    <w:rsid w:val="00741689"/>
    <w:rsid w:val="007528EF"/>
    <w:rsid w:val="00757AC5"/>
    <w:rsid w:val="007679D9"/>
    <w:rsid w:val="00773DC7"/>
    <w:rsid w:val="0077635D"/>
    <w:rsid w:val="00776B6D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01F4B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536A2"/>
    <w:rsid w:val="008536DB"/>
    <w:rsid w:val="0085656E"/>
    <w:rsid w:val="00862BE9"/>
    <w:rsid w:val="00867471"/>
    <w:rsid w:val="00877E76"/>
    <w:rsid w:val="0088742D"/>
    <w:rsid w:val="00893F2F"/>
    <w:rsid w:val="008945F3"/>
    <w:rsid w:val="008A53F8"/>
    <w:rsid w:val="008E1277"/>
    <w:rsid w:val="008E332D"/>
    <w:rsid w:val="008F22B3"/>
    <w:rsid w:val="00914E10"/>
    <w:rsid w:val="009176C2"/>
    <w:rsid w:val="00941895"/>
    <w:rsid w:val="00945207"/>
    <w:rsid w:val="00951910"/>
    <w:rsid w:val="009535D0"/>
    <w:rsid w:val="00955EDE"/>
    <w:rsid w:val="00974255"/>
    <w:rsid w:val="00982285"/>
    <w:rsid w:val="00984913"/>
    <w:rsid w:val="00987DAD"/>
    <w:rsid w:val="00991AF1"/>
    <w:rsid w:val="009A6E7F"/>
    <w:rsid w:val="009B44BB"/>
    <w:rsid w:val="009F0275"/>
    <w:rsid w:val="00A00B0A"/>
    <w:rsid w:val="00A11057"/>
    <w:rsid w:val="00A1231C"/>
    <w:rsid w:val="00A23233"/>
    <w:rsid w:val="00A27BCC"/>
    <w:rsid w:val="00A467D9"/>
    <w:rsid w:val="00A540AC"/>
    <w:rsid w:val="00A706CE"/>
    <w:rsid w:val="00A752B6"/>
    <w:rsid w:val="00A82D48"/>
    <w:rsid w:val="00A83604"/>
    <w:rsid w:val="00A932B2"/>
    <w:rsid w:val="00AA1C18"/>
    <w:rsid w:val="00AA5E7F"/>
    <w:rsid w:val="00AA7E1C"/>
    <w:rsid w:val="00AB2F51"/>
    <w:rsid w:val="00AB5443"/>
    <w:rsid w:val="00AD4035"/>
    <w:rsid w:val="00AD4E94"/>
    <w:rsid w:val="00B023E4"/>
    <w:rsid w:val="00B044BF"/>
    <w:rsid w:val="00B05666"/>
    <w:rsid w:val="00B1416A"/>
    <w:rsid w:val="00B15681"/>
    <w:rsid w:val="00B24FE8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C6452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07B1F"/>
    <w:rsid w:val="00C13B00"/>
    <w:rsid w:val="00C16361"/>
    <w:rsid w:val="00C3298F"/>
    <w:rsid w:val="00C502B8"/>
    <w:rsid w:val="00C57213"/>
    <w:rsid w:val="00C630FF"/>
    <w:rsid w:val="00C67DC9"/>
    <w:rsid w:val="00C7353B"/>
    <w:rsid w:val="00C74731"/>
    <w:rsid w:val="00C80DD9"/>
    <w:rsid w:val="00C82BCC"/>
    <w:rsid w:val="00C91FDB"/>
    <w:rsid w:val="00C94EBB"/>
    <w:rsid w:val="00CA6842"/>
    <w:rsid w:val="00CB3644"/>
    <w:rsid w:val="00CD2D37"/>
    <w:rsid w:val="00CD3389"/>
    <w:rsid w:val="00CD45BD"/>
    <w:rsid w:val="00CF567B"/>
    <w:rsid w:val="00CF6DA9"/>
    <w:rsid w:val="00D11C66"/>
    <w:rsid w:val="00D12AFC"/>
    <w:rsid w:val="00D15878"/>
    <w:rsid w:val="00D16196"/>
    <w:rsid w:val="00D205B3"/>
    <w:rsid w:val="00D2509C"/>
    <w:rsid w:val="00D2748D"/>
    <w:rsid w:val="00D30A00"/>
    <w:rsid w:val="00D31DCB"/>
    <w:rsid w:val="00D351D9"/>
    <w:rsid w:val="00D37968"/>
    <w:rsid w:val="00D67E92"/>
    <w:rsid w:val="00D711F8"/>
    <w:rsid w:val="00D767B6"/>
    <w:rsid w:val="00D76CA8"/>
    <w:rsid w:val="00D76E07"/>
    <w:rsid w:val="00D77EC6"/>
    <w:rsid w:val="00D83AFA"/>
    <w:rsid w:val="00D83F8D"/>
    <w:rsid w:val="00D92428"/>
    <w:rsid w:val="00D933B6"/>
    <w:rsid w:val="00D93791"/>
    <w:rsid w:val="00DA2B4E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103F4"/>
    <w:rsid w:val="00E223FB"/>
    <w:rsid w:val="00E32AC2"/>
    <w:rsid w:val="00E3429B"/>
    <w:rsid w:val="00E5312E"/>
    <w:rsid w:val="00E60534"/>
    <w:rsid w:val="00E80B2C"/>
    <w:rsid w:val="00E84EA3"/>
    <w:rsid w:val="00E917B0"/>
    <w:rsid w:val="00E97D2A"/>
    <w:rsid w:val="00EA7939"/>
    <w:rsid w:val="00EA7B04"/>
    <w:rsid w:val="00EC0A29"/>
    <w:rsid w:val="00EC1828"/>
    <w:rsid w:val="00EC3541"/>
    <w:rsid w:val="00EC3560"/>
    <w:rsid w:val="00EC3646"/>
    <w:rsid w:val="00EC45A5"/>
    <w:rsid w:val="00EC5509"/>
    <w:rsid w:val="00EC757B"/>
    <w:rsid w:val="00ED289C"/>
    <w:rsid w:val="00ED37ED"/>
    <w:rsid w:val="00EE2B40"/>
    <w:rsid w:val="00F02CA4"/>
    <w:rsid w:val="00F066FE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A0C2C"/>
    <w:rsid w:val="00FA2BFE"/>
    <w:rsid w:val="00FB2FF5"/>
    <w:rsid w:val="00FB7513"/>
    <w:rsid w:val="00FC3C27"/>
    <w:rsid w:val="00FC4314"/>
    <w:rsid w:val="00FC65E8"/>
    <w:rsid w:val="00FF1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3E8E1"/>
  <w15:docId w15:val="{F2FF71EB-0167-43A5-BD56-3C9AD12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6552F9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1B69F6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6552F9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B69F6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E32AC2"/>
    <w:pPr>
      <w:tabs>
        <w:tab w:val="left" w:pos="1000"/>
        <w:tab w:val="left" w:pos="1843"/>
        <w:tab w:val="right" w:leader="dot" w:pos="9628"/>
      </w:tabs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4D0EB049-8355-4EC0-8F4A-5F997F229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Matteo Villettaz</cp:lastModifiedBy>
  <cp:revision>12</cp:revision>
  <cp:lastPrinted>2018-12-05T16:48:00Z</cp:lastPrinted>
  <dcterms:created xsi:type="dcterms:W3CDTF">2020-05-06T15:02:00Z</dcterms:created>
  <dcterms:modified xsi:type="dcterms:W3CDTF">2020-05-07T11:59:00Z</dcterms:modified>
</cp:coreProperties>
</file>