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2B5F180D" w14:textId="510583B5" w:rsidR="00DD7646" w:rsidRPr="00EC45A5" w:rsidRDefault="00077138" w:rsidP="00EC45A5">
      <w:pPr>
        <w:pStyle w:val="Titolo"/>
        <w:ind w:left="567"/>
        <w:jc w:val="left"/>
        <w:rPr>
          <w:rFonts w:eastAsiaTheme="minorHAnsi" w:cstheme="minorBid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Progetto Prodigio</w:t>
      </w:r>
    </w:p>
    <w:p w14:paraId="56C6E390" w14:textId="77777777" w:rsidR="00F532FE" w:rsidRPr="00F532FE" w:rsidRDefault="000A34B4" w:rsidP="00EC45A5">
      <w:pPr>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Fase A - Ricerca e selezione della buona pratica</w:t>
      </w:r>
    </w:p>
    <w:p w14:paraId="5AF5B6F9" w14:textId="73BAFE8E" w:rsidR="00F532FE" w:rsidRPr="00EC45A5" w:rsidRDefault="00EC45A5" w:rsidP="000E590D">
      <w:pPr>
        <w:ind w:left="567"/>
        <w:jc w:val="left"/>
        <w:rPr>
          <w:b/>
          <w:color w:val="2F5496" w:themeColor="accent5" w:themeShade="BF"/>
          <w:sz w:val="36"/>
          <w:szCs w:val="48"/>
          <w:u w:val="single"/>
        </w:rPr>
      </w:pPr>
      <w:r w:rsidRPr="00EC45A5">
        <w:rPr>
          <w:b/>
          <w:color w:val="2F5496" w:themeColor="accent5" w:themeShade="BF"/>
          <w:sz w:val="36"/>
          <w:szCs w:val="48"/>
          <w:u w:val="single"/>
        </w:rPr>
        <w:t>A</w:t>
      </w:r>
      <w:r w:rsidR="009E4190">
        <w:rPr>
          <w:b/>
          <w:color w:val="2F5496" w:themeColor="accent5" w:themeShade="BF"/>
          <w:sz w:val="36"/>
          <w:szCs w:val="48"/>
          <w:u w:val="single"/>
        </w:rPr>
        <w:t>2</w:t>
      </w:r>
      <w:r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9E4190">
        <w:rPr>
          <w:b/>
          <w:color w:val="2F5496" w:themeColor="accent5" w:themeShade="BF"/>
          <w:sz w:val="36"/>
          <w:szCs w:val="48"/>
          <w:u w:val="single"/>
        </w:rPr>
        <w:t>organizzativi</w:t>
      </w:r>
    </w:p>
    <w:p w14:paraId="31F24209" w14:textId="766833A5" w:rsidR="00AA1C18" w:rsidRPr="00EC45A5" w:rsidRDefault="0047512E" w:rsidP="000E590D">
      <w:pPr>
        <w:ind w:left="567"/>
        <w:jc w:val="left"/>
        <w:rPr>
          <w:b/>
          <w:color w:val="2F5496" w:themeColor="accent5" w:themeShade="BF"/>
          <w:sz w:val="28"/>
          <w:szCs w:val="48"/>
        </w:rPr>
      </w:pPr>
      <w:r w:rsidRPr="00EC45A5">
        <w:rPr>
          <w:b/>
          <w:color w:val="2F5496" w:themeColor="accent5" w:themeShade="BF"/>
          <w:sz w:val="28"/>
          <w:szCs w:val="48"/>
        </w:rPr>
        <w:t>A</w:t>
      </w:r>
      <w:r w:rsidR="007917FE">
        <w:rPr>
          <w:b/>
          <w:color w:val="2F5496" w:themeColor="accent5" w:themeShade="BF"/>
          <w:sz w:val="28"/>
          <w:szCs w:val="48"/>
        </w:rPr>
        <w:t>2</w:t>
      </w:r>
      <w:r w:rsidRPr="00EC45A5">
        <w:rPr>
          <w:b/>
          <w:color w:val="2F5496" w:themeColor="accent5" w:themeShade="BF"/>
          <w:sz w:val="28"/>
          <w:szCs w:val="48"/>
        </w:rPr>
        <w:t>.</w:t>
      </w:r>
      <w:r w:rsidR="00EC45A5" w:rsidRPr="00EC45A5">
        <w:rPr>
          <w:b/>
          <w:color w:val="2F5496" w:themeColor="accent5" w:themeShade="BF"/>
          <w:sz w:val="28"/>
          <w:szCs w:val="48"/>
        </w:rPr>
        <w:t>1</w:t>
      </w:r>
      <w:r w:rsidRPr="00EC45A5">
        <w:rPr>
          <w:b/>
          <w:color w:val="2F5496" w:themeColor="accent5" w:themeShade="BF"/>
          <w:sz w:val="28"/>
          <w:szCs w:val="48"/>
        </w:rPr>
        <w:t xml:space="preserve"> </w:t>
      </w:r>
      <w:r w:rsidR="009E4190">
        <w:rPr>
          <w:b/>
          <w:color w:val="2F5496" w:themeColor="accent5" w:themeShade="BF"/>
          <w:sz w:val="28"/>
          <w:szCs w:val="48"/>
        </w:rPr>
        <w:t>Fattori organizzativi di successo</w:t>
      </w:r>
    </w:p>
    <w:p w14:paraId="40C8046E" w14:textId="2CD668F0" w:rsidR="00EC45A5" w:rsidRPr="00EC45A5" w:rsidRDefault="00EC45A5" w:rsidP="000E590D">
      <w:pPr>
        <w:ind w:left="567"/>
        <w:jc w:val="left"/>
        <w:rPr>
          <w:b/>
          <w:color w:val="2F5496" w:themeColor="accent5" w:themeShade="BF"/>
          <w:sz w:val="28"/>
          <w:szCs w:val="48"/>
        </w:rPr>
      </w:pPr>
      <w:r w:rsidRPr="00EC45A5">
        <w:rPr>
          <w:b/>
          <w:color w:val="2F5496" w:themeColor="accent5" w:themeShade="BF"/>
          <w:sz w:val="28"/>
          <w:szCs w:val="48"/>
        </w:rPr>
        <w:t>A</w:t>
      </w:r>
      <w:r w:rsidR="007917FE">
        <w:rPr>
          <w:b/>
          <w:color w:val="2F5496" w:themeColor="accent5" w:themeShade="BF"/>
          <w:sz w:val="28"/>
          <w:szCs w:val="48"/>
        </w:rPr>
        <w:t>2</w:t>
      </w:r>
      <w:r w:rsidRPr="00EC45A5">
        <w:rPr>
          <w:b/>
          <w:color w:val="2F5496" w:themeColor="accent5" w:themeShade="BF"/>
          <w:sz w:val="28"/>
          <w:szCs w:val="48"/>
        </w:rPr>
        <w:t xml:space="preserve">.2 </w:t>
      </w:r>
      <w:r w:rsidR="009E4190">
        <w:rPr>
          <w:b/>
          <w:color w:val="2F5496" w:themeColor="accent5" w:themeShade="BF"/>
          <w:sz w:val="28"/>
          <w:szCs w:val="48"/>
        </w:rPr>
        <w:t>Check list</w:t>
      </w:r>
      <w:r w:rsidRPr="00EC45A5">
        <w:rPr>
          <w:b/>
          <w:color w:val="2F5496" w:themeColor="accent5" w:themeShade="BF"/>
          <w:sz w:val="28"/>
          <w:szCs w:val="48"/>
        </w:rPr>
        <w:t xml:space="preserve"> di autovalutazione</w:t>
      </w:r>
      <w:r>
        <w:rPr>
          <w:b/>
          <w:color w:val="2F5496" w:themeColor="accent5" w:themeShade="BF"/>
          <w:sz w:val="28"/>
          <w:szCs w:val="48"/>
        </w:rPr>
        <w:t xml:space="preserve"> </w:t>
      </w:r>
      <w:r w:rsidR="00330B6E">
        <w:rPr>
          <w:b/>
          <w:color w:val="2F5496" w:themeColor="accent5" w:themeShade="BF"/>
          <w:sz w:val="28"/>
          <w:szCs w:val="48"/>
        </w:rPr>
        <w:t>dei fattori organizzativi</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3F9D73AE" w14:textId="0454B487" w:rsidR="004D7760" w:rsidRDefault="004D7760" w:rsidP="004D7760">
      <w:pPr>
        <w:ind w:left="567"/>
      </w:pPr>
      <w:r>
        <w:t xml:space="preserve">Data rilascio: </w:t>
      </w:r>
      <w:r w:rsidR="00AA1C18">
        <w:t>1</w:t>
      </w:r>
      <w:r w:rsidR="009E4190">
        <w:t>0</w:t>
      </w:r>
      <w:r>
        <w:t>/1</w:t>
      </w:r>
      <w:r w:rsidR="00C80DD9">
        <w:t>2</w:t>
      </w:r>
      <w:r>
        <w:t>/2018</w:t>
      </w:r>
    </w:p>
    <w:p w14:paraId="166BBA59" w14:textId="77777777" w:rsidR="004D7760" w:rsidRPr="000E590D" w:rsidRDefault="004D7760" w:rsidP="004D7760">
      <w:pPr>
        <w:ind w:left="567"/>
      </w:pPr>
      <w:r>
        <w:t>Versione: 1.0</w:t>
      </w:r>
    </w:p>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itolosommario"/>
            <w:rPr>
              <w:b w:val="0"/>
            </w:rPr>
          </w:pPr>
          <w:r w:rsidRPr="004A51E0">
            <w:rPr>
              <w:b w:val="0"/>
            </w:rPr>
            <w:t>Sommario</w:t>
          </w:r>
        </w:p>
        <w:p w14:paraId="7554D95C" w14:textId="6D53AA9D" w:rsidR="00913D12"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14251099" w:history="1">
            <w:r w:rsidR="00913D12" w:rsidRPr="003B2B15">
              <w:rPr>
                <w:rStyle w:val="Collegamentoipertestuale"/>
                <w:noProof/>
              </w:rPr>
              <w:t>Premessa</w:t>
            </w:r>
            <w:r w:rsidR="00913D12">
              <w:rPr>
                <w:noProof/>
                <w:webHidden/>
              </w:rPr>
              <w:tab/>
            </w:r>
            <w:r w:rsidR="00913D12">
              <w:rPr>
                <w:noProof/>
                <w:webHidden/>
              </w:rPr>
              <w:fldChar w:fldCharType="begin"/>
            </w:r>
            <w:r w:rsidR="00913D12">
              <w:rPr>
                <w:noProof/>
                <w:webHidden/>
              </w:rPr>
              <w:instrText xml:space="preserve"> PAGEREF _Toc14251099 \h </w:instrText>
            </w:r>
            <w:r w:rsidR="00913D12">
              <w:rPr>
                <w:noProof/>
                <w:webHidden/>
              </w:rPr>
            </w:r>
            <w:r w:rsidR="00913D12">
              <w:rPr>
                <w:noProof/>
                <w:webHidden/>
              </w:rPr>
              <w:fldChar w:fldCharType="separate"/>
            </w:r>
            <w:r w:rsidR="00913D12">
              <w:rPr>
                <w:noProof/>
                <w:webHidden/>
              </w:rPr>
              <w:t>2</w:t>
            </w:r>
            <w:r w:rsidR="00913D12">
              <w:rPr>
                <w:noProof/>
                <w:webHidden/>
              </w:rPr>
              <w:fldChar w:fldCharType="end"/>
            </w:r>
          </w:hyperlink>
        </w:p>
        <w:p w14:paraId="5323963B" w14:textId="73169A79" w:rsidR="00913D12" w:rsidRDefault="00FB7014">
          <w:pPr>
            <w:pStyle w:val="Sommario2"/>
            <w:tabs>
              <w:tab w:val="left" w:pos="600"/>
              <w:tab w:val="right" w:leader="dot" w:pos="9628"/>
            </w:tabs>
            <w:rPr>
              <w:rFonts w:eastAsiaTheme="minorEastAsia" w:cstheme="minorBidi"/>
              <w:b w:val="0"/>
              <w:bCs w:val="0"/>
              <w:noProof/>
              <w:lang w:eastAsia="it-IT"/>
            </w:rPr>
          </w:pPr>
          <w:hyperlink w:anchor="_Toc14251100" w:history="1">
            <w:r w:rsidR="00913D12" w:rsidRPr="003B2B15">
              <w:rPr>
                <w:rStyle w:val="Collegamentoipertestuale"/>
                <w:noProof/>
              </w:rPr>
              <w:t>1.</w:t>
            </w:r>
            <w:r w:rsidR="00913D12">
              <w:rPr>
                <w:rFonts w:eastAsiaTheme="minorEastAsia" w:cstheme="minorBidi"/>
                <w:b w:val="0"/>
                <w:bCs w:val="0"/>
                <w:noProof/>
                <w:lang w:eastAsia="it-IT"/>
              </w:rPr>
              <w:tab/>
            </w:r>
            <w:r w:rsidR="00913D12" w:rsidRPr="003B2B15">
              <w:rPr>
                <w:rStyle w:val="Collegamentoipertestuale"/>
                <w:noProof/>
              </w:rPr>
              <w:t>L’esperienza di riuso e i fattori organizzativi di successo</w:t>
            </w:r>
            <w:r w:rsidR="00913D12">
              <w:rPr>
                <w:noProof/>
                <w:webHidden/>
              </w:rPr>
              <w:tab/>
            </w:r>
            <w:r w:rsidR="00913D12">
              <w:rPr>
                <w:noProof/>
                <w:webHidden/>
              </w:rPr>
              <w:fldChar w:fldCharType="begin"/>
            </w:r>
            <w:r w:rsidR="00913D12">
              <w:rPr>
                <w:noProof/>
                <w:webHidden/>
              </w:rPr>
              <w:instrText xml:space="preserve"> PAGEREF _Toc14251100 \h </w:instrText>
            </w:r>
            <w:r w:rsidR="00913D12">
              <w:rPr>
                <w:noProof/>
                <w:webHidden/>
              </w:rPr>
            </w:r>
            <w:r w:rsidR="00913D12">
              <w:rPr>
                <w:noProof/>
                <w:webHidden/>
              </w:rPr>
              <w:fldChar w:fldCharType="separate"/>
            </w:r>
            <w:r w:rsidR="00913D12">
              <w:rPr>
                <w:noProof/>
                <w:webHidden/>
              </w:rPr>
              <w:t>2</w:t>
            </w:r>
            <w:r w:rsidR="00913D12">
              <w:rPr>
                <w:noProof/>
                <w:webHidden/>
              </w:rPr>
              <w:fldChar w:fldCharType="end"/>
            </w:r>
          </w:hyperlink>
        </w:p>
        <w:p w14:paraId="1747405C" w14:textId="1237403B" w:rsidR="00913D12" w:rsidRDefault="00FB7014">
          <w:pPr>
            <w:pStyle w:val="Sommario3"/>
            <w:tabs>
              <w:tab w:val="left" w:pos="1000"/>
              <w:tab w:val="right" w:leader="dot" w:pos="9628"/>
            </w:tabs>
            <w:rPr>
              <w:rFonts w:eastAsiaTheme="minorEastAsia" w:cstheme="minorBidi"/>
              <w:noProof/>
              <w:szCs w:val="22"/>
              <w:lang w:eastAsia="it-IT"/>
            </w:rPr>
          </w:pPr>
          <w:hyperlink w:anchor="_Toc14251101" w:history="1">
            <w:r w:rsidR="00913D12" w:rsidRPr="003B2B15">
              <w:rPr>
                <w:rStyle w:val="Collegamentoipertestuale"/>
                <w:noProof/>
              </w:rPr>
              <w:t>1.1.</w:t>
            </w:r>
            <w:r w:rsidR="00913D12">
              <w:rPr>
                <w:rFonts w:eastAsiaTheme="minorEastAsia" w:cstheme="minorBidi"/>
                <w:noProof/>
                <w:szCs w:val="22"/>
                <w:lang w:eastAsia="it-IT"/>
              </w:rPr>
              <w:tab/>
            </w:r>
            <w:r w:rsidR="00913D12" w:rsidRPr="003B2B15">
              <w:rPr>
                <w:rStyle w:val="Collegamentoipertestuale"/>
                <w:noProof/>
              </w:rPr>
              <w:t>Fattori organizzativi critici</w:t>
            </w:r>
            <w:r w:rsidR="00913D12">
              <w:rPr>
                <w:noProof/>
                <w:webHidden/>
              </w:rPr>
              <w:tab/>
            </w:r>
            <w:r w:rsidR="00913D12">
              <w:rPr>
                <w:noProof/>
                <w:webHidden/>
              </w:rPr>
              <w:fldChar w:fldCharType="begin"/>
            </w:r>
            <w:r w:rsidR="00913D12">
              <w:rPr>
                <w:noProof/>
                <w:webHidden/>
              </w:rPr>
              <w:instrText xml:space="preserve"> PAGEREF _Toc14251101 \h </w:instrText>
            </w:r>
            <w:r w:rsidR="00913D12">
              <w:rPr>
                <w:noProof/>
                <w:webHidden/>
              </w:rPr>
            </w:r>
            <w:r w:rsidR="00913D12">
              <w:rPr>
                <w:noProof/>
                <w:webHidden/>
              </w:rPr>
              <w:fldChar w:fldCharType="separate"/>
            </w:r>
            <w:r w:rsidR="00913D12">
              <w:rPr>
                <w:noProof/>
                <w:webHidden/>
              </w:rPr>
              <w:t>2</w:t>
            </w:r>
            <w:r w:rsidR="00913D12">
              <w:rPr>
                <w:noProof/>
                <w:webHidden/>
              </w:rPr>
              <w:fldChar w:fldCharType="end"/>
            </w:r>
          </w:hyperlink>
        </w:p>
        <w:p w14:paraId="237CC49E" w14:textId="0DC3C36E" w:rsidR="00913D12" w:rsidRDefault="00FB7014">
          <w:pPr>
            <w:pStyle w:val="Sommario3"/>
            <w:tabs>
              <w:tab w:val="left" w:pos="1000"/>
              <w:tab w:val="right" w:leader="dot" w:pos="9628"/>
            </w:tabs>
            <w:rPr>
              <w:rFonts w:eastAsiaTheme="minorEastAsia" w:cstheme="minorBidi"/>
              <w:noProof/>
              <w:szCs w:val="22"/>
              <w:lang w:eastAsia="it-IT"/>
            </w:rPr>
          </w:pPr>
          <w:hyperlink w:anchor="_Toc14251102" w:history="1">
            <w:r w:rsidR="00913D12" w:rsidRPr="003B2B15">
              <w:rPr>
                <w:rStyle w:val="Collegamentoipertestuale"/>
                <w:noProof/>
              </w:rPr>
              <w:t>1.2.</w:t>
            </w:r>
            <w:r w:rsidR="00913D12">
              <w:rPr>
                <w:rFonts w:eastAsiaTheme="minorEastAsia" w:cstheme="minorBidi"/>
                <w:noProof/>
                <w:szCs w:val="22"/>
                <w:lang w:eastAsia="it-IT"/>
              </w:rPr>
              <w:tab/>
            </w:r>
            <w:r w:rsidR="00913D12" w:rsidRPr="003B2B15">
              <w:rPr>
                <w:rStyle w:val="Collegamentoipertestuale"/>
                <w:noProof/>
              </w:rPr>
              <w:t>Impatto dei fattori organizzativi critici</w:t>
            </w:r>
            <w:r w:rsidR="00913D12">
              <w:rPr>
                <w:noProof/>
                <w:webHidden/>
              </w:rPr>
              <w:tab/>
            </w:r>
            <w:r w:rsidR="00913D12">
              <w:rPr>
                <w:noProof/>
                <w:webHidden/>
              </w:rPr>
              <w:fldChar w:fldCharType="begin"/>
            </w:r>
            <w:r w:rsidR="00913D12">
              <w:rPr>
                <w:noProof/>
                <w:webHidden/>
              </w:rPr>
              <w:instrText xml:space="preserve"> PAGEREF _Toc14251102 \h </w:instrText>
            </w:r>
            <w:r w:rsidR="00913D12">
              <w:rPr>
                <w:noProof/>
                <w:webHidden/>
              </w:rPr>
            </w:r>
            <w:r w:rsidR="00913D12">
              <w:rPr>
                <w:noProof/>
                <w:webHidden/>
              </w:rPr>
              <w:fldChar w:fldCharType="separate"/>
            </w:r>
            <w:r w:rsidR="00913D12">
              <w:rPr>
                <w:noProof/>
                <w:webHidden/>
              </w:rPr>
              <w:t>2</w:t>
            </w:r>
            <w:r w:rsidR="00913D12">
              <w:rPr>
                <w:noProof/>
                <w:webHidden/>
              </w:rPr>
              <w:fldChar w:fldCharType="end"/>
            </w:r>
          </w:hyperlink>
        </w:p>
        <w:p w14:paraId="048FA7E9" w14:textId="78587004" w:rsidR="00913D12" w:rsidRDefault="00FB7014">
          <w:pPr>
            <w:pStyle w:val="Sommario2"/>
            <w:tabs>
              <w:tab w:val="left" w:pos="600"/>
              <w:tab w:val="right" w:leader="dot" w:pos="9628"/>
            </w:tabs>
            <w:rPr>
              <w:rFonts w:eastAsiaTheme="minorEastAsia" w:cstheme="minorBidi"/>
              <w:b w:val="0"/>
              <w:bCs w:val="0"/>
              <w:noProof/>
              <w:lang w:eastAsia="it-IT"/>
            </w:rPr>
          </w:pPr>
          <w:hyperlink w:anchor="_Toc14251103" w:history="1">
            <w:r w:rsidR="00913D12" w:rsidRPr="003B2B15">
              <w:rPr>
                <w:rStyle w:val="Collegamentoipertestuale"/>
                <w:noProof/>
              </w:rPr>
              <w:t>2.</w:t>
            </w:r>
            <w:r w:rsidR="00913D12">
              <w:rPr>
                <w:rFonts w:eastAsiaTheme="minorEastAsia" w:cstheme="minorBidi"/>
                <w:b w:val="0"/>
                <w:bCs w:val="0"/>
                <w:noProof/>
                <w:lang w:eastAsia="it-IT"/>
              </w:rPr>
              <w:tab/>
            </w:r>
            <w:r w:rsidR="00913D12" w:rsidRPr="003B2B15">
              <w:rPr>
                <w:rStyle w:val="Collegamentoipertestuale"/>
                <w:noProof/>
              </w:rPr>
              <w:t>Check list di autovalutazione dei fattori organizzativi</w:t>
            </w:r>
            <w:r w:rsidR="00913D12">
              <w:rPr>
                <w:noProof/>
                <w:webHidden/>
              </w:rPr>
              <w:tab/>
            </w:r>
            <w:r w:rsidR="00913D12">
              <w:rPr>
                <w:noProof/>
                <w:webHidden/>
              </w:rPr>
              <w:fldChar w:fldCharType="begin"/>
            </w:r>
            <w:r w:rsidR="00913D12">
              <w:rPr>
                <w:noProof/>
                <w:webHidden/>
              </w:rPr>
              <w:instrText xml:space="preserve"> PAGEREF _Toc14251103 \h </w:instrText>
            </w:r>
            <w:r w:rsidR="00913D12">
              <w:rPr>
                <w:noProof/>
                <w:webHidden/>
              </w:rPr>
            </w:r>
            <w:r w:rsidR="00913D12">
              <w:rPr>
                <w:noProof/>
                <w:webHidden/>
              </w:rPr>
              <w:fldChar w:fldCharType="separate"/>
            </w:r>
            <w:r w:rsidR="00913D12">
              <w:rPr>
                <w:noProof/>
                <w:webHidden/>
              </w:rPr>
              <w:t>3</w:t>
            </w:r>
            <w:r w:rsidR="00913D12">
              <w:rPr>
                <w:noProof/>
                <w:webHidden/>
              </w:rPr>
              <w:fldChar w:fldCharType="end"/>
            </w:r>
          </w:hyperlink>
        </w:p>
        <w:p w14:paraId="620CD876" w14:textId="2BC66671"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Titolo1"/>
      </w:pPr>
      <w:bookmarkStart w:id="1" w:name="_Toc14251099"/>
      <w:r w:rsidRPr="001376B7">
        <w:lastRenderedPageBreak/>
        <w:t>Premessa</w:t>
      </w:r>
      <w:bookmarkEnd w:id="1"/>
    </w:p>
    <w:p w14:paraId="2EDB3CB4" w14:textId="2A2AD450" w:rsidR="0047512E" w:rsidRDefault="00955EDE" w:rsidP="0047512E">
      <w:r>
        <w:t xml:space="preserve">Il presente documento </w:t>
      </w:r>
      <w:r w:rsidR="00F532FE">
        <w:t xml:space="preserve">raccoglie </w:t>
      </w:r>
      <w:r w:rsidR="0047512E">
        <w:t>g</w:t>
      </w:r>
      <w:r w:rsidR="0047512E" w:rsidRPr="0047512E">
        <w:t xml:space="preserve">li </w:t>
      </w:r>
      <w:r w:rsidR="0047512E" w:rsidRPr="0047512E">
        <w:rPr>
          <w:b/>
        </w:rPr>
        <w:t xml:space="preserve">strumenti </w:t>
      </w:r>
      <w:r w:rsidR="009E4190">
        <w:rPr>
          <w:b/>
        </w:rPr>
        <w:t>organizzativi</w:t>
      </w:r>
      <w:r w:rsidR="0047512E" w:rsidRPr="0047512E">
        <w:rPr>
          <w:b/>
        </w:rPr>
        <w:t xml:space="preserve"> del kit di riuso per la fase A</w:t>
      </w:r>
      <w:r w:rsidR="0047512E">
        <w:t xml:space="preserve"> – Ricerca e selezione </w:t>
      </w:r>
      <w:r w:rsidR="0047512E" w:rsidRPr="00F532FE">
        <w:t>della buona pratica</w:t>
      </w:r>
      <w:r w:rsidR="0047512E">
        <w:t xml:space="preserve">. </w:t>
      </w:r>
      <w:bookmarkStart w:id="2" w:name="_Hlk532207513"/>
      <w:r w:rsidR="0047512E">
        <w:t xml:space="preserve">Gli strumenti </w:t>
      </w:r>
      <w:r w:rsidR="009E4190">
        <w:t>organizzativi</w:t>
      </w:r>
      <w:r w:rsidR="00F532FE">
        <w:t>, come previsto dall’Avviso OCPA2020</w:t>
      </w:r>
      <w:r w:rsidR="00F532FE">
        <w:rPr>
          <w:rStyle w:val="Rimandonotaapidipagina"/>
        </w:rPr>
        <w:footnoteReference w:id="1"/>
      </w:r>
      <w:r w:rsidR="00F532FE">
        <w:t>,</w:t>
      </w:r>
      <w:r w:rsidR="0047512E">
        <w:t xml:space="preserve"> hanno lo scopo di </w:t>
      </w:r>
      <w:r w:rsidR="009E4190">
        <w:t xml:space="preserve">fornire al riusante un modo per valutare </w:t>
      </w:r>
      <w:r w:rsidR="009E4190" w:rsidRPr="00550659">
        <w:t xml:space="preserve">i fattori organizzativi interni ed esterni </w:t>
      </w:r>
      <w:r w:rsidR="009E4190">
        <w:t xml:space="preserve">alla propria realtà </w:t>
      </w:r>
      <w:r w:rsidR="009E4190" w:rsidRPr="00550659">
        <w:t>che possono influenzare positivamente o negativamente il trasferimento e l’adozione della buona pratica</w:t>
      </w:r>
      <w:r w:rsidR="009E4190">
        <w:t>.</w:t>
      </w:r>
    </w:p>
    <w:p w14:paraId="4FC8E1E9" w14:textId="254900F1" w:rsidR="00AB5443" w:rsidRPr="001376B7" w:rsidRDefault="00913D12" w:rsidP="001376B7">
      <w:pPr>
        <w:pStyle w:val="Titolo2"/>
      </w:pPr>
      <w:bookmarkStart w:id="4" w:name="_Toc14251100"/>
      <w:bookmarkEnd w:id="2"/>
      <w:r>
        <w:t>L’esperienza di riuso e i f</w:t>
      </w:r>
      <w:r w:rsidR="009E4190">
        <w:t>attori organizzativi di successo</w:t>
      </w:r>
      <w:bookmarkEnd w:id="4"/>
    </w:p>
    <w:p w14:paraId="688F78DD" w14:textId="73CE4A41" w:rsidR="001376B7" w:rsidRDefault="009E4190" w:rsidP="001376B7">
      <w:r>
        <w:t>Si racconta l’esperienza delle Amministrazioni che hanno adottato la buona pratica dal punto di vista dei fattori organizzativi che hanno maggiormente contribuito al successo nell’adozione ed i fattori che, al contrario, hanno rallentato (o fatto fallire) il processo di adozione.</w:t>
      </w:r>
      <w:r w:rsidR="005970ED">
        <w:t xml:space="preserve"> </w:t>
      </w:r>
    </w:p>
    <w:p w14:paraId="5A8EE23A" w14:textId="13A703E4" w:rsidR="00913D12" w:rsidRPr="00913D12" w:rsidRDefault="00FB7014" w:rsidP="00913D12">
      <w:pPr>
        <w:pStyle w:val="Standard"/>
        <w:spacing w:before="57"/>
        <w:jc w:val="both"/>
        <w:rPr>
          <w:rFonts w:asciiTheme="majorHAnsi" w:hAnsiTheme="majorHAnsi"/>
          <w:sz w:val="22"/>
          <w:szCs w:val="22"/>
        </w:rPr>
      </w:pPr>
      <w:hyperlink r:id="rId8" w:history="1">
        <w:r w:rsidR="00913D12" w:rsidRPr="00913D12">
          <w:rPr>
            <w:rFonts w:asciiTheme="majorHAnsi" w:hAnsiTheme="majorHAnsi"/>
            <w:sz w:val="22"/>
            <w:szCs w:val="22"/>
          </w:rPr>
          <w:t>P@doc</w:t>
        </w:r>
      </w:hyperlink>
      <w:r w:rsidR="00913D12" w:rsidRPr="00913D12">
        <w:rPr>
          <w:rFonts w:asciiTheme="majorHAnsi" w:hAnsiTheme="majorHAnsi"/>
          <w:sz w:val="22"/>
          <w:szCs w:val="22"/>
        </w:rPr>
        <w:t xml:space="preserve"> è un s</w:t>
      </w:r>
      <w:r w:rsidR="00913D12">
        <w:rPr>
          <w:rFonts w:asciiTheme="majorHAnsi" w:hAnsiTheme="majorHAnsi"/>
          <w:sz w:val="22"/>
          <w:szCs w:val="22"/>
        </w:rPr>
        <w:t>oftware</w:t>
      </w:r>
      <w:r w:rsidR="00913D12" w:rsidRPr="00913D12">
        <w:rPr>
          <w:rFonts w:asciiTheme="majorHAnsi" w:hAnsiTheme="majorHAnsi"/>
          <w:sz w:val="22"/>
          <w:szCs w:val="22"/>
        </w:rPr>
        <w:t xml:space="preserve"> che viene riusato da diversi Enti con caratteristiche diverse. Le prime esperienze di riuso risalgono al 2010 e negli anni seguenti l'attivazione di convenzioni per il riuso è proseguita con una media di circa 5 all'anno. Generalmente la buona pratica ha impattato con successo nella nuova organizzazione. L'insuccesso nell'impatto nella maggioranza dei casi è ascrivibile all'assenza di una struttura informatica di supporto per le attività di mantenimento e di supporto help desk per gli utenti in caso di malfunzionamento del sistema.</w:t>
      </w:r>
    </w:p>
    <w:p w14:paraId="3689B3BF" w14:textId="77777777" w:rsidR="00913D12" w:rsidRPr="00913D12" w:rsidRDefault="00913D12" w:rsidP="00913D12">
      <w:pPr>
        <w:pStyle w:val="Standard"/>
        <w:rPr>
          <w:rFonts w:asciiTheme="majorHAnsi" w:hAnsiTheme="majorHAnsi"/>
          <w:sz w:val="22"/>
          <w:szCs w:val="22"/>
        </w:rPr>
      </w:pPr>
      <w:r w:rsidRPr="00913D12">
        <w:rPr>
          <w:rFonts w:asciiTheme="majorHAnsi" w:hAnsiTheme="majorHAnsi"/>
          <w:sz w:val="22"/>
          <w:szCs w:val="22"/>
        </w:rPr>
        <w:t>Di seguito si riporta una schematizzazione delle esperienze di riuso effettuate dal 2010 al 2018.</w:t>
      </w:r>
    </w:p>
    <w:p w14:paraId="4810BADC" w14:textId="44DD7572" w:rsidR="00CD5B41" w:rsidRDefault="00CD5B41" w:rsidP="00CD5B41">
      <w:pPr>
        <w:pStyle w:val="Standard"/>
        <w:rPr>
          <w:rFonts w:hint="eastAsia"/>
        </w:rPr>
      </w:pPr>
    </w:p>
    <w:tbl>
      <w:tblPr>
        <w:tblStyle w:val="Tabellagriglia5scura-colore2"/>
        <w:tblW w:w="0" w:type="auto"/>
        <w:jc w:val="center"/>
        <w:tblLook w:val="04A0" w:firstRow="1" w:lastRow="0" w:firstColumn="1" w:lastColumn="0" w:noHBand="0" w:noVBand="1"/>
      </w:tblPr>
      <w:tblGrid>
        <w:gridCol w:w="1271"/>
        <w:gridCol w:w="992"/>
        <w:gridCol w:w="6087"/>
        <w:gridCol w:w="1278"/>
      </w:tblGrid>
      <w:tr w:rsidR="00CD5B41" w:rsidRPr="00B970E7" w14:paraId="31AA9C58" w14:textId="77777777" w:rsidTr="008B5AF5">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271" w:type="dxa"/>
            <w:shd w:val="clear" w:color="auto" w:fill="F7CAAC" w:themeFill="accent2" w:themeFillTint="66"/>
          </w:tcPr>
          <w:p w14:paraId="40B5762D" w14:textId="21A45633" w:rsidR="00CD5B41" w:rsidRPr="00B970E7" w:rsidRDefault="00CD5B41" w:rsidP="00CD5B41">
            <w:pPr>
              <w:keepNext/>
              <w:contextualSpacing/>
              <w:jc w:val="left"/>
            </w:pPr>
            <w:r>
              <w:rPr>
                <w:color w:val="auto"/>
              </w:rPr>
              <w:t>Tipologia Ente</w:t>
            </w:r>
          </w:p>
        </w:tc>
        <w:tc>
          <w:tcPr>
            <w:tcW w:w="992" w:type="dxa"/>
            <w:tcBorders>
              <w:right w:val="single" w:sz="4" w:space="0" w:color="FFFFFF" w:themeColor="background1"/>
            </w:tcBorders>
          </w:tcPr>
          <w:p w14:paraId="0C837657" w14:textId="56AF483E" w:rsidR="00CD5B41" w:rsidRPr="00C52043" w:rsidRDefault="00CD5B41" w:rsidP="00CD5B41">
            <w:pPr>
              <w:keepNext/>
              <w:contextualSpacing/>
              <w:jc w:val="center"/>
              <w:cnfStyle w:val="100000000000" w:firstRow="1" w:lastRow="0" w:firstColumn="0" w:lastColumn="0" w:oddVBand="0" w:evenVBand="0" w:oddHBand="0" w:evenHBand="0" w:firstRowFirstColumn="0" w:firstRowLastColumn="0" w:lastRowFirstColumn="0" w:lastRowLastColumn="0"/>
            </w:pPr>
            <w:r w:rsidRPr="00CD5B41">
              <w:rPr>
                <w:color w:val="auto"/>
              </w:rPr>
              <w:t>n. enti riusatori</w:t>
            </w:r>
          </w:p>
        </w:tc>
        <w:tc>
          <w:tcPr>
            <w:tcW w:w="6087" w:type="dxa"/>
            <w:tcBorders>
              <w:left w:val="single" w:sz="4" w:space="0" w:color="FFFFFF" w:themeColor="background1"/>
              <w:right w:val="single" w:sz="4" w:space="0" w:color="FFFFFF" w:themeColor="background1"/>
            </w:tcBorders>
          </w:tcPr>
          <w:p w14:paraId="10992A62" w14:textId="07A36578" w:rsidR="00CD5B41" w:rsidRPr="00CD5B41" w:rsidRDefault="00CD5B41" w:rsidP="000918DB">
            <w:pPr>
              <w:keepNext/>
              <w:contextualSpacing/>
              <w:cnfStyle w:val="100000000000" w:firstRow="1" w:lastRow="0" w:firstColumn="0" w:lastColumn="0" w:oddVBand="0" w:evenVBand="0" w:oddHBand="0" w:evenHBand="0" w:firstRowFirstColumn="0" w:firstRowLastColumn="0" w:lastRowFirstColumn="0" w:lastRowLastColumn="0"/>
              <w:rPr>
                <w:color w:val="auto"/>
              </w:rPr>
            </w:pPr>
            <w:r>
              <w:rPr>
                <w:color w:val="auto"/>
              </w:rPr>
              <w:t>Clusterizzazione/descrizione</w:t>
            </w:r>
          </w:p>
        </w:tc>
        <w:tc>
          <w:tcPr>
            <w:tcW w:w="1278" w:type="dxa"/>
            <w:tcBorders>
              <w:left w:val="single" w:sz="4" w:space="0" w:color="FFFFFF" w:themeColor="background1"/>
            </w:tcBorders>
          </w:tcPr>
          <w:p w14:paraId="57945BC5" w14:textId="5A392A8D" w:rsidR="00CD5B41" w:rsidRPr="00C52043" w:rsidRDefault="00CD5B41" w:rsidP="008B5AF5">
            <w:pPr>
              <w:keepNext/>
              <w:contextualSpacing/>
              <w:jc w:val="center"/>
              <w:cnfStyle w:val="100000000000" w:firstRow="1" w:lastRow="0" w:firstColumn="0" w:lastColumn="0" w:oddVBand="0" w:evenVBand="0" w:oddHBand="0" w:evenHBand="0" w:firstRowFirstColumn="0" w:firstRowLastColumn="0" w:lastRowFirstColumn="0" w:lastRowLastColumn="0"/>
            </w:pPr>
            <w:r w:rsidRPr="00CD5B41">
              <w:rPr>
                <w:color w:val="auto"/>
              </w:rPr>
              <w:t>Percentuale di successo</w:t>
            </w:r>
          </w:p>
        </w:tc>
      </w:tr>
      <w:tr w:rsidR="008B5AF5" w:rsidRPr="00B970E7" w14:paraId="51CCF31D" w14:textId="77777777" w:rsidTr="008B5AF5">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271" w:type="dxa"/>
          </w:tcPr>
          <w:p w14:paraId="793CAAF1" w14:textId="253B17D2" w:rsidR="008B5AF5" w:rsidRPr="00E470A9" w:rsidRDefault="008B5AF5" w:rsidP="008B5AF5">
            <w:pPr>
              <w:keepNext/>
              <w:contextualSpacing/>
              <w:jc w:val="left"/>
              <w:rPr>
                <w:b w:val="0"/>
                <w:bCs w:val="0"/>
                <w:color w:val="auto"/>
                <w:sz w:val="20"/>
                <w:szCs w:val="20"/>
              </w:rPr>
            </w:pPr>
            <w:r w:rsidRPr="00E470A9">
              <w:rPr>
                <w:b w:val="0"/>
                <w:bCs w:val="0"/>
                <w:color w:val="auto"/>
                <w:sz w:val="20"/>
                <w:szCs w:val="20"/>
              </w:rPr>
              <w:t>Province</w:t>
            </w:r>
          </w:p>
        </w:tc>
        <w:tc>
          <w:tcPr>
            <w:tcW w:w="992" w:type="dxa"/>
            <w:tcBorders>
              <w:bottom w:val="single" w:sz="4" w:space="0" w:color="FFFFFF" w:themeColor="background1"/>
            </w:tcBorders>
          </w:tcPr>
          <w:p w14:paraId="2776CAA0" w14:textId="757E8016" w:rsidR="008B5AF5" w:rsidRPr="00E470A9" w:rsidRDefault="008B5AF5" w:rsidP="008B5AF5">
            <w:pPr>
              <w:keepNext/>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1</w:t>
            </w:r>
          </w:p>
        </w:tc>
        <w:tc>
          <w:tcPr>
            <w:tcW w:w="6087" w:type="dxa"/>
            <w:tcBorders>
              <w:bottom w:val="single" w:sz="4" w:space="0" w:color="FFFFFF" w:themeColor="background1"/>
            </w:tcBorders>
          </w:tcPr>
          <w:p w14:paraId="7A0C5E80" w14:textId="533E3AB9" w:rsidR="008B5AF5" w:rsidRPr="00E470A9" w:rsidRDefault="008B5AF5" w:rsidP="008B5AF5">
            <w:pPr>
              <w:keepNext/>
              <w:contextualSpacing/>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Il dimensionamento e il tipo di struttura dell'Ente sono simili a quelle del Comune di Padova pertanto il sistema può essere adattato agevolmente con semplici equivalenze. È necessaria una struttura informatica di sostegno per le attività di mantenimento.</w:t>
            </w:r>
          </w:p>
        </w:tc>
        <w:tc>
          <w:tcPr>
            <w:tcW w:w="1278" w:type="dxa"/>
            <w:tcBorders>
              <w:bottom w:val="single" w:sz="4" w:space="0" w:color="FFFFFF" w:themeColor="background1"/>
            </w:tcBorders>
          </w:tcPr>
          <w:p w14:paraId="72AA246F" w14:textId="436D8CCE" w:rsidR="008B5AF5" w:rsidRPr="00E470A9" w:rsidRDefault="008B5AF5" w:rsidP="008B5AF5">
            <w:pPr>
              <w:keepNext/>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100%</w:t>
            </w:r>
          </w:p>
        </w:tc>
      </w:tr>
      <w:tr w:rsidR="008B5AF5" w:rsidRPr="00B970E7" w14:paraId="5B0B4971" w14:textId="77777777" w:rsidTr="008B5AF5">
        <w:trPr>
          <w:trHeight w:val="335"/>
          <w:jc w:val="center"/>
        </w:trPr>
        <w:tc>
          <w:tcPr>
            <w:cnfStyle w:val="001000000000" w:firstRow="0" w:lastRow="0" w:firstColumn="1" w:lastColumn="0" w:oddVBand="0" w:evenVBand="0" w:oddHBand="0" w:evenHBand="0" w:firstRowFirstColumn="0" w:firstRowLastColumn="0" w:lastRowFirstColumn="0" w:lastRowLastColumn="0"/>
            <w:tcW w:w="1271" w:type="dxa"/>
          </w:tcPr>
          <w:p w14:paraId="3E977315" w14:textId="1002DBD5" w:rsidR="008B5AF5" w:rsidRPr="00E470A9" w:rsidRDefault="008B5AF5" w:rsidP="008B5AF5">
            <w:pPr>
              <w:keepNext/>
              <w:contextualSpacing/>
              <w:jc w:val="left"/>
              <w:rPr>
                <w:b w:val="0"/>
                <w:bCs w:val="0"/>
                <w:color w:val="auto"/>
                <w:sz w:val="20"/>
                <w:szCs w:val="20"/>
              </w:rPr>
            </w:pPr>
            <w:r w:rsidRPr="00E470A9">
              <w:rPr>
                <w:b w:val="0"/>
                <w:bCs w:val="0"/>
                <w:color w:val="auto"/>
                <w:sz w:val="20"/>
                <w:szCs w:val="20"/>
              </w:rPr>
              <w:t>Comuni capoluogo</w:t>
            </w:r>
          </w:p>
        </w:tc>
        <w:tc>
          <w:tcPr>
            <w:tcW w:w="992" w:type="dxa"/>
            <w:tcBorders>
              <w:bottom w:val="single" w:sz="4" w:space="0" w:color="FFFFFF" w:themeColor="background1"/>
            </w:tcBorders>
          </w:tcPr>
          <w:p w14:paraId="5326B469" w14:textId="1104D3D7" w:rsidR="008B5AF5" w:rsidRPr="00E470A9" w:rsidRDefault="008B5AF5" w:rsidP="008B5AF5">
            <w:pPr>
              <w:keepNext/>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3</w:t>
            </w:r>
          </w:p>
        </w:tc>
        <w:tc>
          <w:tcPr>
            <w:tcW w:w="6087" w:type="dxa"/>
            <w:tcBorders>
              <w:bottom w:val="single" w:sz="4" w:space="0" w:color="FFFFFF" w:themeColor="background1"/>
            </w:tcBorders>
          </w:tcPr>
          <w:p w14:paraId="5138EC9F" w14:textId="4C1A8ED7" w:rsidR="008B5AF5" w:rsidRPr="00E470A9" w:rsidRDefault="008B5AF5" w:rsidP="008B5AF5">
            <w:pPr>
              <w:keepNext/>
              <w:contextualSpacing/>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 xml:space="preserve">Il dimensionamento e il tipo di struttura dell'Ente sono simili a quelle del Comune di Padova pertanto il sistema può essere adattato agevolmente con semplici equivalenze. </w:t>
            </w:r>
            <w:r w:rsidR="001A2825" w:rsidRPr="00E470A9">
              <w:rPr>
                <w:sz w:val="20"/>
                <w:szCs w:val="20"/>
              </w:rPr>
              <w:t>È</w:t>
            </w:r>
            <w:r w:rsidRPr="00E470A9">
              <w:rPr>
                <w:sz w:val="20"/>
                <w:szCs w:val="20"/>
              </w:rPr>
              <w:t xml:space="preserve"> necessaria una struttura informatica di sostegno per le attività di mantenimento.</w:t>
            </w:r>
          </w:p>
        </w:tc>
        <w:tc>
          <w:tcPr>
            <w:tcW w:w="1278" w:type="dxa"/>
            <w:tcBorders>
              <w:bottom w:val="single" w:sz="4" w:space="0" w:color="FFFFFF" w:themeColor="background1"/>
            </w:tcBorders>
          </w:tcPr>
          <w:p w14:paraId="59E4B8C1" w14:textId="5CBF89E2" w:rsidR="008B5AF5" w:rsidRPr="00E470A9" w:rsidRDefault="008B5AF5" w:rsidP="008B5AF5">
            <w:pPr>
              <w:keepNext/>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67%</w:t>
            </w:r>
          </w:p>
        </w:tc>
      </w:tr>
      <w:tr w:rsidR="008B5AF5" w:rsidRPr="00B970E7" w14:paraId="29AD04BE" w14:textId="77777777" w:rsidTr="008B5AF5">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271" w:type="dxa"/>
          </w:tcPr>
          <w:p w14:paraId="5B0D5B13" w14:textId="2C0EE461" w:rsidR="008B5AF5" w:rsidRPr="00E470A9" w:rsidRDefault="008B5AF5" w:rsidP="008B5AF5">
            <w:pPr>
              <w:keepNext/>
              <w:contextualSpacing/>
              <w:jc w:val="left"/>
              <w:rPr>
                <w:b w:val="0"/>
                <w:bCs w:val="0"/>
                <w:color w:val="auto"/>
                <w:sz w:val="20"/>
                <w:szCs w:val="20"/>
              </w:rPr>
            </w:pPr>
            <w:r w:rsidRPr="00E470A9">
              <w:rPr>
                <w:b w:val="0"/>
                <w:bCs w:val="0"/>
                <w:color w:val="auto"/>
                <w:kern w:val="3"/>
                <w:sz w:val="20"/>
                <w:szCs w:val="20"/>
              </w:rPr>
              <w:t>Comuni non capoluogo</w:t>
            </w:r>
          </w:p>
        </w:tc>
        <w:tc>
          <w:tcPr>
            <w:tcW w:w="992" w:type="dxa"/>
            <w:tcBorders>
              <w:bottom w:val="single" w:sz="4" w:space="0" w:color="FFFFFF" w:themeColor="background1"/>
            </w:tcBorders>
          </w:tcPr>
          <w:p w14:paraId="2A6BDEBE" w14:textId="013F9EB9" w:rsidR="008B5AF5" w:rsidRPr="00E470A9" w:rsidRDefault="008B5AF5" w:rsidP="008B5AF5">
            <w:pPr>
              <w:keepNext/>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13</w:t>
            </w:r>
          </w:p>
        </w:tc>
        <w:tc>
          <w:tcPr>
            <w:tcW w:w="6087" w:type="dxa"/>
            <w:tcBorders>
              <w:bottom w:val="single" w:sz="4" w:space="0" w:color="FFFFFF" w:themeColor="background1"/>
            </w:tcBorders>
          </w:tcPr>
          <w:p w14:paraId="4CE07EC6" w14:textId="7B832107" w:rsidR="008B5AF5" w:rsidRPr="00E470A9" w:rsidRDefault="008B5AF5" w:rsidP="008B5AF5">
            <w:pPr>
              <w:keepNext/>
              <w:contextualSpacing/>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 xml:space="preserve">Il tipo di struttura dell'Ente è simile a quello del Comune di Padova, il dimensionamento è inferiore; il sistema può essere adattato senza problemi ma necessita di alcune semplificazioni per una gestione che si adatti alla minore complessità della struttura. </w:t>
            </w:r>
            <w:r w:rsidR="001A2825" w:rsidRPr="00E470A9">
              <w:rPr>
                <w:sz w:val="20"/>
                <w:szCs w:val="20"/>
              </w:rPr>
              <w:t>È</w:t>
            </w:r>
            <w:r w:rsidRPr="00E470A9">
              <w:rPr>
                <w:sz w:val="20"/>
                <w:szCs w:val="20"/>
              </w:rPr>
              <w:t xml:space="preserve"> necessaria una struttura informatica di sostegno per le attività di mantenimento.</w:t>
            </w:r>
          </w:p>
        </w:tc>
        <w:tc>
          <w:tcPr>
            <w:tcW w:w="1278" w:type="dxa"/>
            <w:tcBorders>
              <w:bottom w:val="single" w:sz="4" w:space="0" w:color="FFFFFF" w:themeColor="background1"/>
            </w:tcBorders>
          </w:tcPr>
          <w:p w14:paraId="6977D83A" w14:textId="3B199525" w:rsidR="008B5AF5" w:rsidRPr="00E470A9" w:rsidRDefault="008B5AF5" w:rsidP="008B5AF5">
            <w:pPr>
              <w:keepNext/>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93%</w:t>
            </w:r>
          </w:p>
        </w:tc>
      </w:tr>
      <w:tr w:rsidR="008B5AF5" w:rsidRPr="00B970E7" w14:paraId="7DDD8F50" w14:textId="77777777" w:rsidTr="008B5AF5">
        <w:trPr>
          <w:trHeight w:val="335"/>
          <w:jc w:val="center"/>
        </w:trPr>
        <w:tc>
          <w:tcPr>
            <w:cnfStyle w:val="001000000000" w:firstRow="0" w:lastRow="0" w:firstColumn="1" w:lastColumn="0" w:oddVBand="0" w:evenVBand="0" w:oddHBand="0" w:evenHBand="0" w:firstRowFirstColumn="0" w:firstRowLastColumn="0" w:lastRowFirstColumn="0" w:lastRowLastColumn="0"/>
            <w:tcW w:w="1271" w:type="dxa"/>
          </w:tcPr>
          <w:p w14:paraId="35527C1B" w14:textId="77777777" w:rsidR="008B5AF5" w:rsidRPr="00E470A9" w:rsidRDefault="008B5AF5" w:rsidP="008B5AF5">
            <w:pPr>
              <w:pStyle w:val="TitleandContentLTGliederung1"/>
              <w:spacing w:before="80"/>
              <w:rPr>
                <w:rFonts w:asciiTheme="majorHAnsi" w:hAnsiTheme="majorHAnsi"/>
                <w:b w:val="0"/>
                <w:bCs w:val="0"/>
                <w:color w:val="auto"/>
                <w:sz w:val="20"/>
                <w:szCs w:val="20"/>
              </w:rPr>
            </w:pPr>
            <w:r w:rsidRPr="00E470A9">
              <w:rPr>
                <w:rFonts w:asciiTheme="majorHAnsi" w:hAnsiTheme="majorHAnsi"/>
                <w:b w:val="0"/>
                <w:bCs w:val="0"/>
                <w:color w:val="auto"/>
                <w:sz w:val="20"/>
                <w:szCs w:val="20"/>
              </w:rPr>
              <w:t>Unioni di Comuni/</w:t>
            </w:r>
          </w:p>
          <w:p w14:paraId="6D9BB2C7" w14:textId="386FDB3F" w:rsidR="008B5AF5" w:rsidRPr="00E470A9" w:rsidRDefault="008B5AF5" w:rsidP="008B5AF5">
            <w:pPr>
              <w:keepNext/>
              <w:contextualSpacing/>
              <w:jc w:val="left"/>
              <w:rPr>
                <w:b w:val="0"/>
                <w:bCs w:val="0"/>
                <w:color w:val="auto"/>
                <w:sz w:val="20"/>
                <w:szCs w:val="20"/>
              </w:rPr>
            </w:pPr>
            <w:r w:rsidRPr="00E470A9">
              <w:rPr>
                <w:b w:val="0"/>
                <w:bCs w:val="0"/>
                <w:color w:val="auto"/>
                <w:kern w:val="3"/>
                <w:sz w:val="20"/>
                <w:szCs w:val="20"/>
              </w:rPr>
              <w:t>Comunità montane</w:t>
            </w:r>
          </w:p>
        </w:tc>
        <w:tc>
          <w:tcPr>
            <w:tcW w:w="992" w:type="dxa"/>
          </w:tcPr>
          <w:p w14:paraId="0926809F" w14:textId="00B8DADB" w:rsidR="008B5AF5" w:rsidRPr="00E470A9" w:rsidRDefault="008B5AF5" w:rsidP="008B5AF5">
            <w:pPr>
              <w:keepNext/>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7</w:t>
            </w:r>
          </w:p>
        </w:tc>
        <w:tc>
          <w:tcPr>
            <w:tcW w:w="6087" w:type="dxa"/>
          </w:tcPr>
          <w:p w14:paraId="0D0D27CD" w14:textId="77777777" w:rsidR="008B5AF5" w:rsidRPr="00E470A9" w:rsidRDefault="008B5AF5" w:rsidP="008B5AF5">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E470A9">
              <w:rPr>
                <w:rFonts w:asciiTheme="majorHAnsi" w:hAnsiTheme="majorHAnsi"/>
                <w:sz w:val="20"/>
                <w:szCs w:val="20"/>
              </w:rPr>
              <w:t>Il tipo di struttura dell'Ente è solo parzialmente simile a quello del Comune di Padova; si tratta di strutture maggiormente complesse pur se con un dimensionamento inferiore; il sistema può essere adattato senza problemi ma è necessario effettuare una analisi di fattibilità ed alcune semplificazioni per una gestione che si adatti alla struttura.</w:t>
            </w:r>
          </w:p>
          <w:p w14:paraId="67EDD058" w14:textId="22BE2DF1" w:rsidR="008B5AF5" w:rsidRPr="00E470A9" w:rsidRDefault="008B5AF5" w:rsidP="008B5AF5">
            <w:pPr>
              <w:keepNext/>
              <w:contextualSpacing/>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È necessaria una struttura informatica di sostegno per le attività di mantenimento.</w:t>
            </w:r>
          </w:p>
        </w:tc>
        <w:tc>
          <w:tcPr>
            <w:tcW w:w="1278" w:type="dxa"/>
          </w:tcPr>
          <w:p w14:paraId="1942B176" w14:textId="5F7B7173" w:rsidR="008B5AF5" w:rsidRPr="00E470A9" w:rsidRDefault="008B5AF5" w:rsidP="008B5AF5">
            <w:pPr>
              <w:keepNext/>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100%</w:t>
            </w:r>
          </w:p>
        </w:tc>
      </w:tr>
      <w:tr w:rsidR="008B5AF5" w:rsidRPr="00B970E7" w14:paraId="283F98D9" w14:textId="77777777" w:rsidTr="008B5AF5">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271" w:type="dxa"/>
          </w:tcPr>
          <w:p w14:paraId="37CFF104" w14:textId="07BD28E8" w:rsidR="008B5AF5" w:rsidRPr="00E470A9" w:rsidRDefault="008B5AF5" w:rsidP="008B5AF5">
            <w:pPr>
              <w:keepNext/>
              <w:contextualSpacing/>
              <w:jc w:val="left"/>
              <w:rPr>
                <w:b w:val="0"/>
                <w:bCs w:val="0"/>
                <w:color w:val="auto"/>
                <w:sz w:val="20"/>
                <w:szCs w:val="20"/>
              </w:rPr>
            </w:pPr>
            <w:r w:rsidRPr="00E470A9">
              <w:rPr>
                <w:b w:val="0"/>
                <w:bCs w:val="0"/>
                <w:color w:val="auto"/>
                <w:kern w:val="3"/>
                <w:sz w:val="20"/>
                <w:szCs w:val="20"/>
              </w:rPr>
              <w:lastRenderedPageBreak/>
              <w:t>Uffici statali</w:t>
            </w:r>
          </w:p>
        </w:tc>
        <w:tc>
          <w:tcPr>
            <w:tcW w:w="992" w:type="dxa"/>
            <w:tcBorders>
              <w:bottom w:val="single" w:sz="4" w:space="0" w:color="FFFFFF" w:themeColor="background1"/>
            </w:tcBorders>
          </w:tcPr>
          <w:p w14:paraId="3F5DF128" w14:textId="4EB0A726" w:rsidR="008B5AF5" w:rsidRPr="00E470A9" w:rsidRDefault="008B5AF5" w:rsidP="008B5AF5">
            <w:pPr>
              <w:keepNext/>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3</w:t>
            </w:r>
          </w:p>
        </w:tc>
        <w:tc>
          <w:tcPr>
            <w:tcW w:w="6087" w:type="dxa"/>
            <w:tcBorders>
              <w:bottom w:val="single" w:sz="4" w:space="0" w:color="FFFFFF" w:themeColor="background1"/>
            </w:tcBorders>
          </w:tcPr>
          <w:p w14:paraId="7A81B3BD" w14:textId="77777777" w:rsidR="008B5AF5" w:rsidRPr="00E470A9" w:rsidRDefault="008B5AF5" w:rsidP="008B5AF5">
            <w:pPr>
              <w:pStyle w:val="TableContents"/>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E470A9">
              <w:rPr>
                <w:rFonts w:asciiTheme="majorHAnsi" w:hAnsiTheme="majorHAnsi"/>
                <w:sz w:val="20"/>
                <w:szCs w:val="20"/>
              </w:rPr>
              <w:t>Il tipo di struttura dell'Ente differisce sostanzialmente da quello del Comune di Padova; il sistema può essere adattato ma è necessario effettuare una analisi di fattibilità ed effettuare alcune valutazioni di carattere organizzativo per una gestione che si adatti alla struttura.</w:t>
            </w:r>
          </w:p>
          <w:p w14:paraId="303369DC" w14:textId="00B56E0A" w:rsidR="008B5AF5" w:rsidRPr="00E470A9" w:rsidRDefault="008B5AF5" w:rsidP="008B5AF5">
            <w:pPr>
              <w:keepNext/>
              <w:contextualSpacing/>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È necessaria una struttura informatica di sostegno per le attività di mantenimento.</w:t>
            </w:r>
          </w:p>
        </w:tc>
        <w:tc>
          <w:tcPr>
            <w:tcW w:w="1278" w:type="dxa"/>
            <w:tcBorders>
              <w:bottom w:val="single" w:sz="4" w:space="0" w:color="FFFFFF" w:themeColor="background1"/>
            </w:tcBorders>
          </w:tcPr>
          <w:p w14:paraId="1ADE9BF1" w14:textId="1DBC2DC8" w:rsidR="008B5AF5" w:rsidRPr="00E470A9" w:rsidRDefault="008B5AF5" w:rsidP="008B5AF5">
            <w:pPr>
              <w:keepNext/>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67%</w:t>
            </w:r>
          </w:p>
        </w:tc>
      </w:tr>
      <w:tr w:rsidR="008B5AF5" w:rsidRPr="00B970E7" w14:paraId="08D56060" w14:textId="77777777" w:rsidTr="008B5AF5">
        <w:trPr>
          <w:trHeight w:val="335"/>
          <w:jc w:val="center"/>
        </w:trPr>
        <w:tc>
          <w:tcPr>
            <w:cnfStyle w:val="001000000000" w:firstRow="0" w:lastRow="0" w:firstColumn="1" w:lastColumn="0" w:oddVBand="0" w:evenVBand="0" w:oddHBand="0" w:evenHBand="0" w:firstRowFirstColumn="0" w:firstRowLastColumn="0" w:lastRowFirstColumn="0" w:lastRowLastColumn="0"/>
            <w:tcW w:w="1271" w:type="dxa"/>
          </w:tcPr>
          <w:p w14:paraId="17D6D5E5" w14:textId="77777777" w:rsidR="008B5AF5" w:rsidRPr="00E470A9" w:rsidRDefault="008B5AF5" w:rsidP="008B5AF5">
            <w:pPr>
              <w:pStyle w:val="TitleandContentLTGliederung1"/>
              <w:spacing w:before="80"/>
              <w:rPr>
                <w:rFonts w:asciiTheme="majorHAnsi" w:hAnsiTheme="majorHAnsi"/>
                <w:b w:val="0"/>
                <w:bCs w:val="0"/>
                <w:sz w:val="20"/>
                <w:szCs w:val="20"/>
              </w:rPr>
            </w:pPr>
            <w:r w:rsidRPr="00E470A9">
              <w:rPr>
                <w:rFonts w:asciiTheme="majorHAnsi" w:hAnsiTheme="majorHAnsi"/>
                <w:b w:val="0"/>
                <w:bCs w:val="0"/>
                <w:sz w:val="20"/>
                <w:szCs w:val="20"/>
              </w:rPr>
              <w:t>Collegi/</w:t>
            </w:r>
          </w:p>
          <w:p w14:paraId="2AD78C1C" w14:textId="27D86EA9" w:rsidR="008B5AF5" w:rsidRPr="00E470A9" w:rsidRDefault="008B5AF5" w:rsidP="008B5AF5">
            <w:pPr>
              <w:keepNext/>
              <w:contextualSpacing/>
              <w:jc w:val="left"/>
              <w:rPr>
                <w:b w:val="0"/>
                <w:bCs w:val="0"/>
                <w:sz w:val="20"/>
                <w:szCs w:val="20"/>
              </w:rPr>
            </w:pPr>
            <w:r w:rsidRPr="00E470A9">
              <w:rPr>
                <w:b w:val="0"/>
                <w:bCs w:val="0"/>
                <w:color w:val="000000"/>
                <w:kern w:val="3"/>
                <w:sz w:val="20"/>
                <w:szCs w:val="20"/>
              </w:rPr>
              <w:t>Consorzi</w:t>
            </w:r>
          </w:p>
        </w:tc>
        <w:tc>
          <w:tcPr>
            <w:tcW w:w="992" w:type="dxa"/>
          </w:tcPr>
          <w:p w14:paraId="2A26C865" w14:textId="6A094CDB" w:rsidR="008B5AF5" w:rsidRPr="00E470A9" w:rsidRDefault="008B5AF5" w:rsidP="008B5AF5">
            <w:pPr>
              <w:keepNext/>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4</w:t>
            </w:r>
          </w:p>
        </w:tc>
        <w:tc>
          <w:tcPr>
            <w:tcW w:w="6087" w:type="dxa"/>
          </w:tcPr>
          <w:p w14:paraId="18621028" w14:textId="77777777" w:rsidR="008B5AF5" w:rsidRPr="00E470A9" w:rsidRDefault="008B5AF5" w:rsidP="008B5AF5">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E470A9">
              <w:rPr>
                <w:rFonts w:asciiTheme="majorHAnsi" w:hAnsiTheme="majorHAnsi"/>
                <w:sz w:val="20"/>
                <w:szCs w:val="20"/>
              </w:rPr>
              <w:t>Il tipo di struttura dell'Ente differisce sostanzialmente da quello del Comune di Padova; il sistema può essere adattato ma è necessario effettuare una analisi di fattibilità ed effettuare alcune valutazioni di carattere organizzativo per una gestione che si adatti alla struttura.</w:t>
            </w:r>
          </w:p>
          <w:p w14:paraId="6A3359F8" w14:textId="1F40D428" w:rsidR="008B5AF5" w:rsidRPr="00E470A9" w:rsidRDefault="008B5AF5" w:rsidP="008B5AF5">
            <w:pPr>
              <w:keepNext/>
              <w:contextualSpacing/>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È necessaria una struttura informatica di sostegno per le attività di mantenimento.</w:t>
            </w:r>
          </w:p>
        </w:tc>
        <w:tc>
          <w:tcPr>
            <w:tcW w:w="1278" w:type="dxa"/>
          </w:tcPr>
          <w:p w14:paraId="53BB3F0C" w14:textId="573525CD" w:rsidR="008B5AF5" w:rsidRPr="00E470A9" w:rsidRDefault="008B5AF5" w:rsidP="008B5AF5">
            <w:pPr>
              <w:keepNext/>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100%</w:t>
            </w:r>
          </w:p>
        </w:tc>
      </w:tr>
      <w:tr w:rsidR="008B5AF5" w:rsidRPr="00B970E7" w14:paraId="75A013D1" w14:textId="77777777" w:rsidTr="008B5AF5">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271" w:type="dxa"/>
          </w:tcPr>
          <w:p w14:paraId="351A1346" w14:textId="77777777" w:rsidR="008B5AF5" w:rsidRPr="00E470A9" w:rsidRDefault="008B5AF5" w:rsidP="008B5AF5">
            <w:pPr>
              <w:pStyle w:val="TitleandContentLTGliederung1"/>
              <w:spacing w:before="80"/>
              <w:rPr>
                <w:rFonts w:asciiTheme="majorHAnsi" w:hAnsiTheme="majorHAnsi"/>
                <w:b w:val="0"/>
                <w:bCs w:val="0"/>
                <w:sz w:val="20"/>
                <w:szCs w:val="20"/>
              </w:rPr>
            </w:pPr>
            <w:r w:rsidRPr="00E470A9">
              <w:rPr>
                <w:rFonts w:asciiTheme="majorHAnsi" w:hAnsiTheme="majorHAnsi"/>
                <w:b w:val="0"/>
                <w:bCs w:val="0"/>
                <w:sz w:val="20"/>
                <w:szCs w:val="20"/>
              </w:rPr>
              <w:t>Autorità di Bacino/</w:t>
            </w:r>
          </w:p>
          <w:p w14:paraId="744EA6D7" w14:textId="44624204" w:rsidR="008B5AF5" w:rsidRPr="00E470A9" w:rsidRDefault="008B5AF5" w:rsidP="008B5AF5">
            <w:pPr>
              <w:keepNext/>
              <w:contextualSpacing/>
              <w:jc w:val="left"/>
              <w:rPr>
                <w:b w:val="0"/>
                <w:bCs w:val="0"/>
                <w:sz w:val="20"/>
                <w:szCs w:val="20"/>
              </w:rPr>
            </w:pPr>
            <w:r w:rsidRPr="00E470A9">
              <w:rPr>
                <w:b w:val="0"/>
                <w:bCs w:val="0"/>
                <w:color w:val="000000"/>
                <w:kern w:val="3"/>
                <w:sz w:val="20"/>
                <w:szCs w:val="20"/>
              </w:rPr>
              <w:t>Portuali</w:t>
            </w:r>
          </w:p>
        </w:tc>
        <w:tc>
          <w:tcPr>
            <w:tcW w:w="992" w:type="dxa"/>
            <w:tcBorders>
              <w:bottom w:val="single" w:sz="4" w:space="0" w:color="FFFFFF" w:themeColor="background1"/>
            </w:tcBorders>
          </w:tcPr>
          <w:p w14:paraId="08637707" w14:textId="01D65C4F" w:rsidR="008B5AF5" w:rsidRPr="00E470A9" w:rsidRDefault="008B5AF5" w:rsidP="008B5AF5">
            <w:pPr>
              <w:keepNext/>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3</w:t>
            </w:r>
          </w:p>
        </w:tc>
        <w:tc>
          <w:tcPr>
            <w:tcW w:w="6087" w:type="dxa"/>
            <w:tcBorders>
              <w:bottom w:val="single" w:sz="4" w:space="0" w:color="FFFFFF" w:themeColor="background1"/>
            </w:tcBorders>
          </w:tcPr>
          <w:p w14:paraId="346B1D5F" w14:textId="77777777" w:rsidR="008B5AF5" w:rsidRPr="00E470A9" w:rsidRDefault="008B5AF5" w:rsidP="008B5AF5">
            <w:pPr>
              <w:pStyle w:val="TableContents"/>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E470A9">
              <w:rPr>
                <w:rFonts w:asciiTheme="majorHAnsi" w:hAnsiTheme="majorHAnsi"/>
                <w:sz w:val="20"/>
                <w:szCs w:val="20"/>
              </w:rPr>
              <w:t>Il tipo di struttura dell'Ente differisce sostanzialmente da quello del Comune di Padova; il sistema può essere adattato ma è necessario effettuare una analisi di fattibilità ed effettuare alcune valutazioni di carattere organizzativo per una gestione che si adatti alla struttura.</w:t>
            </w:r>
          </w:p>
          <w:p w14:paraId="6AD9F0D4" w14:textId="4A40D5CD" w:rsidR="008B5AF5" w:rsidRPr="00E470A9" w:rsidRDefault="008B5AF5" w:rsidP="008B5AF5">
            <w:pPr>
              <w:keepNext/>
              <w:contextualSpacing/>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È necessaria una struttura informatica di sostegno per le attività di mantenimento.</w:t>
            </w:r>
          </w:p>
        </w:tc>
        <w:tc>
          <w:tcPr>
            <w:tcW w:w="1278" w:type="dxa"/>
            <w:tcBorders>
              <w:bottom w:val="single" w:sz="4" w:space="0" w:color="FFFFFF" w:themeColor="background1"/>
            </w:tcBorders>
          </w:tcPr>
          <w:p w14:paraId="45F8D214" w14:textId="2CF802A4" w:rsidR="008B5AF5" w:rsidRPr="00E470A9" w:rsidRDefault="008B5AF5" w:rsidP="008B5AF5">
            <w:pPr>
              <w:keepNext/>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67%</w:t>
            </w:r>
          </w:p>
        </w:tc>
      </w:tr>
      <w:tr w:rsidR="008B5AF5" w:rsidRPr="00B970E7" w14:paraId="4EA69BCD" w14:textId="77777777" w:rsidTr="008B5AF5">
        <w:trPr>
          <w:trHeight w:val="335"/>
          <w:jc w:val="center"/>
        </w:trPr>
        <w:tc>
          <w:tcPr>
            <w:cnfStyle w:val="001000000000" w:firstRow="0" w:lastRow="0" w:firstColumn="1" w:lastColumn="0" w:oddVBand="0" w:evenVBand="0" w:oddHBand="0" w:evenHBand="0" w:firstRowFirstColumn="0" w:firstRowLastColumn="0" w:lastRowFirstColumn="0" w:lastRowLastColumn="0"/>
            <w:tcW w:w="1271" w:type="dxa"/>
          </w:tcPr>
          <w:p w14:paraId="78FFF732" w14:textId="088B6847" w:rsidR="008B5AF5" w:rsidRPr="00E470A9" w:rsidRDefault="008B5AF5" w:rsidP="008B5AF5">
            <w:pPr>
              <w:keepNext/>
              <w:contextualSpacing/>
              <w:jc w:val="left"/>
              <w:rPr>
                <w:b w:val="0"/>
                <w:bCs w:val="0"/>
                <w:sz w:val="20"/>
                <w:szCs w:val="20"/>
              </w:rPr>
            </w:pPr>
            <w:r w:rsidRPr="00E470A9">
              <w:rPr>
                <w:b w:val="0"/>
                <w:bCs w:val="0"/>
                <w:color w:val="000000"/>
                <w:kern w:val="3"/>
                <w:sz w:val="20"/>
                <w:szCs w:val="20"/>
              </w:rPr>
              <w:t>Altri Enti</w:t>
            </w:r>
          </w:p>
        </w:tc>
        <w:tc>
          <w:tcPr>
            <w:tcW w:w="992" w:type="dxa"/>
            <w:tcBorders>
              <w:bottom w:val="single" w:sz="4" w:space="0" w:color="FFFFFF" w:themeColor="background1"/>
            </w:tcBorders>
          </w:tcPr>
          <w:p w14:paraId="0EBB3E64" w14:textId="179FE1A6" w:rsidR="008B5AF5" w:rsidRPr="00E470A9" w:rsidRDefault="008B5AF5" w:rsidP="008B5AF5">
            <w:pPr>
              <w:keepNext/>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7</w:t>
            </w:r>
          </w:p>
        </w:tc>
        <w:tc>
          <w:tcPr>
            <w:tcW w:w="6087" w:type="dxa"/>
            <w:tcBorders>
              <w:bottom w:val="single" w:sz="4" w:space="0" w:color="FFFFFF" w:themeColor="background1"/>
            </w:tcBorders>
          </w:tcPr>
          <w:p w14:paraId="560ED004" w14:textId="77777777" w:rsidR="008B5AF5" w:rsidRPr="00E470A9" w:rsidRDefault="008B5AF5" w:rsidP="008B5AF5">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E470A9">
              <w:rPr>
                <w:rFonts w:asciiTheme="majorHAnsi" w:hAnsiTheme="majorHAnsi"/>
                <w:sz w:val="20"/>
                <w:szCs w:val="20"/>
              </w:rPr>
              <w:t>Il tipo di struttura dell'Ente differisce sostanzialmente da quello del Comune di Padova; il sistema può essere adattato ma è necessario effettuare una analisi di fattibilità ed effettuare alcune valutazioni di carattere organizzativo per una gestione che si adatti alla struttura.</w:t>
            </w:r>
          </w:p>
          <w:p w14:paraId="4055344E" w14:textId="10E9D36E" w:rsidR="008B5AF5" w:rsidRPr="00E470A9" w:rsidRDefault="008B5AF5" w:rsidP="008B5AF5">
            <w:pPr>
              <w:keepNext/>
              <w:contextualSpacing/>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È necessaria una struttura informatica di sostegno per le attività di mantenimento.</w:t>
            </w:r>
          </w:p>
        </w:tc>
        <w:tc>
          <w:tcPr>
            <w:tcW w:w="1278" w:type="dxa"/>
            <w:tcBorders>
              <w:bottom w:val="single" w:sz="4" w:space="0" w:color="FFFFFF" w:themeColor="background1"/>
            </w:tcBorders>
          </w:tcPr>
          <w:p w14:paraId="1FC47419" w14:textId="418A06E6" w:rsidR="008B5AF5" w:rsidRPr="00E470A9" w:rsidRDefault="008B5AF5" w:rsidP="008B5AF5">
            <w:pPr>
              <w:keepNext/>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86%</w:t>
            </w:r>
          </w:p>
        </w:tc>
      </w:tr>
    </w:tbl>
    <w:p w14:paraId="63F5F991" w14:textId="77777777" w:rsidR="00B56201" w:rsidRDefault="00B56201" w:rsidP="00E470A9">
      <w:pPr>
        <w:pStyle w:val="Didascalia"/>
        <w:keepNext/>
        <w:ind w:left="360"/>
        <w:contextualSpacing/>
        <w:jc w:val="center"/>
      </w:pPr>
    </w:p>
    <w:p w14:paraId="2740D7D2" w14:textId="332D17C7" w:rsidR="00E470A9" w:rsidRDefault="00E470A9" w:rsidP="00E470A9">
      <w:pPr>
        <w:pStyle w:val="Didascalia"/>
        <w:keepNext/>
        <w:ind w:left="360"/>
        <w:contextualSpacing/>
        <w:jc w:val="center"/>
      </w:pPr>
      <w:r>
        <w:t xml:space="preserve">Tabella </w:t>
      </w:r>
      <w:r>
        <w:rPr>
          <w:noProof/>
        </w:rPr>
        <w:t>1</w:t>
      </w:r>
      <w:r>
        <w:t xml:space="preserve"> – Schematizzazione esperienze di riuso</w:t>
      </w:r>
    </w:p>
    <w:p w14:paraId="678C29AB" w14:textId="71403D2C" w:rsidR="00CD5B41" w:rsidRDefault="00CD5B41" w:rsidP="00CD5B41">
      <w:pPr>
        <w:spacing w:after="0"/>
      </w:pPr>
    </w:p>
    <w:p w14:paraId="4877B37A" w14:textId="6E742C6E" w:rsidR="00B56201" w:rsidRDefault="00B56201" w:rsidP="00CD5B41">
      <w:pPr>
        <w:spacing w:after="0"/>
      </w:pPr>
    </w:p>
    <w:p w14:paraId="79D9625B" w14:textId="239F3A91" w:rsidR="00B56201" w:rsidRDefault="00B56201" w:rsidP="00CD5B41">
      <w:pPr>
        <w:spacing w:after="0"/>
      </w:pPr>
    </w:p>
    <w:p w14:paraId="2E9689BE" w14:textId="602F1949" w:rsidR="00B56201" w:rsidRDefault="00B56201" w:rsidP="00CD5B41">
      <w:pPr>
        <w:spacing w:after="0"/>
      </w:pPr>
    </w:p>
    <w:p w14:paraId="09E9E881" w14:textId="6D894E50" w:rsidR="00B56201" w:rsidRDefault="00B56201" w:rsidP="00CD5B41">
      <w:pPr>
        <w:spacing w:after="0"/>
      </w:pPr>
    </w:p>
    <w:p w14:paraId="478E4EC5" w14:textId="3970B136" w:rsidR="00B56201" w:rsidRDefault="00B56201" w:rsidP="00CD5B41">
      <w:pPr>
        <w:spacing w:after="0"/>
      </w:pPr>
    </w:p>
    <w:p w14:paraId="334B2FB2" w14:textId="667199A7" w:rsidR="00B56201" w:rsidRDefault="00B56201" w:rsidP="00CD5B41">
      <w:pPr>
        <w:spacing w:after="0"/>
      </w:pPr>
    </w:p>
    <w:p w14:paraId="2F207B47" w14:textId="0C2623F2" w:rsidR="00B56201" w:rsidRDefault="00B56201" w:rsidP="00CD5B41">
      <w:pPr>
        <w:spacing w:after="0"/>
      </w:pPr>
    </w:p>
    <w:p w14:paraId="2E3DA387" w14:textId="0DB736C1" w:rsidR="00B56201" w:rsidRDefault="00B56201" w:rsidP="00CD5B41">
      <w:pPr>
        <w:spacing w:after="0"/>
      </w:pPr>
    </w:p>
    <w:p w14:paraId="48BC533E" w14:textId="7BD25626" w:rsidR="00B56201" w:rsidRDefault="00B56201" w:rsidP="00CD5B41">
      <w:pPr>
        <w:spacing w:after="0"/>
      </w:pPr>
    </w:p>
    <w:p w14:paraId="4F3FEDD5" w14:textId="6293F24C" w:rsidR="00B56201" w:rsidRDefault="00B56201" w:rsidP="00CD5B41">
      <w:pPr>
        <w:spacing w:after="0"/>
      </w:pPr>
    </w:p>
    <w:p w14:paraId="60C3395B" w14:textId="3C7C398A" w:rsidR="00B56201" w:rsidRDefault="00B56201" w:rsidP="00CD5B41">
      <w:pPr>
        <w:spacing w:after="0"/>
      </w:pPr>
    </w:p>
    <w:p w14:paraId="04B8490A" w14:textId="2CD6B94F" w:rsidR="00B56201" w:rsidRDefault="00B56201" w:rsidP="00CD5B41">
      <w:pPr>
        <w:spacing w:after="0"/>
      </w:pPr>
    </w:p>
    <w:p w14:paraId="448FD9C6" w14:textId="5DA2651B" w:rsidR="00B56201" w:rsidRDefault="00B56201" w:rsidP="00CD5B41">
      <w:pPr>
        <w:spacing w:after="0"/>
      </w:pPr>
    </w:p>
    <w:p w14:paraId="3A0DB764" w14:textId="3B415776" w:rsidR="00B56201" w:rsidRDefault="00B56201" w:rsidP="00CD5B41">
      <w:pPr>
        <w:spacing w:after="0"/>
      </w:pPr>
    </w:p>
    <w:p w14:paraId="54C5256E" w14:textId="2A39C574" w:rsidR="00B56201" w:rsidRDefault="00B56201" w:rsidP="00CD5B41">
      <w:pPr>
        <w:spacing w:after="0"/>
      </w:pPr>
    </w:p>
    <w:p w14:paraId="0558BA7A" w14:textId="37F68ACD" w:rsidR="00B56201" w:rsidRDefault="00B56201" w:rsidP="00CD5B41">
      <w:pPr>
        <w:spacing w:after="0"/>
      </w:pPr>
    </w:p>
    <w:p w14:paraId="0837A1F5" w14:textId="594CF26B" w:rsidR="00B56201" w:rsidRDefault="00B56201" w:rsidP="00CD5B41">
      <w:pPr>
        <w:spacing w:after="0"/>
      </w:pPr>
    </w:p>
    <w:p w14:paraId="77FCD879" w14:textId="77777777" w:rsidR="00B56201" w:rsidRPr="00CD5B41" w:rsidRDefault="00B56201" w:rsidP="00CD5B41">
      <w:pPr>
        <w:spacing w:after="0"/>
        <w:rPr>
          <w:vanish/>
        </w:rPr>
      </w:pPr>
    </w:p>
    <w:p w14:paraId="4C0382BE" w14:textId="77777777" w:rsidR="00913D12" w:rsidRPr="001376B7" w:rsidRDefault="00913D12" w:rsidP="001376B7"/>
    <w:p w14:paraId="631CB297" w14:textId="5B307BB3" w:rsidR="000A16A9" w:rsidRDefault="005970ED" w:rsidP="001376B7">
      <w:pPr>
        <w:pStyle w:val="Titolo3"/>
      </w:pPr>
      <w:bookmarkStart w:id="5" w:name="_Toc14251101"/>
      <w:r>
        <w:lastRenderedPageBreak/>
        <w:t>Fa</w:t>
      </w:r>
      <w:r w:rsidR="009E4190">
        <w:t>ttori organizzativi critici</w:t>
      </w:r>
      <w:bookmarkEnd w:id="5"/>
    </w:p>
    <w:p w14:paraId="515CAD89" w14:textId="74B1BAA8" w:rsidR="001848FE" w:rsidRDefault="00E80BBA" w:rsidP="001848FE">
      <w:bookmarkStart w:id="6" w:name="_Hlk531093388"/>
      <w:r>
        <w:t xml:space="preserve">Sono di seguito elencati e </w:t>
      </w:r>
      <w:r w:rsidRPr="00C72739">
        <w:t>descritti</w:t>
      </w:r>
      <w:r>
        <w:t xml:space="preserve"> i principali fattori critici emersi dalle precedenti esperienze di riuso, distinguendo tra fattori interni dell’Amministrazione riusante e fattori esterni relativi al contesto in cui si colloca la buona pratica.</w:t>
      </w:r>
    </w:p>
    <w:p w14:paraId="3ED28EB8" w14:textId="77777777" w:rsidR="00E80BBA" w:rsidRDefault="00E80BBA" w:rsidP="00E80BBA">
      <w:pPr>
        <w:spacing w:before="120" w:after="0" w:line="240" w:lineRule="auto"/>
      </w:pPr>
      <w:r>
        <w:t xml:space="preserve">Rientrano tra i fattori critici di successo del progetto: </w:t>
      </w:r>
    </w:p>
    <w:p w14:paraId="6A11BB96" w14:textId="7EED9214" w:rsidR="00781C38" w:rsidRDefault="00781C38" w:rsidP="00781C38">
      <w:pPr>
        <w:pStyle w:val="Paragrafoelenco"/>
        <w:numPr>
          <w:ilvl w:val="0"/>
          <w:numId w:val="7"/>
        </w:numPr>
      </w:pPr>
      <w:r w:rsidRPr="006B5C97">
        <w:rPr>
          <w:b/>
          <w:bCs/>
        </w:rPr>
        <w:t>A</w:t>
      </w:r>
      <w:r w:rsidR="001848FE" w:rsidRPr="006B5C97">
        <w:rPr>
          <w:b/>
          <w:bCs/>
        </w:rPr>
        <w:t>ssetto organizzativo</w:t>
      </w:r>
      <w:r w:rsidR="001848FE">
        <w:t xml:space="preserve"> </w:t>
      </w:r>
      <w:r w:rsidR="001848FE" w:rsidRPr="006B5C97">
        <w:rPr>
          <w:b/>
          <w:bCs/>
        </w:rPr>
        <w:t>adottato dall’Ente nel corso del processo di trasferimento e/o a regime</w:t>
      </w:r>
      <w:r w:rsidR="00A3251E">
        <w:t>: l’adozione della buona pratica richiede l’integrazione dei sistemi coinvolti al fine di facilitare lo scambio di flussi informativi e ridurre il numero dei processi di trattamento manuale</w:t>
      </w:r>
      <w:r w:rsidR="00A3251E">
        <w:rPr>
          <w:sz w:val="20"/>
          <w:szCs w:val="20"/>
        </w:rPr>
        <w:t xml:space="preserve">; </w:t>
      </w:r>
    </w:p>
    <w:p w14:paraId="0D2DE522" w14:textId="5C2C5966" w:rsidR="00781C38" w:rsidRDefault="00781C38" w:rsidP="00781C38">
      <w:pPr>
        <w:pStyle w:val="Paragrafoelenco"/>
        <w:numPr>
          <w:ilvl w:val="0"/>
          <w:numId w:val="7"/>
        </w:numPr>
      </w:pPr>
      <w:r w:rsidRPr="006B5C97">
        <w:rPr>
          <w:b/>
          <w:bCs/>
        </w:rPr>
        <w:t>C</w:t>
      </w:r>
      <w:r w:rsidR="001848FE" w:rsidRPr="006B5C97">
        <w:rPr>
          <w:b/>
          <w:bCs/>
        </w:rPr>
        <w:t>ompetenze specialistiche dei differenti attori</w:t>
      </w:r>
      <w:r w:rsidR="00A3251E">
        <w:t xml:space="preserve">: un adeguato processo di verifica delle competenze </w:t>
      </w:r>
      <w:r w:rsidR="00A3251E" w:rsidRPr="00A3251E">
        <w:t xml:space="preserve">specialistiche (di dominio, tecnologiche, di analisi dei processi, gestione progetti, gestione del cambiamento) </w:t>
      </w:r>
      <w:r w:rsidR="00A3251E">
        <w:t>possedute risultata cruciale nell’effettivo utilizzo della soluzione;</w:t>
      </w:r>
    </w:p>
    <w:p w14:paraId="50A3A283" w14:textId="6F77695A" w:rsidR="00781C38" w:rsidRDefault="00781C38" w:rsidP="00781C38">
      <w:pPr>
        <w:pStyle w:val="Paragrafoelenco"/>
        <w:numPr>
          <w:ilvl w:val="0"/>
          <w:numId w:val="7"/>
        </w:numPr>
      </w:pPr>
      <w:r w:rsidRPr="006B5C97">
        <w:rPr>
          <w:b/>
          <w:bCs/>
        </w:rPr>
        <w:t>Politiche formative del personale</w:t>
      </w:r>
      <w:r w:rsidR="00A3251E">
        <w:t xml:space="preserve">: </w:t>
      </w:r>
      <w:r w:rsidR="006B5C97">
        <w:t xml:space="preserve">la predisposizione di percorsi formativi </w:t>
      </w:r>
      <w:r w:rsidR="008936B4">
        <w:t xml:space="preserve">finalizzati alla comprensione della trasformazione del lavoro con il supporto di strumenti digitali permette </w:t>
      </w:r>
      <w:r w:rsidR="00F7402A">
        <w:t xml:space="preserve">di aumentare la consapevolezza dei dipendenti e di </w:t>
      </w:r>
      <w:r w:rsidR="0080124B">
        <w:t>facilitare il processo di adozione della pratica;</w:t>
      </w:r>
    </w:p>
    <w:p w14:paraId="45412F9F" w14:textId="55254F61" w:rsidR="00781C38" w:rsidRDefault="00781C38" w:rsidP="00781C38">
      <w:pPr>
        <w:pStyle w:val="Paragrafoelenco"/>
        <w:numPr>
          <w:ilvl w:val="0"/>
          <w:numId w:val="7"/>
        </w:numPr>
      </w:pPr>
      <w:r w:rsidRPr="00714524">
        <w:rPr>
          <w:b/>
          <w:bCs/>
        </w:rPr>
        <w:t>C</w:t>
      </w:r>
      <w:r w:rsidR="001848FE" w:rsidRPr="00714524">
        <w:rPr>
          <w:b/>
          <w:bCs/>
        </w:rPr>
        <w:t>ommitment politico</w:t>
      </w:r>
      <w:r w:rsidR="00AC4C9C">
        <w:t>: la presenza di un commitment politico</w:t>
      </w:r>
      <w:r w:rsidR="00714524">
        <w:t xml:space="preserve"> che supporta attivamente l’adozione della buona pratica </w:t>
      </w:r>
      <w:r w:rsidR="0080124B">
        <w:t xml:space="preserve">risulta fondamentale per </w:t>
      </w:r>
      <w:r w:rsidR="00B56201">
        <w:t>la messa a regime della soluzione;</w:t>
      </w:r>
    </w:p>
    <w:p w14:paraId="50F44438" w14:textId="7EA696EF" w:rsidR="00263339" w:rsidRPr="00714524" w:rsidRDefault="00263339" w:rsidP="00781C38">
      <w:pPr>
        <w:pStyle w:val="Paragrafoelenco"/>
        <w:numPr>
          <w:ilvl w:val="0"/>
          <w:numId w:val="7"/>
        </w:numPr>
        <w:rPr>
          <w:b/>
          <w:bCs/>
        </w:rPr>
      </w:pPr>
      <w:r w:rsidRPr="00714524">
        <w:rPr>
          <w:b/>
          <w:bCs/>
        </w:rPr>
        <w:t>R</w:t>
      </w:r>
      <w:r w:rsidR="001848FE" w:rsidRPr="00714524">
        <w:rPr>
          <w:b/>
          <w:bCs/>
        </w:rPr>
        <w:t>elazione con altri stakeholder</w:t>
      </w:r>
      <w:r w:rsidR="00FE7180">
        <w:rPr>
          <w:b/>
          <w:bCs/>
        </w:rPr>
        <w:t>s</w:t>
      </w:r>
      <w:r w:rsidR="00714524">
        <w:rPr>
          <w:b/>
          <w:bCs/>
        </w:rPr>
        <w:t>:</w:t>
      </w:r>
      <w:r w:rsidR="00B56201">
        <w:rPr>
          <w:b/>
          <w:bCs/>
        </w:rPr>
        <w:t xml:space="preserve"> </w:t>
      </w:r>
      <w:r w:rsidR="00FE7180">
        <w:t>canali di comunicazione ben definiti con i diversi stakeholders coinvolti dalla buona pratica supportano il processo di adozione della soluzione;</w:t>
      </w:r>
    </w:p>
    <w:p w14:paraId="0F89A45B" w14:textId="5C727A16" w:rsidR="00CB0B4D" w:rsidRDefault="00B56201" w:rsidP="00781C38">
      <w:pPr>
        <w:pStyle w:val="Paragrafoelenco"/>
        <w:numPr>
          <w:ilvl w:val="0"/>
          <w:numId w:val="7"/>
        </w:numPr>
      </w:pPr>
      <w:r>
        <w:rPr>
          <w:b/>
          <w:bCs/>
        </w:rPr>
        <w:t xml:space="preserve">Mercato dei fornitori: </w:t>
      </w:r>
      <w:r>
        <w:t>L’e</w:t>
      </w:r>
      <w:r w:rsidR="001848FE">
        <w:t>sistenza e</w:t>
      </w:r>
      <w:r>
        <w:t xml:space="preserve"> l’accessibilità</w:t>
      </w:r>
      <w:r w:rsidR="001848FE">
        <w:t xml:space="preserve"> ad un mercato di fornitori connessi alla buona pratica e relative caratteristiche (sviluppatori, supporto formativo/consulenziale specializzato)</w:t>
      </w:r>
      <w:r>
        <w:t xml:space="preserve"> permette maggiori personalizzazioni della buona pratica al contesto di applicazione, migliorandone l’utilizzo.</w:t>
      </w:r>
    </w:p>
    <w:p w14:paraId="66E6CC7B" w14:textId="46E6ED0B" w:rsidR="005970ED" w:rsidRDefault="001848FE" w:rsidP="005970ED">
      <w:pPr>
        <w:pStyle w:val="Titolo3"/>
      </w:pPr>
      <w:bookmarkStart w:id="7" w:name="_Toc14251102"/>
      <w:bookmarkStart w:id="8" w:name="_GoBack"/>
      <w:bookmarkEnd w:id="8"/>
      <w:r>
        <w:t>Impatto dei fattori organizzativi critici</w:t>
      </w:r>
      <w:bookmarkEnd w:id="7"/>
    </w:p>
    <w:bookmarkEnd w:id="6"/>
    <w:p w14:paraId="7D60F140" w14:textId="0284B57A" w:rsidR="007755A0" w:rsidRDefault="001848FE" w:rsidP="001848FE">
      <w:pPr>
        <w:pStyle w:val="Paragrafoelenco"/>
        <w:ind w:left="0"/>
      </w:pPr>
      <w:r>
        <w:t xml:space="preserve">La seguente </w:t>
      </w:r>
      <w:r w:rsidRPr="001848FE">
        <w:t>tabella riepilog</w:t>
      </w:r>
      <w:r>
        <w:t>a</w:t>
      </w:r>
      <w:r w:rsidRPr="001848FE">
        <w:t xml:space="preserve"> i fattori critici </w:t>
      </w:r>
      <w:r>
        <w:t>rilev</w:t>
      </w:r>
      <w:r w:rsidRPr="001848FE">
        <w:t>anti</w:t>
      </w:r>
      <w:r w:rsidR="00CB0B4D">
        <w:t>, evidenziando</w:t>
      </w:r>
      <w:r w:rsidRPr="001848FE">
        <w:t xml:space="preserve"> come questi impattano sul processo di riuso, in termini qualitativi e, ove possibile e applicabile, in termini quantitativi (impatti sulla soddisfazione dell’utenza; impatti sull’efficienza dei processi; diminuzione dei tempi o dei costi di progetto, etc.). Questa tabella funge da tool di autovalutazione per il riusante, poiché consente di valutare la fattibilità del progetto di riuso, qualora calato nel contesto della propria realtà.</w:t>
      </w:r>
      <w:r w:rsidR="006B5C97">
        <w:t xml:space="preserve"> </w:t>
      </w:r>
      <w:r w:rsidR="00CB0B4D">
        <w:t>Per i fattori che costituiscono una potenziale fonte di rallentamento o fallimento nell’adozione della buona pratica, si forniscono suggerimenti o strategie per superarli o almeno compensarli.</w:t>
      </w:r>
    </w:p>
    <w:tbl>
      <w:tblPr>
        <w:tblStyle w:val="Tabellagriglia5scura-colore21"/>
        <w:tblW w:w="9817" w:type="dxa"/>
        <w:jc w:val="center"/>
        <w:tblLook w:val="04A0" w:firstRow="1" w:lastRow="0" w:firstColumn="1" w:lastColumn="0" w:noHBand="0" w:noVBand="1"/>
      </w:tblPr>
      <w:tblGrid>
        <w:gridCol w:w="2780"/>
        <w:gridCol w:w="3636"/>
        <w:gridCol w:w="3401"/>
      </w:tblGrid>
      <w:tr w:rsidR="007755A0" w:rsidRPr="00B970E7" w14:paraId="40DDB724" w14:textId="77777777" w:rsidTr="007755A0">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80" w:type="dxa"/>
            <w:shd w:val="clear" w:color="auto" w:fill="F7CAAC" w:themeFill="accent2" w:themeFillTint="66"/>
          </w:tcPr>
          <w:p w14:paraId="45DA700A" w14:textId="77777777" w:rsidR="007755A0" w:rsidRPr="00E470A9" w:rsidRDefault="007755A0" w:rsidP="000918DB">
            <w:pPr>
              <w:keepNext/>
              <w:spacing w:before="120"/>
              <w:rPr>
                <w:sz w:val="20"/>
                <w:szCs w:val="20"/>
              </w:rPr>
            </w:pPr>
            <w:r w:rsidRPr="00E470A9">
              <w:rPr>
                <w:color w:val="auto"/>
                <w:sz w:val="20"/>
                <w:szCs w:val="20"/>
              </w:rPr>
              <w:lastRenderedPageBreak/>
              <w:t>Fattori</w:t>
            </w:r>
          </w:p>
        </w:tc>
        <w:tc>
          <w:tcPr>
            <w:tcW w:w="3636" w:type="dxa"/>
          </w:tcPr>
          <w:p w14:paraId="680901C1" w14:textId="77777777" w:rsidR="007755A0" w:rsidRPr="00E470A9" w:rsidRDefault="007755A0" w:rsidP="000918DB">
            <w:pPr>
              <w:keepNext/>
              <w:spacing w:before="120"/>
              <w:cnfStyle w:val="100000000000" w:firstRow="1" w:lastRow="0" w:firstColumn="0" w:lastColumn="0" w:oddVBand="0" w:evenVBand="0" w:oddHBand="0" w:evenHBand="0" w:firstRowFirstColumn="0" w:firstRowLastColumn="0" w:lastRowFirstColumn="0" w:lastRowLastColumn="0"/>
              <w:rPr>
                <w:sz w:val="20"/>
                <w:szCs w:val="20"/>
              </w:rPr>
            </w:pPr>
            <w:r w:rsidRPr="00E470A9">
              <w:rPr>
                <w:sz w:val="20"/>
                <w:szCs w:val="20"/>
              </w:rPr>
              <w:t>Impatto</w:t>
            </w:r>
          </w:p>
        </w:tc>
        <w:tc>
          <w:tcPr>
            <w:tcW w:w="3401" w:type="dxa"/>
          </w:tcPr>
          <w:p w14:paraId="3C9525F3" w14:textId="77777777" w:rsidR="007755A0" w:rsidRPr="00E470A9" w:rsidRDefault="007755A0" w:rsidP="000918DB">
            <w:pPr>
              <w:keepNext/>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sidRPr="00E470A9">
              <w:rPr>
                <w:sz w:val="20"/>
                <w:szCs w:val="20"/>
              </w:rPr>
              <w:t>Strategie di compensazione</w:t>
            </w:r>
          </w:p>
        </w:tc>
      </w:tr>
      <w:tr w:rsidR="007755A0" w:rsidRPr="00B970E7" w14:paraId="7EEAF526" w14:textId="77777777" w:rsidTr="007755A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780" w:type="dxa"/>
            <w:shd w:val="clear" w:color="auto" w:fill="auto"/>
          </w:tcPr>
          <w:p w14:paraId="14C7AE15" w14:textId="77777777" w:rsidR="007755A0" w:rsidRPr="00E470A9" w:rsidRDefault="007755A0" w:rsidP="000918DB">
            <w:pPr>
              <w:keepNext/>
              <w:spacing w:before="120"/>
              <w:rPr>
                <w:color w:val="auto"/>
                <w:sz w:val="20"/>
                <w:szCs w:val="20"/>
              </w:rPr>
            </w:pPr>
            <w:r w:rsidRPr="00E470A9">
              <w:rPr>
                <w:color w:val="auto"/>
                <w:sz w:val="20"/>
                <w:szCs w:val="20"/>
              </w:rPr>
              <w:t>Interni</w:t>
            </w:r>
          </w:p>
        </w:tc>
        <w:tc>
          <w:tcPr>
            <w:tcW w:w="3636" w:type="dxa"/>
            <w:tcBorders>
              <w:bottom w:val="single" w:sz="4" w:space="0" w:color="FFFFFF" w:themeColor="background1"/>
            </w:tcBorders>
            <w:shd w:val="clear" w:color="auto" w:fill="auto"/>
          </w:tcPr>
          <w:p w14:paraId="4B6E127A" w14:textId="77777777" w:rsidR="007755A0" w:rsidRPr="00E470A9" w:rsidRDefault="007755A0" w:rsidP="000918DB">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p>
        </w:tc>
        <w:tc>
          <w:tcPr>
            <w:tcW w:w="3401" w:type="dxa"/>
            <w:tcBorders>
              <w:bottom w:val="single" w:sz="4" w:space="0" w:color="FFFFFF" w:themeColor="background1"/>
            </w:tcBorders>
            <w:shd w:val="clear" w:color="auto" w:fill="auto"/>
          </w:tcPr>
          <w:p w14:paraId="58C7AAA9" w14:textId="77777777" w:rsidR="007755A0" w:rsidRPr="00E470A9" w:rsidRDefault="007755A0" w:rsidP="000918DB">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p>
        </w:tc>
      </w:tr>
      <w:tr w:rsidR="007755A0" w:rsidRPr="00B970E7" w14:paraId="69418357" w14:textId="77777777" w:rsidTr="007755A0">
        <w:trPr>
          <w:trHeight w:val="454"/>
          <w:jc w:val="center"/>
        </w:trPr>
        <w:tc>
          <w:tcPr>
            <w:cnfStyle w:val="001000000000" w:firstRow="0" w:lastRow="0" w:firstColumn="1" w:lastColumn="0" w:oddVBand="0" w:evenVBand="0" w:oddHBand="0" w:evenHBand="0" w:firstRowFirstColumn="0" w:firstRowLastColumn="0" w:lastRowFirstColumn="0" w:lastRowLastColumn="0"/>
            <w:tcW w:w="2780" w:type="dxa"/>
          </w:tcPr>
          <w:p w14:paraId="162E755E" w14:textId="77777777" w:rsidR="007755A0" w:rsidRPr="00E470A9" w:rsidRDefault="007755A0" w:rsidP="000918DB">
            <w:pPr>
              <w:keepNext/>
              <w:spacing w:before="120"/>
              <w:jc w:val="left"/>
              <w:rPr>
                <w:sz w:val="20"/>
                <w:szCs w:val="20"/>
              </w:rPr>
            </w:pPr>
            <w:r w:rsidRPr="00E470A9">
              <w:rPr>
                <w:sz w:val="20"/>
                <w:szCs w:val="20"/>
              </w:rPr>
              <w:t>Assetto organizzativo</w:t>
            </w:r>
          </w:p>
        </w:tc>
        <w:tc>
          <w:tcPr>
            <w:tcW w:w="3636" w:type="dxa"/>
            <w:tcBorders>
              <w:bottom w:val="single" w:sz="4" w:space="0" w:color="FFFFFF" w:themeColor="background1"/>
            </w:tcBorders>
          </w:tcPr>
          <w:p w14:paraId="0F5948AE" w14:textId="53DB584D" w:rsidR="007755A0" w:rsidRPr="00E470A9" w:rsidRDefault="007E3BEE" w:rsidP="000918DB">
            <w:pPr>
              <w:keepNext/>
              <w:spacing w:before="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w:t>
            </w:r>
            <w:r w:rsidR="007755A0" w:rsidRPr="00E470A9">
              <w:rPr>
                <w:sz w:val="20"/>
                <w:szCs w:val="20"/>
              </w:rPr>
              <w:t xml:space="preserve">ssenza di </w:t>
            </w:r>
            <w:r w:rsidR="00625F86">
              <w:rPr>
                <w:sz w:val="20"/>
                <w:szCs w:val="20"/>
              </w:rPr>
              <w:t>adeguata integrazione dei sistemi coinvolti dalla buona pratica</w:t>
            </w:r>
            <w:r w:rsidR="00BD5DC9">
              <w:rPr>
                <w:sz w:val="20"/>
                <w:szCs w:val="20"/>
              </w:rPr>
              <w:t xml:space="preserve"> comporta</w:t>
            </w:r>
            <w:r w:rsidR="007755A0" w:rsidRPr="00E470A9">
              <w:rPr>
                <w:sz w:val="20"/>
                <w:szCs w:val="20"/>
              </w:rPr>
              <w:t xml:space="preserve"> la difficoltà di attivare lo scambio di flussi informativi, con mantenimento dei processi precedenti di trattamento manuale </w:t>
            </w:r>
          </w:p>
        </w:tc>
        <w:tc>
          <w:tcPr>
            <w:tcW w:w="3401" w:type="dxa"/>
            <w:tcBorders>
              <w:bottom w:val="single" w:sz="4" w:space="0" w:color="FFFFFF" w:themeColor="background1"/>
            </w:tcBorders>
          </w:tcPr>
          <w:p w14:paraId="6F45F128" w14:textId="56B1B362" w:rsidR="007755A0" w:rsidRPr="00E470A9" w:rsidRDefault="005A6F30" w:rsidP="000918DB">
            <w:pPr>
              <w:keepNext/>
              <w:spacing w:before="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Predisposizione di un progetto organizzativo</w:t>
            </w:r>
          </w:p>
        </w:tc>
      </w:tr>
      <w:tr w:rsidR="007755A0" w:rsidRPr="00B970E7" w14:paraId="6AAA8E61" w14:textId="77777777" w:rsidTr="007755A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780" w:type="dxa"/>
          </w:tcPr>
          <w:p w14:paraId="0153F3E7" w14:textId="58F891CA" w:rsidR="007755A0" w:rsidRPr="00E470A9" w:rsidRDefault="007755A0" w:rsidP="000918DB">
            <w:pPr>
              <w:keepNext/>
              <w:spacing w:before="120"/>
              <w:jc w:val="left"/>
              <w:rPr>
                <w:sz w:val="20"/>
                <w:szCs w:val="20"/>
              </w:rPr>
            </w:pPr>
            <w:r w:rsidRPr="00E470A9">
              <w:rPr>
                <w:sz w:val="20"/>
                <w:szCs w:val="20"/>
              </w:rPr>
              <w:t>Presenza di competenze specialistiche dei diversi attori</w:t>
            </w:r>
            <w:r w:rsidR="00263339" w:rsidRPr="00E470A9">
              <w:rPr>
                <w:sz w:val="20"/>
                <w:szCs w:val="20"/>
              </w:rPr>
              <w:t xml:space="preserve"> coinvolti</w:t>
            </w:r>
          </w:p>
        </w:tc>
        <w:tc>
          <w:tcPr>
            <w:tcW w:w="3636" w:type="dxa"/>
            <w:tcBorders>
              <w:bottom w:val="single" w:sz="4" w:space="0" w:color="FFFFFF" w:themeColor="background1"/>
            </w:tcBorders>
          </w:tcPr>
          <w:p w14:paraId="0CC09F38" w14:textId="2A8AC301" w:rsidR="007755A0" w:rsidRPr="00E470A9" w:rsidRDefault="007E3BEE" w:rsidP="00BD5DC9">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w:t>
            </w:r>
            <w:r w:rsidR="007755A0" w:rsidRPr="00E470A9">
              <w:rPr>
                <w:sz w:val="20"/>
                <w:szCs w:val="20"/>
              </w:rPr>
              <w:t>ssenza di competenze specialistiche (di dominio, tecnologiche, di analisi dei processi, gestione progetti, gestione del cambiamento)</w:t>
            </w:r>
            <w:r w:rsidR="00BD5DC9">
              <w:rPr>
                <w:sz w:val="20"/>
                <w:szCs w:val="20"/>
              </w:rPr>
              <w:t xml:space="preserve"> </w:t>
            </w:r>
            <w:r w:rsidR="00B16C08" w:rsidRPr="00E470A9">
              <w:rPr>
                <w:sz w:val="20"/>
                <w:szCs w:val="20"/>
              </w:rPr>
              <w:t xml:space="preserve">può comportare un rallentamento o addirittura l’abbandono della </w:t>
            </w:r>
            <w:r w:rsidR="00625F86">
              <w:rPr>
                <w:sz w:val="20"/>
                <w:szCs w:val="20"/>
              </w:rPr>
              <w:t>buona pratica</w:t>
            </w:r>
          </w:p>
        </w:tc>
        <w:tc>
          <w:tcPr>
            <w:tcW w:w="3401" w:type="dxa"/>
            <w:tcBorders>
              <w:bottom w:val="single" w:sz="4" w:space="0" w:color="FFFFFF" w:themeColor="background1"/>
            </w:tcBorders>
          </w:tcPr>
          <w:p w14:paraId="54A8CC18" w14:textId="6EAB15CD" w:rsidR="007755A0" w:rsidRPr="00E470A9" w:rsidRDefault="00B16C08" w:rsidP="000918DB">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Definizione ed attuazione di una</w:t>
            </w:r>
            <w:r w:rsidR="00742FA2" w:rsidRPr="00E470A9">
              <w:rPr>
                <w:sz w:val="20"/>
                <w:szCs w:val="20"/>
              </w:rPr>
              <w:t xml:space="preserve"> valutazione di fattibilità </w:t>
            </w:r>
            <w:r w:rsidR="00863E8F" w:rsidRPr="00E470A9">
              <w:rPr>
                <w:sz w:val="20"/>
                <w:szCs w:val="20"/>
              </w:rPr>
              <w:t>pre-implementazione</w:t>
            </w:r>
            <w:r w:rsidR="00742FA2" w:rsidRPr="00E470A9">
              <w:rPr>
                <w:sz w:val="20"/>
                <w:szCs w:val="20"/>
              </w:rPr>
              <w:t xml:space="preserve"> </w:t>
            </w:r>
            <w:r w:rsidR="00863E8F" w:rsidRPr="00E470A9">
              <w:rPr>
                <w:sz w:val="20"/>
                <w:szCs w:val="20"/>
              </w:rPr>
              <w:t>rispetto alle risorse d</w:t>
            </w:r>
            <w:r w:rsidR="00263339" w:rsidRPr="00E470A9">
              <w:rPr>
                <w:sz w:val="20"/>
                <w:szCs w:val="20"/>
              </w:rPr>
              <w:t>isponibili</w:t>
            </w:r>
          </w:p>
        </w:tc>
      </w:tr>
      <w:tr w:rsidR="007755A0" w:rsidRPr="00B970E7" w14:paraId="5626B0EB" w14:textId="77777777" w:rsidTr="007755A0">
        <w:trPr>
          <w:trHeight w:val="454"/>
          <w:jc w:val="center"/>
        </w:trPr>
        <w:tc>
          <w:tcPr>
            <w:cnfStyle w:val="001000000000" w:firstRow="0" w:lastRow="0" w:firstColumn="1" w:lastColumn="0" w:oddVBand="0" w:evenVBand="0" w:oddHBand="0" w:evenHBand="0" w:firstRowFirstColumn="0" w:firstRowLastColumn="0" w:lastRowFirstColumn="0" w:lastRowLastColumn="0"/>
            <w:tcW w:w="2780" w:type="dxa"/>
          </w:tcPr>
          <w:p w14:paraId="2C2501EC" w14:textId="7E567DCD" w:rsidR="007755A0" w:rsidRPr="00E470A9" w:rsidRDefault="007755A0" w:rsidP="000918DB">
            <w:pPr>
              <w:keepNext/>
              <w:spacing w:before="120"/>
              <w:jc w:val="left"/>
              <w:rPr>
                <w:sz w:val="20"/>
                <w:szCs w:val="20"/>
              </w:rPr>
            </w:pPr>
            <w:r w:rsidRPr="00E470A9">
              <w:rPr>
                <w:sz w:val="20"/>
                <w:szCs w:val="20"/>
              </w:rPr>
              <w:t>Preparazione del personale</w:t>
            </w:r>
          </w:p>
        </w:tc>
        <w:tc>
          <w:tcPr>
            <w:tcW w:w="3636" w:type="dxa"/>
            <w:tcBorders>
              <w:bottom w:val="single" w:sz="4" w:space="0" w:color="FFFFFF" w:themeColor="background1"/>
            </w:tcBorders>
          </w:tcPr>
          <w:p w14:paraId="22C776AE" w14:textId="642D3986" w:rsidR="007755A0" w:rsidRPr="00E470A9" w:rsidRDefault="007755A0" w:rsidP="000918DB">
            <w:pPr>
              <w:keepNext/>
              <w:spacing w:before="120"/>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L’assenza di un processo di verifica e di cura della preparazione del personale interessato può portare a una attivazione parziale delle funzionalità</w:t>
            </w:r>
            <w:r w:rsidR="00134D9D" w:rsidRPr="00E470A9">
              <w:rPr>
                <w:sz w:val="20"/>
                <w:szCs w:val="20"/>
              </w:rPr>
              <w:t xml:space="preserve"> dovuto ad una resistenza al cambiamento</w:t>
            </w:r>
          </w:p>
        </w:tc>
        <w:tc>
          <w:tcPr>
            <w:tcW w:w="3401" w:type="dxa"/>
            <w:tcBorders>
              <w:bottom w:val="single" w:sz="4" w:space="0" w:color="FFFFFF" w:themeColor="background1"/>
            </w:tcBorders>
          </w:tcPr>
          <w:p w14:paraId="5920B0AD" w14:textId="47830505" w:rsidR="007755A0" w:rsidRPr="00E470A9" w:rsidRDefault="007755A0" w:rsidP="000918DB">
            <w:pPr>
              <w:keepNext/>
              <w:spacing w:before="120"/>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Predisposizione di un percorso di formazione per i dipendenti per condividere le informazioni di base alla comprensione della trasformazione del lavoro con il supporto digitale</w:t>
            </w:r>
          </w:p>
        </w:tc>
      </w:tr>
      <w:tr w:rsidR="007755A0" w:rsidRPr="00B970E7" w14:paraId="390F7CF9" w14:textId="77777777" w:rsidTr="007755A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780" w:type="dxa"/>
          </w:tcPr>
          <w:p w14:paraId="255DF992" w14:textId="77777777" w:rsidR="007755A0" w:rsidRPr="00E470A9" w:rsidRDefault="007755A0" w:rsidP="000918DB">
            <w:pPr>
              <w:keepNext/>
              <w:spacing w:before="120"/>
              <w:jc w:val="left"/>
              <w:rPr>
                <w:sz w:val="20"/>
                <w:szCs w:val="20"/>
              </w:rPr>
            </w:pPr>
            <w:r w:rsidRPr="00E470A9">
              <w:rPr>
                <w:sz w:val="20"/>
                <w:szCs w:val="20"/>
              </w:rPr>
              <w:t>Commitment politico</w:t>
            </w:r>
          </w:p>
        </w:tc>
        <w:tc>
          <w:tcPr>
            <w:tcW w:w="3636" w:type="dxa"/>
            <w:tcBorders>
              <w:bottom w:val="single" w:sz="4" w:space="0" w:color="FFFFFF" w:themeColor="background1"/>
            </w:tcBorders>
          </w:tcPr>
          <w:p w14:paraId="213C137C" w14:textId="7DD9FE8C" w:rsidR="007755A0" w:rsidRPr="00E470A9" w:rsidRDefault="007E3BEE" w:rsidP="000918DB">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w:t>
            </w:r>
            <w:r w:rsidR="007755A0" w:rsidRPr="00E470A9">
              <w:rPr>
                <w:sz w:val="20"/>
                <w:szCs w:val="20"/>
              </w:rPr>
              <w:t xml:space="preserve">ssenza </w:t>
            </w:r>
            <w:r>
              <w:rPr>
                <w:sz w:val="20"/>
                <w:szCs w:val="20"/>
              </w:rPr>
              <w:t xml:space="preserve">di </w:t>
            </w:r>
            <w:r w:rsidR="007755A0" w:rsidRPr="00E470A9">
              <w:rPr>
                <w:sz w:val="20"/>
                <w:szCs w:val="20"/>
              </w:rPr>
              <w:t xml:space="preserve">commitment politico può produrre un rallentamento nell’attivazione della </w:t>
            </w:r>
            <w:r w:rsidR="00625F86">
              <w:rPr>
                <w:sz w:val="20"/>
                <w:szCs w:val="20"/>
              </w:rPr>
              <w:t>buona pratica</w:t>
            </w:r>
          </w:p>
        </w:tc>
        <w:tc>
          <w:tcPr>
            <w:tcW w:w="3401" w:type="dxa"/>
            <w:tcBorders>
              <w:bottom w:val="single" w:sz="4" w:space="0" w:color="FFFFFF" w:themeColor="background1"/>
            </w:tcBorders>
          </w:tcPr>
          <w:p w14:paraId="18C42D6D" w14:textId="77777777" w:rsidR="007755A0" w:rsidRPr="00E470A9" w:rsidRDefault="007755A0" w:rsidP="000918DB">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r w:rsidRPr="00E470A9">
              <w:rPr>
                <w:sz w:val="20"/>
                <w:szCs w:val="20"/>
              </w:rPr>
              <w:t>Accordo tra responsabili degli uffici con costituzione di un tavolo di coordinamento permanente oltre la messa a regime. Il problema qui è l’utilizzo del sistema a regime come strumento quotidiano</w:t>
            </w:r>
          </w:p>
        </w:tc>
      </w:tr>
      <w:tr w:rsidR="007755A0" w:rsidRPr="00B970E7" w14:paraId="45C70AAE" w14:textId="77777777" w:rsidTr="007755A0">
        <w:trPr>
          <w:trHeight w:val="283"/>
          <w:jc w:val="center"/>
        </w:trPr>
        <w:tc>
          <w:tcPr>
            <w:cnfStyle w:val="001000000000" w:firstRow="0" w:lastRow="0" w:firstColumn="1" w:lastColumn="0" w:oddVBand="0" w:evenVBand="0" w:oddHBand="0" w:evenHBand="0" w:firstRowFirstColumn="0" w:firstRowLastColumn="0" w:lastRowFirstColumn="0" w:lastRowLastColumn="0"/>
            <w:tcW w:w="2780" w:type="dxa"/>
            <w:shd w:val="clear" w:color="auto" w:fill="auto"/>
          </w:tcPr>
          <w:p w14:paraId="223A3626" w14:textId="77777777" w:rsidR="007755A0" w:rsidRPr="00E470A9" w:rsidRDefault="007755A0" w:rsidP="000918DB">
            <w:pPr>
              <w:keepNext/>
              <w:spacing w:before="120"/>
              <w:jc w:val="left"/>
              <w:rPr>
                <w:color w:val="auto"/>
                <w:sz w:val="20"/>
                <w:szCs w:val="20"/>
              </w:rPr>
            </w:pPr>
            <w:r w:rsidRPr="00E470A9">
              <w:rPr>
                <w:color w:val="auto"/>
                <w:sz w:val="20"/>
                <w:szCs w:val="20"/>
              </w:rPr>
              <w:t>Esterni</w:t>
            </w:r>
          </w:p>
        </w:tc>
        <w:tc>
          <w:tcPr>
            <w:tcW w:w="3636" w:type="dxa"/>
            <w:shd w:val="clear" w:color="auto" w:fill="auto"/>
          </w:tcPr>
          <w:p w14:paraId="2E3C138B" w14:textId="77777777" w:rsidR="007755A0" w:rsidRPr="00E470A9" w:rsidRDefault="007755A0" w:rsidP="000918DB">
            <w:pPr>
              <w:keepNext/>
              <w:spacing w:before="120"/>
              <w:cnfStyle w:val="000000000000" w:firstRow="0" w:lastRow="0" w:firstColumn="0" w:lastColumn="0" w:oddVBand="0" w:evenVBand="0" w:oddHBand="0" w:evenHBand="0" w:firstRowFirstColumn="0" w:firstRowLastColumn="0" w:lastRowFirstColumn="0" w:lastRowLastColumn="0"/>
              <w:rPr>
                <w:b/>
                <w:sz w:val="20"/>
                <w:szCs w:val="20"/>
              </w:rPr>
            </w:pPr>
          </w:p>
        </w:tc>
        <w:tc>
          <w:tcPr>
            <w:tcW w:w="3401" w:type="dxa"/>
            <w:shd w:val="clear" w:color="auto" w:fill="auto"/>
          </w:tcPr>
          <w:p w14:paraId="51C676C3" w14:textId="77777777" w:rsidR="007755A0" w:rsidRPr="00E470A9" w:rsidRDefault="007755A0" w:rsidP="000918DB">
            <w:pPr>
              <w:keepNext/>
              <w:spacing w:before="120"/>
              <w:cnfStyle w:val="000000000000" w:firstRow="0" w:lastRow="0" w:firstColumn="0" w:lastColumn="0" w:oddVBand="0" w:evenVBand="0" w:oddHBand="0" w:evenHBand="0" w:firstRowFirstColumn="0" w:firstRowLastColumn="0" w:lastRowFirstColumn="0" w:lastRowLastColumn="0"/>
              <w:rPr>
                <w:sz w:val="20"/>
                <w:szCs w:val="20"/>
              </w:rPr>
            </w:pPr>
          </w:p>
        </w:tc>
      </w:tr>
      <w:tr w:rsidR="007755A0" w:rsidRPr="00B970E7" w14:paraId="5B58BBDE" w14:textId="77777777" w:rsidTr="007755A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780" w:type="dxa"/>
          </w:tcPr>
          <w:p w14:paraId="7FF18801" w14:textId="1D8D0FAE" w:rsidR="007755A0" w:rsidRPr="00E470A9" w:rsidRDefault="00263339" w:rsidP="000918DB">
            <w:pPr>
              <w:keepNext/>
              <w:spacing w:before="120"/>
              <w:jc w:val="left"/>
              <w:rPr>
                <w:sz w:val="20"/>
                <w:szCs w:val="20"/>
              </w:rPr>
            </w:pPr>
            <w:r w:rsidRPr="00E470A9">
              <w:rPr>
                <w:sz w:val="20"/>
                <w:szCs w:val="20"/>
              </w:rPr>
              <w:t>Relazione con altri stakeholders</w:t>
            </w:r>
          </w:p>
        </w:tc>
        <w:tc>
          <w:tcPr>
            <w:tcW w:w="3636" w:type="dxa"/>
            <w:tcBorders>
              <w:bottom w:val="single" w:sz="4" w:space="0" w:color="FFFFFF" w:themeColor="background1"/>
            </w:tcBorders>
          </w:tcPr>
          <w:p w14:paraId="6FFB838C" w14:textId="2C4E06C2" w:rsidR="007755A0" w:rsidRPr="00E470A9" w:rsidRDefault="007E3BEE" w:rsidP="000918DB">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difficoltà nelle relazioni con gli altri stakeholders coinvolti nel p</w:t>
            </w:r>
            <w:r w:rsidR="00EC101B">
              <w:rPr>
                <w:sz w:val="20"/>
                <w:szCs w:val="20"/>
              </w:rPr>
              <w:t xml:space="preserve">rogetto potrebbero determinare rallentamenti nell’implementazione e </w:t>
            </w:r>
            <w:r w:rsidR="009878B9">
              <w:rPr>
                <w:sz w:val="20"/>
                <w:szCs w:val="20"/>
              </w:rPr>
              <w:t>nell’evoluzione</w:t>
            </w:r>
            <w:r w:rsidR="00EC101B">
              <w:rPr>
                <w:sz w:val="20"/>
                <w:szCs w:val="20"/>
              </w:rPr>
              <w:t xml:space="preserve"> della pratica</w:t>
            </w:r>
          </w:p>
        </w:tc>
        <w:tc>
          <w:tcPr>
            <w:tcW w:w="3401" w:type="dxa"/>
            <w:tcBorders>
              <w:bottom w:val="single" w:sz="4" w:space="0" w:color="FFFFFF" w:themeColor="background1"/>
            </w:tcBorders>
          </w:tcPr>
          <w:p w14:paraId="1EF2955C" w14:textId="0B725D35" w:rsidR="007755A0" w:rsidRPr="00E470A9" w:rsidRDefault="009878B9" w:rsidP="000918DB">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Istituzioni di canali di comunicazione privilegiati con gli stakeholders coinvolti</w:t>
            </w:r>
          </w:p>
        </w:tc>
      </w:tr>
      <w:tr w:rsidR="007755A0" w:rsidRPr="00B970E7" w14:paraId="764824F0" w14:textId="77777777" w:rsidTr="006B5C97">
        <w:trPr>
          <w:trHeight w:val="1439"/>
          <w:jc w:val="center"/>
        </w:trPr>
        <w:tc>
          <w:tcPr>
            <w:cnfStyle w:val="001000000000" w:firstRow="0" w:lastRow="0" w:firstColumn="1" w:lastColumn="0" w:oddVBand="0" w:evenVBand="0" w:oddHBand="0" w:evenHBand="0" w:firstRowFirstColumn="0" w:firstRowLastColumn="0" w:lastRowFirstColumn="0" w:lastRowLastColumn="0"/>
            <w:tcW w:w="2780" w:type="dxa"/>
          </w:tcPr>
          <w:p w14:paraId="762C1E7E" w14:textId="5E1A77B0" w:rsidR="007755A0" w:rsidRPr="00E470A9" w:rsidRDefault="00E911CB" w:rsidP="000918DB">
            <w:pPr>
              <w:keepNext/>
              <w:spacing w:before="120"/>
              <w:jc w:val="left"/>
              <w:rPr>
                <w:sz w:val="20"/>
                <w:szCs w:val="20"/>
              </w:rPr>
            </w:pPr>
            <w:r>
              <w:rPr>
                <w:sz w:val="20"/>
                <w:szCs w:val="20"/>
              </w:rPr>
              <w:t>Mercato Fornitori</w:t>
            </w:r>
          </w:p>
        </w:tc>
        <w:tc>
          <w:tcPr>
            <w:tcW w:w="3636" w:type="dxa"/>
            <w:tcBorders>
              <w:bottom w:val="single" w:sz="4" w:space="0" w:color="FFFFFF" w:themeColor="background1"/>
            </w:tcBorders>
          </w:tcPr>
          <w:p w14:paraId="159AC8BA" w14:textId="578B77C3" w:rsidR="007755A0" w:rsidRPr="00E470A9" w:rsidRDefault="00E911CB" w:rsidP="00E911CB">
            <w:pPr>
              <w:keepNext/>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L’assenza o l’impossibilità di accesso ad un mercato di fornitori connessi alla buona pratica può comportare un rallentamento dell’implementazione e un degrado delle aspettative </w:t>
            </w:r>
          </w:p>
        </w:tc>
        <w:tc>
          <w:tcPr>
            <w:tcW w:w="3401" w:type="dxa"/>
            <w:tcBorders>
              <w:bottom w:val="single" w:sz="4" w:space="0" w:color="FFFFFF" w:themeColor="background1"/>
            </w:tcBorders>
          </w:tcPr>
          <w:p w14:paraId="6E135245" w14:textId="3563CBCE" w:rsidR="007755A0" w:rsidRPr="00E470A9" w:rsidRDefault="007755A0" w:rsidP="000918DB">
            <w:pPr>
              <w:keepNext/>
              <w:spacing w:before="120"/>
              <w:cnfStyle w:val="000000000000" w:firstRow="0" w:lastRow="0" w:firstColumn="0" w:lastColumn="0" w:oddVBand="0" w:evenVBand="0" w:oddHBand="0" w:evenHBand="0" w:firstRowFirstColumn="0" w:firstRowLastColumn="0" w:lastRowFirstColumn="0" w:lastRowLastColumn="0"/>
              <w:rPr>
                <w:sz w:val="20"/>
                <w:szCs w:val="20"/>
              </w:rPr>
            </w:pPr>
            <w:r w:rsidRPr="00E470A9">
              <w:rPr>
                <w:sz w:val="20"/>
                <w:szCs w:val="20"/>
              </w:rPr>
              <w:t xml:space="preserve">Accettare configurazioni standard </w:t>
            </w:r>
            <w:r w:rsidR="00E911CB">
              <w:rPr>
                <w:sz w:val="20"/>
                <w:szCs w:val="20"/>
              </w:rPr>
              <w:t>della soluzione</w:t>
            </w:r>
          </w:p>
        </w:tc>
      </w:tr>
    </w:tbl>
    <w:p w14:paraId="0D2FC379" w14:textId="77777777" w:rsidR="006B5C97" w:rsidRDefault="006B5C97" w:rsidP="00CB0B4D">
      <w:pPr>
        <w:pStyle w:val="Didascalia"/>
        <w:keepNext/>
        <w:ind w:left="360"/>
        <w:contextualSpacing/>
        <w:jc w:val="center"/>
      </w:pPr>
    </w:p>
    <w:p w14:paraId="6D552F7C" w14:textId="3832BAA9" w:rsidR="00CB0B4D" w:rsidRDefault="00CB0B4D" w:rsidP="00CB0B4D">
      <w:pPr>
        <w:pStyle w:val="Didascalia"/>
        <w:keepNext/>
        <w:ind w:left="360"/>
        <w:contextualSpacing/>
        <w:jc w:val="center"/>
      </w:pPr>
      <w:r>
        <w:t xml:space="preserve">Tabella </w:t>
      </w:r>
      <w:r w:rsidR="00E470A9">
        <w:rPr>
          <w:noProof/>
        </w:rPr>
        <w:t>2</w:t>
      </w:r>
      <w:r>
        <w:t xml:space="preserve"> - Fattori organizzativi critici della buona pratica</w:t>
      </w:r>
    </w:p>
    <w:p w14:paraId="6C8465B6" w14:textId="5998E2AD" w:rsidR="00F532FE" w:rsidRDefault="00F532FE" w:rsidP="00CB0B4D">
      <w:pPr>
        <w:pStyle w:val="Paragrafoelenco"/>
      </w:pPr>
    </w:p>
    <w:p w14:paraId="593CE34F" w14:textId="0FE92D16" w:rsidR="005B54C4" w:rsidRDefault="005B54C4" w:rsidP="00CB0B4D">
      <w:pPr>
        <w:pStyle w:val="Paragrafoelenco"/>
      </w:pPr>
    </w:p>
    <w:p w14:paraId="16E0A8BC" w14:textId="77777777" w:rsidR="005B54C4" w:rsidRDefault="005B54C4" w:rsidP="00CB0B4D">
      <w:pPr>
        <w:pStyle w:val="Paragrafoelenco"/>
      </w:pPr>
    </w:p>
    <w:p w14:paraId="7CCD1C69" w14:textId="0EA2F254" w:rsidR="00C67DC9" w:rsidRDefault="00CB0B4D" w:rsidP="00F532FE">
      <w:pPr>
        <w:pStyle w:val="Titolo2"/>
        <w:ind w:left="357" w:hanging="357"/>
      </w:pPr>
      <w:bookmarkStart w:id="9" w:name="_Toc14251103"/>
      <w:r>
        <w:lastRenderedPageBreak/>
        <w:t>Check list</w:t>
      </w:r>
      <w:r w:rsidR="00F532FE">
        <w:t xml:space="preserve"> di autovalutazione</w:t>
      </w:r>
      <w:r w:rsidR="00330B6E">
        <w:t xml:space="preserve"> dei fattori organizzativi</w:t>
      </w:r>
      <w:bookmarkEnd w:id="9"/>
    </w:p>
    <w:p w14:paraId="4B8140FB" w14:textId="77777777" w:rsidR="00EE40DA" w:rsidRDefault="0029004C" w:rsidP="00CB0B4D">
      <w:r>
        <w:t>La check list</w:t>
      </w:r>
      <w:r w:rsidR="00F532FE">
        <w:t xml:space="preserve"> di autovalutazione consiste in</w:t>
      </w:r>
      <w:r w:rsidR="00C67DC9">
        <w:t xml:space="preserve"> una serie di </w:t>
      </w:r>
      <w:r>
        <w:t>domande</w:t>
      </w:r>
      <w:r w:rsidR="00EE40DA">
        <w:t xml:space="preserve"> per l’Ente riusante, al fine di verificare la propria situazione di contesto in relazione a tali fattori e così auto valutare le probabilità di successo di riuso della buona pratica. </w:t>
      </w:r>
    </w:p>
    <w:p w14:paraId="0ECD761C" w14:textId="14C115C9" w:rsidR="00F532FE" w:rsidRPr="003561C4" w:rsidRDefault="003561C4" w:rsidP="003561C4">
      <w:pPr>
        <w:pStyle w:val="Paragrafoelenco"/>
        <w:numPr>
          <w:ilvl w:val="0"/>
          <w:numId w:val="6"/>
        </w:numPr>
        <w:spacing w:before="120" w:after="0" w:line="240" w:lineRule="auto"/>
        <w:contextualSpacing w:val="0"/>
        <w:rPr>
          <w:b/>
        </w:rPr>
      </w:pPr>
      <w:r w:rsidRPr="00352F72">
        <w:rPr>
          <w:b/>
        </w:rPr>
        <w:t>L’Ente ha effettuato una verifica sull</w:t>
      </w:r>
      <w:r>
        <w:rPr>
          <w:b/>
        </w:rPr>
        <w:t xml:space="preserve">e competenze di tipo digitale, archivistico e project manager possedute </w:t>
      </w:r>
      <w:r w:rsidRPr="00352F72">
        <w:rPr>
          <w:b/>
        </w:rPr>
        <w:t>d</w:t>
      </w:r>
      <w:r>
        <w:rPr>
          <w:b/>
        </w:rPr>
        <w:t>a</w:t>
      </w:r>
      <w:r w:rsidRPr="00352F72">
        <w:rPr>
          <w:b/>
        </w:rPr>
        <w:t>l personale e ha contezza delle problematiche di gestione dei dati digitali?</w:t>
      </w:r>
    </w:p>
    <w:p w14:paraId="672EF68A" w14:textId="77777777" w:rsidR="003561C4" w:rsidRDefault="003561C4" w:rsidP="00EE40DA">
      <w:pPr>
        <w:ind w:left="360"/>
      </w:pPr>
    </w:p>
    <w:p w14:paraId="0E1A7C83" w14:textId="00552334" w:rsidR="00EE40DA" w:rsidRDefault="00267264" w:rsidP="003561C4">
      <w:pPr>
        <w:spacing w:before="120" w:after="0" w:line="240" w:lineRule="auto"/>
        <w:ind w:left="360"/>
        <w:rPr>
          <w:i/>
        </w:rPr>
      </w:pPr>
      <w:r>
        <w:t>Commento:</w:t>
      </w:r>
      <w:r w:rsidR="003561C4">
        <w:t xml:space="preserve"> </w:t>
      </w:r>
      <w:r w:rsidR="003561C4" w:rsidRPr="00352F72">
        <w:rPr>
          <w:i/>
        </w:rPr>
        <w:t>La domanda riguarda la problematica di gestione del rapporto tra operatori e sistema, al fine di non rallentare l’attività formativa e di assistenza post-formazione</w:t>
      </w:r>
    </w:p>
    <w:p w14:paraId="5D344121" w14:textId="77777777" w:rsidR="00A72BC8" w:rsidRPr="003561C4" w:rsidRDefault="00A72BC8" w:rsidP="003561C4">
      <w:pPr>
        <w:spacing w:before="120" w:after="0" w:line="240" w:lineRule="auto"/>
        <w:ind w:left="360"/>
        <w:rPr>
          <w:i/>
        </w:rPr>
      </w:pPr>
    </w:p>
    <w:p w14:paraId="241DF955" w14:textId="77777777" w:rsidR="00A72BC8" w:rsidRDefault="00A72BC8" w:rsidP="00A72BC8">
      <w:pPr>
        <w:pStyle w:val="Paragrafoelenco"/>
        <w:numPr>
          <w:ilvl w:val="0"/>
          <w:numId w:val="6"/>
        </w:numPr>
        <w:spacing w:before="120" w:after="0" w:line="240" w:lineRule="auto"/>
        <w:contextualSpacing w:val="0"/>
        <w:rPr>
          <w:b/>
        </w:rPr>
      </w:pPr>
      <w:r w:rsidRPr="00352F72">
        <w:rPr>
          <w:b/>
        </w:rPr>
        <w:t xml:space="preserve">L’Ente ha un </w:t>
      </w:r>
      <w:r>
        <w:rPr>
          <w:b/>
        </w:rPr>
        <w:t>istituito una struttura organizzativa con una responsabilità chiara della gestione del progetto?</w:t>
      </w:r>
    </w:p>
    <w:p w14:paraId="6FB08790" w14:textId="38B37485" w:rsidR="00A72BC8" w:rsidRPr="00A72BC8" w:rsidRDefault="00A72BC8" w:rsidP="00A72BC8">
      <w:pPr>
        <w:spacing w:before="120" w:after="0" w:line="240" w:lineRule="auto"/>
        <w:ind w:left="360"/>
        <w:rPr>
          <w:bCs/>
          <w:i/>
          <w:iCs/>
        </w:rPr>
      </w:pPr>
      <w:r>
        <w:rPr>
          <w:bCs/>
        </w:rPr>
        <w:t xml:space="preserve">Commento: </w:t>
      </w:r>
      <w:r>
        <w:rPr>
          <w:bCs/>
          <w:i/>
          <w:iCs/>
        </w:rPr>
        <w:t>La domanda riguarda la problematica della definizione di una struttura organizzativa adatta alla gestione del progetto di adozione della pratica</w:t>
      </w:r>
    </w:p>
    <w:p w14:paraId="4AF7EBCD" w14:textId="77777777" w:rsidR="00A72BC8" w:rsidRPr="00A72BC8" w:rsidRDefault="00A72BC8" w:rsidP="00A72BC8">
      <w:pPr>
        <w:spacing w:before="120" w:after="0" w:line="240" w:lineRule="auto"/>
        <w:rPr>
          <w:b/>
          <w:bCs/>
        </w:rPr>
      </w:pPr>
    </w:p>
    <w:p w14:paraId="624D89B5" w14:textId="77777777" w:rsidR="00A72BC8" w:rsidRDefault="00A72BC8" w:rsidP="00A72BC8">
      <w:pPr>
        <w:pStyle w:val="Paragrafoelenco"/>
        <w:numPr>
          <w:ilvl w:val="0"/>
          <w:numId w:val="6"/>
        </w:numPr>
        <w:spacing w:before="120" w:after="0" w:line="240" w:lineRule="auto"/>
        <w:rPr>
          <w:b/>
          <w:bCs/>
        </w:rPr>
      </w:pPr>
      <w:r>
        <w:rPr>
          <w:b/>
          <w:bCs/>
        </w:rPr>
        <w:t>L’ente ha definito l’organigramma e i permessi di accesso?</w:t>
      </w:r>
    </w:p>
    <w:p w14:paraId="53A8E242" w14:textId="5A0C774F" w:rsidR="00A72BC8" w:rsidRPr="00F305E9" w:rsidRDefault="00A72BC8" w:rsidP="00A72BC8">
      <w:pPr>
        <w:spacing w:before="120" w:after="0" w:line="240" w:lineRule="auto"/>
        <w:ind w:left="360"/>
        <w:rPr>
          <w:i/>
          <w:iCs/>
        </w:rPr>
      </w:pPr>
      <w:r>
        <w:t>Commento:</w:t>
      </w:r>
      <w:r w:rsidRPr="00F305E9">
        <w:rPr>
          <w:i/>
          <w:iCs/>
        </w:rPr>
        <w:t xml:space="preserve"> La domanda riguarda la problematica de</w:t>
      </w:r>
      <w:r>
        <w:rPr>
          <w:i/>
          <w:iCs/>
        </w:rPr>
        <w:t>lla sicurezza degli accessi</w:t>
      </w:r>
    </w:p>
    <w:p w14:paraId="5734B5B3" w14:textId="77777777" w:rsidR="00A72BC8" w:rsidRPr="00A72BC8" w:rsidRDefault="00A72BC8" w:rsidP="00A72BC8">
      <w:pPr>
        <w:pStyle w:val="Paragrafoelenco"/>
      </w:pPr>
    </w:p>
    <w:p w14:paraId="1539DB53" w14:textId="7A0970AE" w:rsidR="003561C4" w:rsidRDefault="003561C4" w:rsidP="003561C4">
      <w:pPr>
        <w:pStyle w:val="Paragrafoelenco"/>
        <w:numPr>
          <w:ilvl w:val="0"/>
          <w:numId w:val="6"/>
        </w:numPr>
      </w:pPr>
      <w:r w:rsidRPr="003561C4">
        <w:rPr>
          <w:b/>
          <w:bCs/>
        </w:rPr>
        <w:t>L’</w:t>
      </w:r>
      <w:r w:rsidR="001E0936">
        <w:rPr>
          <w:b/>
          <w:bCs/>
        </w:rPr>
        <w:t>E</w:t>
      </w:r>
      <w:r w:rsidRPr="003561C4">
        <w:rPr>
          <w:b/>
          <w:bCs/>
        </w:rPr>
        <w:t xml:space="preserve">nte </w:t>
      </w:r>
      <w:r>
        <w:rPr>
          <w:b/>
          <w:bCs/>
        </w:rPr>
        <w:t>ha verificato la necessità di integrazione con le infrastrutture nazionali quali SPID, PagoPa ecc?</w:t>
      </w:r>
    </w:p>
    <w:p w14:paraId="15529CDC" w14:textId="590C86D9" w:rsidR="00EE40DA" w:rsidRDefault="003561C4" w:rsidP="003561C4">
      <w:pPr>
        <w:spacing w:before="120" w:after="0" w:line="240" w:lineRule="auto"/>
        <w:ind w:left="360"/>
        <w:rPr>
          <w:i/>
        </w:rPr>
      </w:pPr>
      <w:r>
        <w:t xml:space="preserve">Commento: </w:t>
      </w:r>
      <w:r w:rsidRPr="003561C4">
        <w:rPr>
          <w:i/>
          <w:iCs/>
        </w:rPr>
        <w:t>La domanda riguarda la problematica di configurazione della buona pratica per inter operare con altri sistemi previsti dalle norme regionali e nazionali</w:t>
      </w:r>
    </w:p>
    <w:p w14:paraId="1C88EC0D" w14:textId="2DF60E22" w:rsidR="001E0936" w:rsidRPr="001E0936" w:rsidRDefault="001E0936" w:rsidP="001E0936">
      <w:pPr>
        <w:spacing w:before="120" w:after="0" w:line="240" w:lineRule="auto"/>
        <w:rPr>
          <w:bCs/>
          <w:i/>
          <w:iCs/>
        </w:rPr>
      </w:pPr>
    </w:p>
    <w:p w14:paraId="5C193DE8" w14:textId="77777777" w:rsidR="000B13CD" w:rsidRDefault="001E0936" w:rsidP="000B13CD">
      <w:pPr>
        <w:pStyle w:val="Paragrafoelenco"/>
        <w:numPr>
          <w:ilvl w:val="0"/>
          <w:numId w:val="6"/>
        </w:numPr>
        <w:spacing w:before="120" w:after="0" w:line="240" w:lineRule="auto"/>
        <w:contextualSpacing w:val="0"/>
        <w:rPr>
          <w:b/>
        </w:rPr>
      </w:pPr>
      <w:r w:rsidRPr="00352F72">
        <w:rPr>
          <w:b/>
        </w:rPr>
        <w:t xml:space="preserve">L’Ente ha </w:t>
      </w:r>
      <w:r>
        <w:rPr>
          <w:b/>
        </w:rPr>
        <w:t>messo in pratica</w:t>
      </w:r>
      <w:r w:rsidRPr="00352F72">
        <w:rPr>
          <w:b/>
        </w:rPr>
        <w:t xml:space="preserve"> il modello di trattamento dati </w:t>
      </w:r>
      <w:r>
        <w:rPr>
          <w:b/>
        </w:rPr>
        <w:t xml:space="preserve">in rispetto della </w:t>
      </w:r>
      <w:r w:rsidR="000B13CD">
        <w:rPr>
          <w:b/>
        </w:rPr>
        <w:t>normativa della privacy e gestione dati (GDPR)?</w:t>
      </w:r>
    </w:p>
    <w:p w14:paraId="66B61129" w14:textId="52308D03" w:rsidR="00F305E9" w:rsidRDefault="00267264" w:rsidP="00A72BC8">
      <w:pPr>
        <w:spacing w:before="120" w:after="0" w:line="240" w:lineRule="auto"/>
        <w:ind w:left="360"/>
        <w:rPr>
          <w:i/>
          <w:iCs/>
        </w:rPr>
      </w:pPr>
      <w:r>
        <w:t>Commento:</w:t>
      </w:r>
      <w:r w:rsidR="000B13CD">
        <w:rPr>
          <w:i/>
          <w:iCs/>
        </w:rPr>
        <w:t xml:space="preserve"> La domanda riguarda la problematica del trattamento dei dati in rispetto dell</w:t>
      </w:r>
      <w:r w:rsidR="00F305E9">
        <w:rPr>
          <w:i/>
          <w:iCs/>
        </w:rPr>
        <w:t>a normativa GDPR</w:t>
      </w:r>
    </w:p>
    <w:p w14:paraId="2B9E9E22" w14:textId="77777777" w:rsidR="00A72BC8" w:rsidRDefault="00A72BC8" w:rsidP="00A72BC8">
      <w:pPr>
        <w:spacing w:before="120" w:after="0" w:line="240" w:lineRule="auto"/>
        <w:ind w:left="360"/>
        <w:rPr>
          <w:i/>
          <w:iCs/>
        </w:rPr>
      </w:pPr>
    </w:p>
    <w:p w14:paraId="454DE517" w14:textId="3DE78EDB" w:rsidR="00F305E9" w:rsidRDefault="00F305E9" w:rsidP="00F305E9">
      <w:pPr>
        <w:pStyle w:val="Paragrafoelenco"/>
        <w:numPr>
          <w:ilvl w:val="0"/>
          <w:numId w:val="6"/>
        </w:numPr>
        <w:spacing w:before="120" w:after="0" w:line="240" w:lineRule="auto"/>
        <w:rPr>
          <w:b/>
          <w:bCs/>
        </w:rPr>
      </w:pPr>
      <w:r>
        <w:rPr>
          <w:b/>
          <w:bCs/>
        </w:rPr>
        <w:t>L’Ente ha progettato un’infrastruttura tecnologica con adeguati livelli di sicurezza?</w:t>
      </w:r>
    </w:p>
    <w:p w14:paraId="685FC479" w14:textId="37D2804D" w:rsidR="00F305E9" w:rsidRPr="00F305E9" w:rsidRDefault="00F305E9" w:rsidP="00F305E9">
      <w:pPr>
        <w:spacing w:before="120" w:after="0" w:line="240" w:lineRule="auto"/>
        <w:ind w:left="360"/>
        <w:rPr>
          <w:i/>
          <w:iCs/>
        </w:rPr>
      </w:pPr>
      <w:r>
        <w:t>Commento:</w:t>
      </w:r>
      <w:r w:rsidRPr="00F305E9">
        <w:rPr>
          <w:i/>
          <w:iCs/>
        </w:rPr>
        <w:t xml:space="preserve"> La domanda riguarda la problematica del</w:t>
      </w:r>
      <w:r w:rsidR="00A87F6B">
        <w:rPr>
          <w:i/>
          <w:iCs/>
        </w:rPr>
        <w:t>le infrastrutture tecnologiche e dei relativi livelli di sicurezza</w:t>
      </w:r>
    </w:p>
    <w:p w14:paraId="77602B37" w14:textId="77777777" w:rsidR="00F305E9" w:rsidRDefault="00F305E9" w:rsidP="00F305E9">
      <w:pPr>
        <w:pStyle w:val="Paragrafoelenco"/>
        <w:spacing w:before="120" w:after="0" w:line="240" w:lineRule="auto"/>
        <w:rPr>
          <w:b/>
          <w:bCs/>
        </w:rPr>
      </w:pPr>
    </w:p>
    <w:p w14:paraId="1D3BB78E" w14:textId="77777777" w:rsidR="00F305E9" w:rsidRPr="00F305E9" w:rsidRDefault="00F305E9" w:rsidP="00F305E9">
      <w:pPr>
        <w:pStyle w:val="Paragrafoelenco"/>
        <w:spacing w:before="120" w:after="0" w:line="240" w:lineRule="auto"/>
        <w:rPr>
          <w:b/>
          <w:bCs/>
        </w:rPr>
      </w:pPr>
    </w:p>
    <w:sectPr w:rsidR="00F305E9" w:rsidRPr="00F305E9" w:rsidSect="00A932B2">
      <w:headerReference w:type="default" r:id="rId9"/>
      <w:footerReference w:type="default" r:id="rId10"/>
      <w:headerReference w:type="first" r:id="rId11"/>
      <w:footerReference w:type="first" r:id="rId12"/>
      <w:pgSz w:w="11906" w:h="16838"/>
      <w:pgMar w:top="1935" w:right="1134" w:bottom="1850" w:left="1134" w:header="708"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F8B8" w14:textId="77777777" w:rsidR="00FB7014" w:rsidRDefault="00FB7014" w:rsidP="00DD7646">
      <w:r>
        <w:separator/>
      </w:r>
    </w:p>
  </w:endnote>
  <w:endnote w:type="continuationSeparator" w:id="0">
    <w:p w14:paraId="0481395C" w14:textId="77777777" w:rsidR="00FB7014" w:rsidRDefault="00FB7014"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168245"/>
      <w:docPartObj>
        <w:docPartGallery w:val="Page Numbers (Bottom of Page)"/>
        <w:docPartUnique/>
      </w:docPartObj>
    </w:sdtPr>
    <w:sdtEndPr/>
    <w:sdtContent>
      <w:p w14:paraId="74810604" w14:textId="3CF7B108" w:rsidR="00AA1C18" w:rsidRPr="00A060E2" w:rsidRDefault="00C72739">
        <w:pPr>
          <w:pStyle w:val="Pidipagina"/>
          <w:jc w:val="right"/>
          <w:rPr>
            <w:noProof/>
          </w:rPr>
        </w:pPr>
        <w:r>
          <w:rPr>
            <w:noProof/>
          </w:rPr>
          <w:drawing>
            <wp:anchor distT="0" distB="0" distL="114300" distR="114300" simplePos="0" relativeHeight="251669504" behindDoc="1" locked="0" layoutInCell="1" allowOverlap="1" wp14:anchorId="3FF657BC" wp14:editId="04B935B5">
              <wp:simplePos x="0" y="0"/>
              <wp:positionH relativeFrom="column">
                <wp:posOffset>-85144</wp:posOffset>
              </wp:positionH>
              <wp:positionV relativeFrom="paragraph">
                <wp:posOffset>49530</wp:posOffset>
              </wp:positionV>
              <wp:extent cx="4552950" cy="428463"/>
              <wp:effectExtent l="0" t="0" r="0" b="0"/>
              <wp:wrapTight wrapText="bothSides">
                <wp:wrapPolygon edited="0">
                  <wp:start x="0" y="0"/>
                  <wp:lineTo x="0" y="20190"/>
                  <wp:lineTo x="21510" y="20190"/>
                  <wp:lineTo x="21510"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stazione.PNG"/>
                      <pic:cNvPicPr/>
                    </pic:nvPicPr>
                    <pic:blipFill>
                      <a:blip r:embed="rId1">
                        <a:extLst>
                          <a:ext uri="{28A0092B-C50C-407E-A947-70E740481C1C}">
                            <a14:useLocalDpi xmlns:a14="http://schemas.microsoft.com/office/drawing/2010/main" val="0"/>
                          </a:ext>
                        </a:extLst>
                      </a:blip>
                      <a:stretch>
                        <a:fillRect/>
                      </a:stretch>
                    </pic:blipFill>
                    <pic:spPr>
                      <a:xfrm>
                        <a:off x="0" y="0"/>
                        <a:ext cx="4552950" cy="428463"/>
                      </a:xfrm>
                      <a:prstGeom prst="rect">
                        <a:avLst/>
                      </a:prstGeom>
                    </pic:spPr>
                  </pic:pic>
                </a:graphicData>
              </a:graphic>
            </wp:anchor>
          </w:drawing>
        </w:r>
      </w:p>
      <w:p w14:paraId="503CBC04" w14:textId="68EF3CAD" w:rsidR="00AA1C18" w:rsidRDefault="00EC45A5" w:rsidP="00C72739">
        <w:pPr>
          <w:pStyle w:val="Pidipagina"/>
          <w:tabs>
            <w:tab w:val="left" w:pos="2250"/>
          </w:tabs>
          <w:jc w:val="right"/>
        </w:pPr>
        <w:r>
          <w:rPr>
            <w:noProof/>
          </w:rPr>
          <w:tab/>
        </w:r>
        <w:r w:rsidR="00AA1C18">
          <w:fldChar w:fldCharType="begin"/>
        </w:r>
        <w:r w:rsidR="00AA1C18">
          <w:instrText>PAGE   \* MERGEFORMAT</w:instrText>
        </w:r>
        <w:r w:rsidR="00AA1C18">
          <w:fldChar w:fldCharType="separate"/>
        </w:r>
        <w:r w:rsidR="00AA1C18">
          <w:t>2</w:t>
        </w:r>
        <w:r w:rsidR="00AA1C18">
          <w:fldChar w:fldCharType="end"/>
        </w:r>
      </w:p>
    </w:sdtContent>
  </w:sdt>
  <w:p w14:paraId="2B6CB646" w14:textId="0F6568C0" w:rsidR="00AA1C18" w:rsidRDefault="00AA1C18"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E8A54" w14:textId="7992E5F1" w:rsidR="00EC45A5" w:rsidRDefault="00A63CBA">
    <w:pPr>
      <w:pStyle w:val="Pidipagina"/>
    </w:pPr>
    <w:r>
      <w:rPr>
        <w:noProof/>
      </w:rPr>
      <w:drawing>
        <wp:anchor distT="0" distB="0" distL="114300" distR="114300" simplePos="0" relativeHeight="251667456" behindDoc="1" locked="0" layoutInCell="1" allowOverlap="1" wp14:anchorId="138C59C5" wp14:editId="2BC98D36">
          <wp:simplePos x="0" y="0"/>
          <wp:positionH relativeFrom="column">
            <wp:posOffset>-50800</wp:posOffset>
          </wp:positionH>
          <wp:positionV relativeFrom="paragraph">
            <wp:posOffset>-222250</wp:posOffset>
          </wp:positionV>
          <wp:extent cx="4552950" cy="428463"/>
          <wp:effectExtent l="0" t="0" r="0" b="0"/>
          <wp:wrapTight wrapText="bothSides">
            <wp:wrapPolygon edited="0">
              <wp:start x="0" y="0"/>
              <wp:lineTo x="0" y="20190"/>
              <wp:lineTo x="21510" y="20190"/>
              <wp:lineTo x="2151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stazione.PNG"/>
                  <pic:cNvPicPr/>
                </pic:nvPicPr>
                <pic:blipFill>
                  <a:blip r:embed="rId1">
                    <a:extLst>
                      <a:ext uri="{28A0092B-C50C-407E-A947-70E740481C1C}">
                        <a14:useLocalDpi xmlns:a14="http://schemas.microsoft.com/office/drawing/2010/main" val="0"/>
                      </a:ext>
                    </a:extLst>
                  </a:blip>
                  <a:stretch>
                    <a:fillRect/>
                  </a:stretch>
                </pic:blipFill>
                <pic:spPr>
                  <a:xfrm>
                    <a:off x="0" y="0"/>
                    <a:ext cx="4552950" cy="42846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D47D2" w14:textId="77777777" w:rsidR="00FB7014" w:rsidRDefault="00FB7014" w:rsidP="00DD7646">
      <w:bookmarkStart w:id="0" w:name="_Hlk532206960"/>
      <w:bookmarkEnd w:id="0"/>
      <w:r>
        <w:separator/>
      </w:r>
    </w:p>
  </w:footnote>
  <w:footnote w:type="continuationSeparator" w:id="0">
    <w:p w14:paraId="2AAFA802" w14:textId="77777777" w:rsidR="00FB7014" w:rsidRDefault="00FB7014" w:rsidP="00DD7646">
      <w:r>
        <w:continuationSeparator/>
      </w:r>
    </w:p>
  </w:footnote>
  <w:footnote w:id="1">
    <w:p w14:paraId="6F0BA0BC" w14:textId="77777777" w:rsidR="00F532FE" w:rsidRPr="002E7DA6" w:rsidRDefault="00F532FE"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E1C8" w14:textId="29134EC3" w:rsidR="00AA1C18" w:rsidRDefault="00AA1C18"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AA1C18" w:rsidRDefault="00AA1C18" w:rsidP="00DD7646">
    <w:pPr>
      <w:pStyle w:val="Intestazione"/>
      <w:rPr>
        <w:noProof/>
        <w:lang w:eastAsia="it-IT"/>
      </w:rPr>
    </w:pPr>
  </w:p>
  <w:p w14:paraId="1766A562" w14:textId="77777777" w:rsidR="00AA1C18" w:rsidRDefault="00AA1C18" w:rsidP="00DD7646">
    <w:pPr>
      <w:pStyle w:val="Intestazione"/>
      <w:rPr>
        <w:noProof/>
        <w:lang w:eastAsia="it-IT"/>
      </w:rPr>
    </w:pPr>
  </w:p>
  <w:p w14:paraId="57E3635D" w14:textId="77777777" w:rsidR="00AA1C18" w:rsidRDefault="00AA1C18"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11D90" w14:textId="229A6A00" w:rsidR="00AA1C18" w:rsidRDefault="00AA1C18">
    <w:pPr>
      <w:pStyle w:val="Intestazione"/>
    </w:pPr>
    <w:r w:rsidRPr="007C0EEE">
      <w:rPr>
        <w:noProof/>
      </w:rPr>
      <w:drawing>
        <wp:anchor distT="0" distB="0" distL="114300" distR="114300" simplePos="0" relativeHeight="25166336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235C"/>
    <w:multiLevelType w:val="hybridMultilevel"/>
    <w:tmpl w:val="742A0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051190"/>
    <w:multiLevelType w:val="hybridMultilevel"/>
    <w:tmpl w:val="FF3C52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B75CA9"/>
    <w:multiLevelType w:val="multilevel"/>
    <w:tmpl w:val="0652D0E6"/>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10455"/>
    <w:rsid w:val="00010B4C"/>
    <w:rsid w:val="00012DCB"/>
    <w:rsid w:val="000226E2"/>
    <w:rsid w:val="0002789A"/>
    <w:rsid w:val="00031F5F"/>
    <w:rsid w:val="0003552C"/>
    <w:rsid w:val="000529ED"/>
    <w:rsid w:val="000564A9"/>
    <w:rsid w:val="0006160D"/>
    <w:rsid w:val="0007134D"/>
    <w:rsid w:val="000713E3"/>
    <w:rsid w:val="00077138"/>
    <w:rsid w:val="000849F1"/>
    <w:rsid w:val="000A16A9"/>
    <w:rsid w:val="000A34B4"/>
    <w:rsid w:val="000B13CD"/>
    <w:rsid w:val="000D7090"/>
    <w:rsid w:val="000E530E"/>
    <w:rsid w:val="000E590D"/>
    <w:rsid w:val="000F082C"/>
    <w:rsid w:val="000F2E78"/>
    <w:rsid w:val="000F72E5"/>
    <w:rsid w:val="00100823"/>
    <w:rsid w:val="00103A2F"/>
    <w:rsid w:val="00121BAD"/>
    <w:rsid w:val="00126539"/>
    <w:rsid w:val="00131A04"/>
    <w:rsid w:val="00132EE1"/>
    <w:rsid w:val="00134D9D"/>
    <w:rsid w:val="0013750E"/>
    <w:rsid w:val="001376B7"/>
    <w:rsid w:val="00145D54"/>
    <w:rsid w:val="001557CA"/>
    <w:rsid w:val="00155A74"/>
    <w:rsid w:val="001647B0"/>
    <w:rsid w:val="001714FE"/>
    <w:rsid w:val="00175A97"/>
    <w:rsid w:val="001774D1"/>
    <w:rsid w:val="001848FE"/>
    <w:rsid w:val="0018578C"/>
    <w:rsid w:val="001A1F24"/>
    <w:rsid w:val="001A2825"/>
    <w:rsid w:val="001A3E30"/>
    <w:rsid w:val="001A7A8E"/>
    <w:rsid w:val="001C536A"/>
    <w:rsid w:val="001D39BC"/>
    <w:rsid w:val="001E0936"/>
    <w:rsid w:val="001E4656"/>
    <w:rsid w:val="001E5217"/>
    <w:rsid w:val="001E631B"/>
    <w:rsid w:val="001F2BD1"/>
    <w:rsid w:val="002013C7"/>
    <w:rsid w:val="00212479"/>
    <w:rsid w:val="00213E83"/>
    <w:rsid w:val="00214C5E"/>
    <w:rsid w:val="0021609B"/>
    <w:rsid w:val="002229DC"/>
    <w:rsid w:val="0022605C"/>
    <w:rsid w:val="00231DB6"/>
    <w:rsid w:val="0023473B"/>
    <w:rsid w:val="00263339"/>
    <w:rsid w:val="00265925"/>
    <w:rsid w:val="00267264"/>
    <w:rsid w:val="002857A8"/>
    <w:rsid w:val="0029004C"/>
    <w:rsid w:val="0029689B"/>
    <w:rsid w:val="002A07FC"/>
    <w:rsid w:val="002A2700"/>
    <w:rsid w:val="002A4BC7"/>
    <w:rsid w:val="002B14CF"/>
    <w:rsid w:val="002B2198"/>
    <w:rsid w:val="002B3000"/>
    <w:rsid w:val="002B6A51"/>
    <w:rsid w:val="002B7ACE"/>
    <w:rsid w:val="002C034A"/>
    <w:rsid w:val="002C26BC"/>
    <w:rsid w:val="002D0E57"/>
    <w:rsid w:val="002D324B"/>
    <w:rsid w:val="002E4122"/>
    <w:rsid w:val="002E7DA6"/>
    <w:rsid w:val="002F2F77"/>
    <w:rsid w:val="00302069"/>
    <w:rsid w:val="00311E93"/>
    <w:rsid w:val="00313345"/>
    <w:rsid w:val="00317CB9"/>
    <w:rsid w:val="00324E98"/>
    <w:rsid w:val="00330B6E"/>
    <w:rsid w:val="00333699"/>
    <w:rsid w:val="00333E2F"/>
    <w:rsid w:val="003516D2"/>
    <w:rsid w:val="003561C4"/>
    <w:rsid w:val="00356FC4"/>
    <w:rsid w:val="00370837"/>
    <w:rsid w:val="00376DF5"/>
    <w:rsid w:val="00382BE5"/>
    <w:rsid w:val="00385444"/>
    <w:rsid w:val="003A2026"/>
    <w:rsid w:val="003A6AA8"/>
    <w:rsid w:val="003B1C74"/>
    <w:rsid w:val="003D1BB4"/>
    <w:rsid w:val="003E380F"/>
    <w:rsid w:val="003E7DBD"/>
    <w:rsid w:val="003F5045"/>
    <w:rsid w:val="003F5E1A"/>
    <w:rsid w:val="00400885"/>
    <w:rsid w:val="00402638"/>
    <w:rsid w:val="00410597"/>
    <w:rsid w:val="00433051"/>
    <w:rsid w:val="00433EC5"/>
    <w:rsid w:val="004362FA"/>
    <w:rsid w:val="004740DC"/>
    <w:rsid w:val="00474964"/>
    <w:rsid w:val="0047512E"/>
    <w:rsid w:val="00485ED2"/>
    <w:rsid w:val="004918C8"/>
    <w:rsid w:val="00496780"/>
    <w:rsid w:val="0049797C"/>
    <w:rsid w:val="004A51E0"/>
    <w:rsid w:val="004B407E"/>
    <w:rsid w:val="004B6205"/>
    <w:rsid w:val="004C7162"/>
    <w:rsid w:val="004D2FB9"/>
    <w:rsid w:val="004D7760"/>
    <w:rsid w:val="004E03CB"/>
    <w:rsid w:val="004E2832"/>
    <w:rsid w:val="004E46C6"/>
    <w:rsid w:val="004F4C14"/>
    <w:rsid w:val="0050064A"/>
    <w:rsid w:val="0050349A"/>
    <w:rsid w:val="00516A89"/>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A6F30"/>
    <w:rsid w:val="005B3259"/>
    <w:rsid w:val="005B54C4"/>
    <w:rsid w:val="005C26FB"/>
    <w:rsid w:val="005C2C3B"/>
    <w:rsid w:val="005D1DB7"/>
    <w:rsid w:val="005E64D1"/>
    <w:rsid w:val="006022DC"/>
    <w:rsid w:val="00621077"/>
    <w:rsid w:val="00625F86"/>
    <w:rsid w:val="00642946"/>
    <w:rsid w:val="006432E5"/>
    <w:rsid w:val="00653A7A"/>
    <w:rsid w:val="006629B7"/>
    <w:rsid w:val="00670070"/>
    <w:rsid w:val="006833D3"/>
    <w:rsid w:val="006B1B03"/>
    <w:rsid w:val="006B59F8"/>
    <w:rsid w:val="006B5C97"/>
    <w:rsid w:val="006B6780"/>
    <w:rsid w:val="006C68DD"/>
    <w:rsid w:val="006F5023"/>
    <w:rsid w:val="006F57A9"/>
    <w:rsid w:val="007009A4"/>
    <w:rsid w:val="00714524"/>
    <w:rsid w:val="00735415"/>
    <w:rsid w:val="0073650E"/>
    <w:rsid w:val="00742FA2"/>
    <w:rsid w:val="007528EF"/>
    <w:rsid w:val="007679D9"/>
    <w:rsid w:val="00773DC7"/>
    <w:rsid w:val="007755A0"/>
    <w:rsid w:val="00776B6D"/>
    <w:rsid w:val="00781C38"/>
    <w:rsid w:val="00786CC8"/>
    <w:rsid w:val="00786D2D"/>
    <w:rsid w:val="007917FE"/>
    <w:rsid w:val="007925A9"/>
    <w:rsid w:val="00796CA4"/>
    <w:rsid w:val="007979AF"/>
    <w:rsid w:val="007A3117"/>
    <w:rsid w:val="007A7679"/>
    <w:rsid w:val="007B0EAD"/>
    <w:rsid w:val="007B1021"/>
    <w:rsid w:val="007B487B"/>
    <w:rsid w:val="007B7D7C"/>
    <w:rsid w:val="007C0EEE"/>
    <w:rsid w:val="007C1C86"/>
    <w:rsid w:val="007C7B8E"/>
    <w:rsid w:val="007E17E0"/>
    <w:rsid w:val="007E2534"/>
    <w:rsid w:val="007E3BEE"/>
    <w:rsid w:val="007F07ED"/>
    <w:rsid w:val="007F3372"/>
    <w:rsid w:val="0080124B"/>
    <w:rsid w:val="008041E9"/>
    <w:rsid w:val="008110D7"/>
    <w:rsid w:val="00814D39"/>
    <w:rsid w:val="00821AF4"/>
    <w:rsid w:val="00827D01"/>
    <w:rsid w:val="00831C19"/>
    <w:rsid w:val="00832684"/>
    <w:rsid w:val="008356D1"/>
    <w:rsid w:val="00835866"/>
    <w:rsid w:val="00836B33"/>
    <w:rsid w:val="008536A2"/>
    <w:rsid w:val="008536DB"/>
    <w:rsid w:val="0085656E"/>
    <w:rsid w:val="00862BE9"/>
    <w:rsid w:val="00863E8F"/>
    <w:rsid w:val="00867471"/>
    <w:rsid w:val="00877E76"/>
    <w:rsid w:val="0088742D"/>
    <w:rsid w:val="008936B4"/>
    <w:rsid w:val="00893F2F"/>
    <w:rsid w:val="008A53F8"/>
    <w:rsid w:val="008B5AF5"/>
    <w:rsid w:val="008E1277"/>
    <w:rsid w:val="008F22B3"/>
    <w:rsid w:val="00913D12"/>
    <w:rsid w:val="00914E10"/>
    <w:rsid w:val="009176C2"/>
    <w:rsid w:val="00941895"/>
    <w:rsid w:val="00945207"/>
    <w:rsid w:val="00951910"/>
    <w:rsid w:val="009535D0"/>
    <w:rsid w:val="00955EDE"/>
    <w:rsid w:val="00982285"/>
    <w:rsid w:val="00984913"/>
    <w:rsid w:val="009878B9"/>
    <w:rsid w:val="00987DAD"/>
    <w:rsid w:val="00991AF1"/>
    <w:rsid w:val="009A6E7F"/>
    <w:rsid w:val="009B44BB"/>
    <w:rsid w:val="009E4190"/>
    <w:rsid w:val="009F0275"/>
    <w:rsid w:val="00A00B0A"/>
    <w:rsid w:val="00A11057"/>
    <w:rsid w:val="00A1231C"/>
    <w:rsid w:val="00A23233"/>
    <w:rsid w:val="00A3251E"/>
    <w:rsid w:val="00A467D9"/>
    <w:rsid w:val="00A540AC"/>
    <w:rsid w:val="00A63CBA"/>
    <w:rsid w:val="00A72BC8"/>
    <w:rsid w:val="00A82D48"/>
    <w:rsid w:val="00A87F6B"/>
    <w:rsid w:val="00A932B2"/>
    <w:rsid w:val="00AA1C18"/>
    <w:rsid w:val="00AA5E7F"/>
    <w:rsid w:val="00AA7E1C"/>
    <w:rsid w:val="00AB2F51"/>
    <w:rsid w:val="00AB5443"/>
    <w:rsid w:val="00AC384E"/>
    <w:rsid w:val="00AC4C9C"/>
    <w:rsid w:val="00AD4035"/>
    <w:rsid w:val="00AD4E94"/>
    <w:rsid w:val="00B023E4"/>
    <w:rsid w:val="00B044BF"/>
    <w:rsid w:val="00B05666"/>
    <w:rsid w:val="00B15681"/>
    <w:rsid w:val="00B16C08"/>
    <w:rsid w:val="00B32479"/>
    <w:rsid w:val="00B44893"/>
    <w:rsid w:val="00B5585F"/>
    <w:rsid w:val="00B56201"/>
    <w:rsid w:val="00B6005A"/>
    <w:rsid w:val="00B62729"/>
    <w:rsid w:val="00B62D75"/>
    <w:rsid w:val="00B67F47"/>
    <w:rsid w:val="00B7094C"/>
    <w:rsid w:val="00B80A90"/>
    <w:rsid w:val="00B91817"/>
    <w:rsid w:val="00B970E7"/>
    <w:rsid w:val="00BA0D02"/>
    <w:rsid w:val="00BA57B8"/>
    <w:rsid w:val="00BD322D"/>
    <w:rsid w:val="00BD5DC9"/>
    <w:rsid w:val="00BD6D59"/>
    <w:rsid w:val="00BD7169"/>
    <w:rsid w:val="00BE52E4"/>
    <w:rsid w:val="00C00277"/>
    <w:rsid w:val="00C00A35"/>
    <w:rsid w:val="00C01FE3"/>
    <w:rsid w:val="00C02919"/>
    <w:rsid w:val="00C03DCB"/>
    <w:rsid w:val="00C13B00"/>
    <w:rsid w:val="00C630FF"/>
    <w:rsid w:val="00C67DC9"/>
    <w:rsid w:val="00C72739"/>
    <w:rsid w:val="00C7353B"/>
    <w:rsid w:val="00C74731"/>
    <w:rsid w:val="00C80DD9"/>
    <w:rsid w:val="00C82BCC"/>
    <w:rsid w:val="00C91FDB"/>
    <w:rsid w:val="00C94EBB"/>
    <w:rsid w:val="00CB0B4D"/>
    <w:rsid w:val="00CB3644"/>
    <w:rsid w:val="00CD2D37"/>
    <w:rsid w:val="00CD3389"/>
    <w:rsid w:val="00CD5B41"/>
    <w:rsid w:val="00CF6DA9"/>
    <w:rsid w:val="00D12AFC"/>
    <w:rsid w:val="00D15878"/>
    <w:rsid w:val="00D16196"/>
    <w:rsid w:val="00D205B3"/>
    <w:rsid w:val="00D2509C"/>
    <w:rsid w:val="00D30A00"/>
    <w:rsid w:val="00D31DCB"/>
    <w:rsid w:val="00D37968"/>
    <w:rsid w:val="00D67E92"/>
    <w:rsid w:val="00D767B6"/>
    <w:rsid w:val="00D76CA8"/>
    <w:rsid w:val="00D76E07"/>
    <w:rsid w:val="00D77EC6"/>
    <w:rsid w:val="00D83AFA"/>
    <w:rsid w:val="00D83F8D"/>
    <w:rsid w:val="00D90A88"/>
    <w:rsid w:val="00D92428"/>
    <w:rsid w:val="00D933B6"/>
    <w:rsid w:val="00DA2B4E"/>
    <w:rsid w:val="00DB6287"/>
    <w:rsid w:val="00DD24D2"/>
    <w:rsid w:val="00DD7646"/>
    <w:rsid w:val="00DF020A"/>
    <w:rsid w:val="00E01284"/>
    <w:rsid w:val="00E01569"/>
    <w:rsid w:val="00E02138"/>
    <w:rsid w:val="00E04805"/>
    <w:rsid w:val="00E05E49"/>
    <w:rsid w:val="00E06E98"/>
    <w:rsid w:val="00E223FB"/>
    <w:rsid w:val="00E3429B"/>
    <w:rsid w:val="00E470A9"/>
    <w:rsid w:val="00E5312E"/>
    <w:rsid w:val="00E60534"/>
    <w:rsid w:val="00E65B56"/>
    <w:rsid w:val="00E80BBA"/>
    <w:rsid w:val="00E84EA3"/>
    <w:rsid w:val="00E911CB"/>
    <w:rsid w:val="00E917B0"/>
    <w:rsid w:val="00EA7939"/>
    <w:rsid w:val="00EA7B04"/>
    <w:rsid w:val="00EC0A29"/>
    <w:rsid w:val="00EC101B"/>
    <w:rsid w:val="00EC3560"/>
    <w:rsid w:val="00EC3646"/>
    <w:rsid w:val="00EC45A5"/>
    <w:rsid w:val="00EC5509"/>
    <w:rsid w:val="00EC757B"/>
    <w:rsid w:val="00ED289C"/>
    <w:rsid w:val="00EE2B40"/>
    <w:rsid w:val="00EE40DA"/>
    <w:rsid w:val="00F02CA4"/>
    <w:rsid w:val="00F076CE"/>
    <w:rsid w:val="00F1383B"/>
    <w:rsid w:val="00F305E9"/>
    <w:rsid w:val="00F31C3C"/>
    <w:rsid w:val="00F34A0D"/>
    <w:rsid w:val="00F34D5F"/>
    <w:rsid w:val="00F37E1A"/>
    <w:rsid w:val="00F4296B"/>
    <w:rsid w:val="00F441D2"/>
    <w:rsid w:val="00F45CCB"/>
    <w:rsid w:val="00F46771"/>
    <w:rsid w:val="00F51855"/>
    <w:rsid w:val="00F51E1D"/>
    <w:rsid w:val="00F532FE"/>
    <w:rsid w:val="00F56EA7"/>
    <w:rsid w:val="00F62DBE"/>
    <w:rsid w:val="00F7402A"/>
    <w:rsid w:val="00FA0C2C"/>
    <w:rsid w:val="00FA2BFE"/>
    <w:rsid w:val="00FB7014"/>
    <w:rsid w:val="00FC3C27"/>
    <w:rsid w:val="00FD6B53"/>
    <w:rsid w:val="00FE7180"/>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Standard">
    <w:name w:val="Standard"/>
    <w:rsid w:val="00913D1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913D12"/>
    <w:pPr>
      <w:suppressLineNumbers/>
    </w:pPr>
  </w:style>
  <w:style w:type="paragraph" w:customStyle="1" w:styleId="TitleandContentLTGliederung1">
    <w:name w:val="Title and Content~LT~Gliederung 1"/>
    <w:rsid w:val="00913D12"/>
    <w:pPr>
      <w:suppressAutoHyphens/>
      <w:autoSpaceDN w:val="0"/>
      <w:spacing w:before="283" w:after="0" w:line="200" w:lineRule="atLeast"/>
      <w:textAlignment w:val="baseline"/>
    </w:pPr>
    <w:rPr>
      <w:rFonts w:ascii="Mangal" w:eastAsia="Tahoma" w:hAnsi="Mangal" w:cs="Liberation Sans"/>
      <w:color w:val="000000"/>
      <w:kern w:val="3"/>
      <w:sz w:val="54"/>
      <w:szCs w:val="24"/>
      <w:lang w:eastAsia="zh-CN" w:bidi="hi-IN"/>
    </w:rPr>
  </w:style>
  <w:style w:type="table" w:customStyle="1" w:styleId="Tabellagriglia5scura-colore21">
    <w:name w:val="Tabella griglia 5 scura - colore 21"/>
    <w:basedOn w:val="Tabellanormale"/>
    <w:uiPriority w:val="50"/>
    <w:rsid w:val="007755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03E58A8-7142-4EDB-83C2-825696092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7</Pages>
  <Words>1767</Words>
  <Characters>10078</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Matteo Villettaz</cp:lastModifiedBy>
  <cp:revision>44</cp:revision>
  <cp:lastPrinted>2018-12-05T16:48:00Z</cp:lastPrinted>
  <dcterms:created xsi:type="dcterms:W3CDTF">2018-12-10T13:53:00Z</dcterms:created>
  <dcterms:modified xsi:type="dcterms:W3CDTF">2020-05-06T14:36:00Z</dcterms:modified>
</cp:coreProperties>
</file>