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AC6EB" w14:textId="53AEF65C" w:rsidR="005441F9" w:rsidRDefault="005441F9" w:rsidP="00DD7646">
      <w:pPr>
        <w:pStyle w:val="Titolo"/>
      </w:pPr>
    </w:p>
    <w:p w14:paraId="054DD4E1" w14:textId="2873424F" w:rsidR="00DD7646" w:rsidRDefault="00DD7646" w:rsidP="00DD7646">
      <w:pPr>
        <w:pStyle w:val="Titolo"/>
      </w:pPr>
    </w:p>
    <w:p w14:paraId="15EC755C" w14:textId="77777777" w:rsidR="00DD7646" w:rsidRDefault="00DD7646" w:rsidP="00DD7646">
      <w:pPr>
        <w:pStyle w:val="Titolo"/>
      </w:pPr>
    </w:p>
    <w:p w14:paraId="2B5F180D" w14:textId="2F56AA29" w:rsidR="00DD7646" w:rsidRPr="00EC45A5" w:rsidRDefault="006948AF" w:rsidP="00EC45A5">
      <w:pPr>
        <w:pStyle w:val="Titolo"/>
        <w:ind w:left="567"/>
        <w:jc w:val="left"/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</w:pPr>
      <w:r>
        <w:rPr>
          <w:rFonts w:eastAsiaTheme="minorHAnsi" w:cstheme="minorBidi"/>
          <w:b/>
          <w:color w:val="2F5496" w:themeColor="accent5" w:themeShade="BF"/>
          <w:spacing w:val="0"/>
          <w:kern w:val="0"/>
          <w:sz w:val="48"/>
          <w:szCs w:val="48"/>
        </w:rPr>
        <w:t>Progetto Prodigio</w:t>
      </w:r>
    </w:p>
    <w:p w14:paraId="56C6E390" w14:textId="77777777" w:rsidR="00F532FE" w:rsidRPr="00F532FE" w:rsidRDefault="000A34B4" w:rsidP="00EC45A5">
      <w:pPr>
        <w:ind w:left="567"/>
        <w:jc w:val="left"/>
        <w:rPr>
          <w:b/>
          <w:color w:val="2F5496" w:themeColor="accent5" w:themeShade="BF"/>
          <w:sz w:val="38"/>
          <w:szCs w:val="38"/>
        </w:rPr>
      </w:pPr>
      <w:r w:rsidRPr="00F532FE">
        <w:rPr>
          <w:b/>
          <w:color w:val="2F5496" w:themeColor="accent5" w:themeShade="BF"/>
          <w:sz w:val="38"/>
          <w:szCs w:val="38"/>
        </w:rPr>
        <w:t>KIT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d</w:t>
      </w:r>
      <w:r w:rsidR="000E590D" w:rsidRPr="00F532FE">
        <w:rPr>
          <w:b/>
          <w:color w:val="2F5496" w:themeColor="accent5" w:themeShade="BF"/>
          <w:sz w:val="38"/>
          <w:szCs w:val="38"/>
        </w:rPr>
        <w:t>i</w:t>
      </w:r>
      <w:r w:rsidR="00DD7646" w:rsidRPr="00F532FE">
        <w:rPr>
          <w:b/>
          <w:color w:val="2F5496" w:themeColor="accent5" w:themeShade="BF"/>
          <w:sz w:val="38"/>
          <w:szCs w:val="38"/>
        </w:rPr>
        <w:t xml:space="preserve"> riuso</w:t>
      </w:r>
      <w:r w:rsidR="00AA1C18" w:rsidRPr="00F532FE">
        <w:rPr>
          <w:b/>
          <w:color w:val="2F5496" w:themeColor="accent5" w:themeShade="BF"/>
          <w:sz w:val="38"/>
          <w:szCs w:val="38"/>
        </w:rPr>
        <w:t xml:space="preserve"> </w:t>
      </w:r>
      <w:r w:rsidR="00F532FE" w:rsidRPr="00F532FE">
        <w:rPr>
          <w:b/>
          <w:color w:val="2F5496" w:themeColor="accent5" w:themeShade="BF"/>
          <w:sz w:val="38"/>
          <w:szCs w:val="38"/>
        </w:rPr>
        <w:t>Fase A - Ricerca e selezione della buona pratica</w:t>
      </w:r>
    </w:p>
    <w:p w14:paraId="5AF5B6F9" w14:textId="1E7119C0" w:rsidR="00F532FE" w:rsidRPr="00EC45A5" w:rsidRDefault="00EC45A5" w:rsidP="000E590D">
      <w:pPr>
        <w:ind w:left="567"/>
        <w:jc w:val="left"/>
        <w:rPr>
          <w:b/>
          <w:color w:val="2F5496" w:themeColor="accent5" w:themeShade="BF"/>
          <w:sz w:val="36"/>
          <w:szCs w:val="48"/>
          <w:u w:val="single"/>
        </w:rPr>
      </w:pPr>
      <w:r w:rsidRPr="00EC45A5">
        <w:rPr>
          <w:b/>
          <w:color w:val="2F5496" w:themeColor="accent5" w:themeShade="BF"/>
          <w:sz w:val="36"/>
          <w:szCs w:val="48"/>
          <w:u w:val="single"/>
        </w:rPr>
        <w:t>A</w:t>
      </w:r>
      <w:r w:rsidR="00E22A8E">
        <w:rPr>
          <w:b/>
          <w:color w:val="2F5496" w:themeColor="accent5" w:themeShade="BF"/>
          <w:sz w:val="36"/>
          <w:szCs w:val="48"/>
          <w:u w:val="single"/>
        </w:rPr>
        <w:t>5</w:t>
      </w:r>
      <w:r w:rsidRPr="00EC45A5">
        <w:rPr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EC45A5">
        <w:rPr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EC45A5">
        <w:rPr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B917E5">
        <w:rPr>
          <w:b/>
          <w:color w:val="2F5496" w:themeColor="accent5" w:themeShade="BF"/>
          <w:sz w:val="36"/>
          <w:szCs w:val="48"/>
          <w:u w:val="single"/>
        </w:rPr>
        <w:t>informativi e formativi</w:t>
      </w:r>
    </w:p>
    <w:p w14:paraId="31F24209" w14:textId="7CE459EF" w:rsidR="00AA1C18" w:rsidRPr="00EC45A5" w:rsidRDefault="0047512E" w:rsidP="000E590D">
      <w:pPr>
        <w:ind w:left="567"/>
        <w:jc w:val="left"/>
        <w:rPr>
          <w:b/>
          <w:color w:val="2F5496" w:themeColor="accent5" w:themeShade="BF"/>
          <w:sz w:val="28"/>
          <w:szCs w:val="48"/>
        </w:rPr>
      </w:pPr>
      <w:r w:rsidRPr="00EC45A5">
        <w:rPr>
          <w:b/>
          <w:color w:val="2F5496" w:themeColor="accent5" w:themeShade="BF"/>
          <w:sz w:val="28"/>
          <w:szCs w:val="48"/>
        </w:rPr>
        <w:t>A</w:t>
      </w:r>
      <w:r w:rsidR="00B917E5">
        <w:rPr>
          <w:b/>
          <w:color w:val="2F5496" w:themeColor="accent5" w:themeShade="BF"/>
          <w:sz w:val="28"/>
          <w:szCs w:val="48"/>
        </w:rPr>
        <w:t>5</w:t>
      </w:r>
      <w:r w:rsidRPr="00EC45A5">
        <w:rPr>
          <w:b/>
          <w:color w:val="2F5496" w:themeColor="accent5" w:themeShade="BF"/>
          <w:sz w:val="28"/>
          <w:szCs w:val="48"/>
        </w:rPr>
        <w:t>.</w:t>
      </w:r>
      <w:r w:rsidR="00EC45A5" w:rsidRPr="00EC45A5">
        <w:rPr>
          <w:b/>
          <w:color w:val="2F5496" w:themeColor="accent5" w:themeShade="BF"/>
          <w:sz w:val="28"/>
          <w:szCs w:val="48"/>
        </w:rPr>
        <w:t>1</w:t>
      </w:r>
      <w:r w:rsidRPr="00EC45A5">
        <w:rPr>
          <w:b/>
          <w:color w:val="2F5496" w:themeColor="accent5" w:themeShade="BF"/>
          <w:sz w:val="28"/>
          <w:szCs w:val="48"/>
        </w:rPr>
        <w:t xml:space="preserve"> </w:t>
      </w:r>
      <w:r w:rsidR="00B917E5">
        <w:rPr>
          <w:b/>
          <w:color w:val="2F5496" w:themeColor="accent5" w:themeShade="BF"/>
          <w:sz w:val="28"/>
          <w:szCs w:val="48"/>
        </w:rPr>
        <w:t>Sintesi della buona pratica</w:t>
      </w:r>
    </w:p>
    <w:p w14:paraId="40C8046E" w14:textId="72C00053" w:rsidR="00EC45A5" w:rsidRPr="00EC45A5" w:rsidRDefault="00EC45A5" w:rsidP="000E590D">
      <w:pPr>
        <w:ind w:left="567"/>
        <w:jc w:val="left"/>
        <w:rPr>
          <w:b/>
          <w:color w:val="2F5496" w:themeColor="accent5" w:themeShade="BF"/>
          <w:sz w:val="28"/>
          <w:szCs w:val="48"/>
        </w:rPr>
      </w:pPr>
      <w:r w:rsidRPr="00EC45A5">
        <w:rPr>
          <w:b/>
          <w:color w:val="2F5496" w:themeColor="accent5" w:themeShade="BF"/>
          <w:sz w:val="28"/>
          <w:szCs w:val="48"/>
        </w:rPr>
        <w:t>A</w:t>
      </w:r>
      <w:r w:rsidR="00B917E5">
        <w:rPr>
          <w:b/>
          <w:color w:val="2F5496" w:themeColor="accent5" w:themeShade="BF"/>
          <w:sz w:val="28"/>
          <w:szCs w:val="48"/>
        </w:rPr>
        <w:t>5</w:t>
      </w:r>
      <w:r w:rsidRPr="00EC45A5">
        <w:rPr>
          <w:b/>
          <w:color w:val="2F5496" w:themeColor="accent5" w:themeShade="BF"/>
          <w:sz w:val="28"/>
          <w:szCs w:val="48"/>
        </w:rPr>
        <w:t>.</w:t>
      </w:r>
      <w:r w:rsidR="00CF5606">
        <w:rPr>
          <w:b/>
          <w:color w:val="2F5496" w:themeColor="accent5" w:themeShade="BF"/>
          <w:sz w:val="28"/>
          <w:szCs w:val="48"/>
        </w:rPr>
        <w:t xml:space="preserve">2 </w:t>
      </w:r>
      <w:r w:rsidR="00B917E5">
        <w:rPr>
          <w:b/>
          <w:color w:val="2F5496" w:themeColor="accent5" w:themeShade="BF"/>
          <w:sz w:val="28"/>
          <w:szCs w:val="48"/>
        </w:rPr>
        <w:t xml:space="preserve">Amministrazioni che adottano </w:t>
      </w:r>
      <w:r w:rsidR="00CF5606" w:rsidRPr="00CF5606">
        <w:rPr>
          <w:b/>
          <w:color w:val="2F5496" w:themeColor="accent5" w:themeShade="BF"/>
          <w:sz w:val="28"/>
          <w:szCs w:val="48"/>
        </w:rPr>
        <w:t>la buona pratica</w:t>
      </w:r>
    </w:p>
    <w:p w14:paraId="309A334F" w14:textId="16675D02" w:rsidR="004D7760" w:rsidRDefault="004D7760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0E590D" w:rsidRDefault="00A932B2" w:rsidP="000E590D">
      <w:pPr>
        <w:ind w:left="567"/>
        <w:jc w:val="left"/>
        <w:rPr>
          <w:b/>
          <w:color w:val="2F5496" w:themeColor="accent5" w:themeShade="BF"/>
          <w:sz w:val="40"/>
          <w:szCs w:val="48"/>
        </w:rPr>
      </w:pPr>
    </w:p>
    <w:p w14:paraId="3F9D73AE" w14:textId="0454B487" w:rsidR="004D7760" w:rsidRDefault="004D7760" w:rsidP="004D7760">
      <w:pPr>
        <w:ind w:left="567"/>
      </w:pPr>
      <w:r>
        <w:t xml:space="preserve">Data rilascio: </w:t>
      </w:r>
      <w:r w:rsidR="00AA1C18">
        <w:t>1</w:t>
      </w:r>
      <w:r w:rsidR="009E4190">
        <w:t>0</w:t>
      </w:r>
      <w:r>
        <w:t>/1</w:t>
      </w:r>
      <w:r w:rsidR="00C80DD9">
        <w:t>2</w:t>
      </w:r>
      <w:r>
        <w:t>/2018</w:t>
      </w:r>
    </w:p>
    <w:p w14:paraId="166BBA59" w14:textId="77777777" w:rsidR="004D7760" w:rsidRPr="000E590D" w:rsidRDefault="004D7760" w:rsidP="004D7760">
      <w:pPr>
        <w:ind w:left="567"/>
      </w:pPr>
      <w:r>
        <w:t>Versione: 1.0</w:t>
      </w:r>
    </w:p>
    <w:p w14:paraId="40423BF5" w14:textId="75BCE0C7" w:rsidR="00DD7646" w:rsidRDefault="00DD7646" w:rsidP="00DD7646">
      <w:r>
        <w:br w:type="page"/>
      </w:r>
    </w:p>
    <w:p w14:paraId="4802EFBC" w14:textId="77777777" w:rsidR="000E590D" w:rsidRDefault="000E590D" w:rsidP="001376B7">
      <w:pPr>
        <w:pStyle w:val="Titolo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>
          <w:pPr>
            <w:pStyle w:val="Titolosommario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05D72477" w14:textId="38B2065C" w:rsidR="004C5073" w:rsidRDefault="004A51E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32642" w:history="1">
            <w:r w:rsidR="004C5073" w:rsidRPr="0026435B">
              <w:rPr>
                <w:rStyle w:val="Collegamentoipertestuale"/>
                <w:noProof/>
              </w:rPr>
              <w:t>Premessa</w:t>
            </w:r>
            <w:r w:rsidR="004C5073">
              <w:rPr>
                <w:noProof/>
                <w:webHidden/>
              </w:rPr>
              <w:tab/>
            </w:r>
            <w:r w:rsidR="004C5073">
              <w:rPr>
                <w:noProof/>
                <w:webHidden/>
              </w:rPr>
              <w:fldChar w:fldCharType="begin"/>
            </w:r>
            <w:r w:rsidR="004C5073">
              <w:rPr>
                <w:noProof/>
                <w:webHidden/>
              </w:rPr>
              <w:instrText xml:space="preserve"> PAGEREF _Toc532232642 \h </w:instrText>
            </w:r>
            <w:r w:rsidR="004C5073">
              <w:rPr>
                <w:noProof/>
                <w:webHidden/>
              </w:rPr>
            </w:r>
            <w:r w:rsidR="004C5073">
              <w:rPr>
                <w:noProof/>
                <w:webHidden/>
              </w:rPr>
              <w:fldChar w:fldCharType="separate"/>
            </w:r>
            <w:r w:rsidR="004C5073">
              <w:rPr>
                <w:noProof/>
                <w:webHidden/>
              </w:rPr>
              <w:t>2</w:t>
            </w:r>
            <w:r w:rsidR="004C5073">
              <w:rPr>
                <w:noProof/>
                <w:webHidden/>
              </w:rPr>
              <w:fldChar w:fldCharType="end"/>
            </w:r>
          </w:hyperlink>
        </w:p>
        <w:p w14:paraId="299EAC71" w14:textId="20D8CD24" w:rsidR="004C5073" w:rsidRDefault="00E41A09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532232643" w:history="1">
            <w:r w:rsidR="004C5073" w:rsidRPr="0026435B">
              <w:rPr>
                <w:rStyle w:val="Collegamentoipertestuale"/>
                <w:noProof/>
              </w:rPr>
              <w:t>1.</w:t>
            </w:r>
            <w:r w:rsidR="004C5073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4C5073" w:rsidRPr="0026435B">
              <w:rPr>
                <w:rStyle w:val="Collegamentoipertestuale"/>
                <w:noProof/>
              </w:rPr>
              <w:t>Sintesi della buona pratica</w:t>
            </w:r>
            <w:r w:rsidR="004C5073">
              <w:rPr>
                <w:noProof/>
                <w:webHidden/>
              </w:rPr>
              <w:tab/>
            </w:r>
            <w:r w:rsidR="004C5073">
              <w:rPr>
                <w:noProof/>
                <w:webHidden/>
              </w:rPr>
              <w:fldChar w:fldCharType="begin"/>
            </w:r>
            <w:r w:rsidR="004C5073">
              <w:rPr>
                <w:noProof/>
                <w:webHidden/>
              </w:rPr>
              <w:instrText xml:space="preserve"> PAGEREF _Toc532232643 \h </w:instrText>
            </w:r>
            <w:r w:rsidR="004C5073">
              <w:rPr>
                <w:noProof/>
                <w:webHidden/>
              </w:rPr>
            </w:r>
            <w:r w:rsidR="004C5073">
              <w:rPr>
                <w:noProof/>
                <w:webHidden/>
              </w:rPr>
              <w:fldChar w:fldCharType="separate"/>
            </w:r>
            <w:r w:rsidR="004C5073">
              <w:rPr>
                <w:noProof/>
                <w:webHidden/>
              </w:rPr>
              <w:t>2</w:t>
            </w:r>
            <w:r w:rsidR="004C5073">
              <w:rPr>
                <w:noProof/>
                <w:webHidden/>
              </w:rPr>
              <w:fldChar w:fldCharType="end"/>
            </w:r>
          </w:hyperlink>
        </w:p>
        <w:p w14:paraId="474A4244" w14:textId="3AF44E60" w:rsidR="004C5073" w:rsidRDefault="00E41A09">
          <w:pPr>
            <w:pStyle w:val="Sommario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532232644" w:history="1">
            <w:r w:rsidR="004C5073" w:rsidRPr="0026435B">
              <w:rPr>
                <w:rStyle w:val="Collegamentoipertestuale"/>
                <w:noProof/>
              </w:rPr>
              <w:t>2.</w:t>
            </w:r>
            <w:r w:rsidR="004C5073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4C5073" w:rsidRPr="0026435B">
              <w:rPr>
                <w:rStyle w:val="Collegamentoipertestuale"/>
                <w:noProof/>
              </w:rPr>
              <w:t>Amministrazioni che adottano la buona pratica</w:t>
            </w:r>
            <w:r w:rsidR="004C5073">
              <w:rPr>
                <w:noProof/>
                <w:webHidden/>
              </w:rPr>
              <w:tab/>
            </w:r>
            <w:r w:rsidR="004C5073">
              <w:rPr>
                <w:noProof/>
                <w:webHidden/>
              </w:rPr>
              <w:fldChar w:fldCharType="begin"/>
            </w:r>
            <w:r w:rsidR="004C5073">
              <w:rPr>
                <w:noProof/>
                <w:webHidden/>
              </w:rPr>
              <w:instrText xml:space="preserve"> PAGEREF _Toc532232644 \h </w:instrText>
            </w:r>
            <w:r w:rsidR="004C5073">
              <w:rPr>
                <w:noProof/>
                <w:webHidden/>
              </w:rPr>
            </w:r>
            <w:r w:rsidR="004C5073">
              <w:rPr>
                <w:noProof/>
                <w:webHidden/>
              </w:rPr>
              <w:fldChar w:fldCharType="separate"/>
            </w:r>
            <w:r w:rsidR="004C5073">
              <w:rPr>
                <w:noProof/>
                <w:webHidden/>
              </w:rPr>
              <w:t>2</w:t>
            </w:r>
            <w:r w:rsidR="004C5073">
              <w:rPr>
                <w:noProof/>
                <w:webHidden/>
              </w:rPr>
              <w:fldChar w:fldCharType="end"/>
            </w:r>
          </w:hyperlink>
        </w:p>
        <w:p w14:paraId="620CD876" w14:textId="7B91076F" w:rsidR="004A51E0" w:rsidRDefault="004A51E0"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77777777" w:rsidR="00B62729" w:rsidRPr="001376B7" w:rsidRDefault="00B62729" w:rsidP="001376B7">
      <w:pPr>
        <w:pStyle w:val="Titolo1"/>
      </w:pPr>
      <w:bookmarkStart w:id="1" w:name="_Toc532232642"/>
      <w:r w:rsidRPr="001376B7">
        <w:lastRenderedPageBreak/>
        <w:t>Premessa</w:t>
      </w:r>
      <w:bookmarkEnd w:id="1"/>
    </w:p>
    <w:p w14:paraId="05298580" w14:textId="72540A58" w:rsidR="00D05C9C" w:rsidRPr="000564A9" w:rsidRDefault="00955EDE" w:rsidP="00D05C9C">
      <w:r>
        <w:t xml:space="preserve">Il presente documento </w:t>
      </w:r>
      <w:r w:rsidR="00F532FE">
        <w:t xml:space="preserve">raccoglie </w:t>
      </w:r>
      <w:r w:rsidR="0047512E">
        <w:t>g</w:t>
      </w:r>
      <w:r w:rsidR="0047512E" w:rsidRPr="0047512E">
        <w:t xml:space="preserve">li </w:t>
      </w:r>
      <w:r w:rsidR="0047512E" w:rsidRPr="0047512E">
        <w:rPr>
          <w:b/>
        </w:rPr>
        <w:t xml:space="preserve">strumenti </w:t>
      </w:r>
      <w:r w:rsidR="00416C1A">
        <w:rPr>
          <w:b/>
        </w:rPr>
        <w:t>informativi e formativi</w:t>
      </w:r>
      <w:r w:rsidR="0047512E" w:rsidRPr="0047512E">
        <w:rPr>
          <w:b/>
        </w:rPr>
        <w:t xml:space="preserve"> del kit di riuso per la fase A</w:t>
      </w:r>
      <w:r w:rsidR="0047512E">
        <w:t xml:space="preserve"> – Ricerca e selezione </w:t>
      </w:r>
      <w:r w:rsidR="0047512E" w:rsidRPr="00F532FE">
        <w:t>della buona pratica</w:t>
      </w:r>
      <w:r w:rsidR="0047512E">
        <w:t xml:space="preserve">. </w:t>
      </w:r>
      <w:bookmarkStart w:id="2" w:name="_Hlk532207513"/>
      <w:r w:rsidR="0047512E">
        <w:t xml:space="preserve">Gli strumenti </w:t>
      </w:r>
      <w:r w:rsidR="00416C1A" w:rsidRPr="00416C1A">
        <w:t>informativi e formativi</w:t>
      </w:r>
      <w:r w:rsidR="00F532FE">
        <w:t>, come previsto dall’Avviso OCPA2020</w:t>
      </w:r>
      <w:r w:rsidR="00F532FE">
        <w:rPr>
          <w:rStyle w:val="Rimandonotaapidipagina"/>
        </w:rPr>
        <w:footnoteReference w:id="1"/>
      </w:r>
      <w:r w:rsidR="00F532FE">
        <w:t>,</w:t>
      </w:r>
      <w:r w:rsidR="0047512E">
        <w:t xml:space="preserve"> </w:t>
      </w:r>
      <w:bookmarkStart w:id="4" w:name="_Hlk532230984"/>
      <w:r w:rsidR="008D6084">
        <w:t>hanno lo scopo di fornire al riusante un</w:t>
      </w:r>
      <w:r w:rsidR="00416C1A">
        <w:t>a descrizione sintetica della buona pratica, del bisogno a cui risponde e dei vantaggi ottenibili grazie alla sua adozione. Inoltre, si fornisce un elenco degli Enti che attualmente adottano la buona pratica.</w:t>
      </w:r>
      <w:r w:rsidR="008D6084">
        <w:t xml:space="preserve"> </w:t>
      </w:r>
      <w:bookmarkEnd w:id="4"/>
    </w:p>
    <w:p w14:paraId="4FC8E1E9" w14:textId="5AFF9176" w:rsidR="00AB5443" w:rsidRPr="001376B7" w:rsidRDefault="00416C1A" w:rsidP="001376B7">
      <w:pPr>
        <w:pStyle w:val="Titolo2"/>
      </w:pPr>
      <w:bookmarkStart w:id="5" w:name="_Toc532232643"/>
      <w:bookmarkEnd w:id="2"/>
      <w:r>
        <w:t>Sintesi della buona pratica</w:t>
      </w:r>
      <w:bookmarkEnd w:id="5"/>
    </w:p>
    <w:p w14:paraId="095DD01A" w14:textId="77777777" w:rsidR="00C5628C" w:rsidRDefault="00C5628C" w:rsidP="00C5628C">
      <w:r>
        <w:t xml:space="preserve">La buona pratica messa a riuso deriva da un prodotto sviluppato dal Comune di Padova a partire dal 2006, un “sistema di protocollo informatico e gestione documentale” denominato </w:t>
      </w:r>
      <w:proofErr w:type="spellStart"/>
      <w:r>
        <w:t>P@doc</w:t>
      </w:r>
      <w:proofErr w:type="spellEnd"/>
      <w:r>
        <w:t>, che ha costituito l’ossatura delle attività di gestione documentale ed ha influito sui percorsi di sviluppo attuati successivamente nell'Ente.</w:t>
      </w:r>
    </w:p>
    <w:p w14:paraId="6F051AFB" w14:textId="77777777" w:rsidR="00C5628C" w:rsidRDefault="00C5628C" w:rsidP="00C5628C">
      <w:r>
        <w:t xml:space="preserve">Il progetto si è saldato con altri progetti in corso, in particolare quello portato avanti dal Gruppo di Lavoro nazionale sugli Archivi dei comuni (2005), che ha consentito di integrare nel sistema informatico i modelli e gli strumenti archivistici prodotti. La struttura di </w:t>
      </w:r>
      <w:proofErr w:type="spellStart"/>
      <w:r>
        <w:t>P@doc</w:t>
      </w:r>
      <w:proofErr w:type="spellEnd"/>
      <w:r>
        <w:t xml:space="preserve"> è stata definita in rapporto all’organizzazione e alle dimensioni/esigenze dell’Ente.</w:t>
      </w:r>
    </w:p>
    <w:p w14:paraId="31E90F76" w14:textId="77777777" w:rsidR="00C5628C" w:rsidRDefault="00C5628C" w:rsidP="00C5628C">
      <w:r>
        <w:t>Il sistema è stato concepito con logica modulare, che consentisse di gestire e sviluppare al meglio le diverse funzionalità, poter correggere singolarmente eventuali bug del sistema e gestire le attività di revisione senza coinvolgere l’intera struttura e poter implementare il sistema in relazione ai mutamenti normativi.</w:t>
      </w:r>
    </w:p>
    <w:p w14:paraId="5502FA82" w14:textId="77777777" w:rsidR="00C5628C" w:rsidRDefault="00C5628C" w:rsidP="00C5628C">
      <w:r>
        <w:t>Le principali funzioni sono:</w:t>
      </w:r>
    </w:p>
    <w:p w14:paraId="6E51227E" w14:textId="77777777" w:rsidR="00C5628C" w:rsidRDefault="00C5628C" w:rsidP="00C5628C">
      <w:r w:rsidRPr="00222F51">
        <w:rPr>
          <w:u w:val="single"/>
        </w:rPr>
        <w:t>GESTIONE SCRIVANIA:</w:t>
      </w:r>
      <w:r>
        <w:t xml:space="preserve"> Postazione di lavoro virtuale nella quale gestire i documenti assegnati e i flussi documentali in entrata, in uscita e interni e monitorare l’attività del proprio ufficio;</w:t>
      </w:r>
    </w:p>
    <w:p w14:paraId="39A530BD" w14:textId="77777777" w:rsidR="00C5628C" w:rsidRDefault="00C5628C" w:rsidP="00C5628C">
      <w:r w:rsidRPr="00222F51">
        <w:rPr>
          <w:u w:val="single"/>
        </w:rPr>
        <w:t>GESTIONE ALBO</w:t>
      </w:r>
      <w:r>
        <w:t>: consente la gestione della pubblicazione dei documenti all’Albo on line dell’ente</w:t>
      </w:r>
    </w:p>
    <w:p w14:paraId="114B8AF8" w14:textId="77777777" w:rsidR="00C5628C" w:rsidRDefault="00C5628C" w:rsidP="00C5628C">
      <w:r w:rsidRPr="00222F51">
        <w:rPr>
          <w:u w:val="single"/>
        </w:rPr>
        <w:t>GESTIONE PROTOCOLLO</w:t>
      </w:r>
      <w:r>
        <w:t>: Questa funzione consente la registrazione a protocollo dei documenti dell’ente (entrata, uscita, interne) e le attività connesse alla ricerca delle registrazioni effettuate, alla stampa del registro di protocollo e alla produzione di statistiche dei documenti registrati.</w:t>
      </w:r>
    </w:p>
    <w:p w14:paraId="1A1F0A70" w14:textId="77777777" w:rsidR="00C5628C" w:rsidRDefault="00C5628C" w:rsidP="00C5628C">
      <w:r w:rsidRPr="00222F51">
        <w:rPr>
          <w:u w:val="single"/>
        </w:rPr>
        <w:t>GESTIONE FASCICOLI</w:t>
      </w:r>
      <w:r>
        <w:t>: Questa funzione consente la gestione dei fascicoli e quindi la corretta aggregazione e sedimentazione dei documenti all’interno del sistema documentale. In questo modo è resa possibile una corretta e funzionale organizzazione dell’archivio.</w:t>
      </w:r>
    </w:p>
    <w:p w14:paraId="33E022F6" w14:textId="77777777" w:rsidR="00C5628C" w:rsidRDefault="00C5628C" w:rsidP="00C5628C">
      <w:r>
        <w:t xml:space="preserve">Successivamente </w:t>
      </w:r>
      <w:proofErr w:type="spellStart"/>
      <w:r>
        <w:t>P@doc</w:t>
      </w:r>
      <w:proofErr w:type="spellEnd"/>
      <w:r>
        <w:t xml:space="preserve"> è stato aggiornato ad ogni mutamento normativo con la realizzazione di nuovi moduli: l'integrazione con canali di posta elettronica certificata (2010), personalizzazione per le trasmissioni telematiche al TAR, albo on-line (2010), trasmissione certificati medici via PEC dall’INPS, fatturazione elettronica (2015 e 2016), interoperabilità con altri sistemi, SUAP (2012) e invio pratiche telematiche, collegamento con il portale istanze on-line (2015).</w:t>
      </w:r>
    </w:p>
    <w:p w14:paraId="38A9FAA7" w14:textId="77777777" w:rsidR="00C5628C" w:rsidRDefault="00C5628C" w:rsidP="00C5628C">
      <w:r>
        <w:lastRenderedPageBreak/>
        <w:t>È prevista la realizzazione di nuovi moduli per: invio in conservazione dei documenti informatici acquisiti all'interno del sistema, adeguamento (privacy by design e by default), collegamento con il portale My Portal 3. Previa analisi e studio di fattibilità per la gestione del Registro per l’accesso civico, generalizzato e documentale</w:t>
      </w:r>
    </w:p>
    <w:p w14:paraId="39050623" w14:textId="77777777" w:rsidR="009D1B39" w:rsidRDefault="009D1B39" w:rsidP="009D1B39">
      <w:pPr>
        <w:spacing w:before="120" w:after="0" w:line="240" w:lineRule="auto"/>
      </w:pPr>
      <w:r>
        <w:t>L</w:t>
      </w:r>
      <w:r w:rsidRPr="00982285">
        <w:t xml:space="preserve">a buona pratica contribuisce a un concreto miglioramento nell’efficienza operativa e/o </w:t>
      </w:r>
      <w:r>
        <w:t>nell’</w:t>
      </w:r>
      <w:r w:rsidRPr="00982285">
        <w:t>efficacia amministrativa interna e/o esterna degli Enti che la adottano</w:t>
      </w:r>
      <w:r>
        <w:t xml:space="preserve"> attraverso, in particolare: </w:t>
      </w:r>
    </w:p>
    <w:p w14:paraId="10C950BF" w14:textId="2C2CF0AF" w:rsidR="009D1B39" w:rsidRDefault="009D1B39" w:rsidP="009D1B39">
      <w:pPr>
        <w:pStyle w:val="Paragrafoelenco"/>
        <w:numPr>
          <w:ilvl w:val="0"/>
          <w:numId w:val="10"/>
        </w:numPr>
        <w:spacing w:before="120" w:after="0" w:line="240" w:lineRule="auto"/>
        <w:ind w:hanging="357"/>
        <w:contextualSpacing w:val="0"/>
      </w:pPr>
      <w:r w:rsidRPr="006B509C">
        <w:t xml:space="preserve">impatti sulla soddisfazione dell’utenza: </w:t>
      </w:r>
    </w:p>
    <w:p w14:paraId="531A2870" w14:textId="42380834" w:rsidR="00FF4334" w:rsidRPr="006B509C" w:rsidRDefault="00FF4334" w:rsidP="00FF4334">
      <w:pPr>
        <w:pStyle w:val="Paragrafoelenco"/>
        <w:numPr>
          <w:ilvl w:val="0"/>
          <w:numId w:val="14"/>
        </w:numPr>
        <w:spacing w:before="120" w:after="0" w:line="240" w:lineRule="auto"/>
        <w:contextualSpacing w:val="0"/>
      </w:pPr>
      <w:r>
        <w:t>migliore percezione organizzata del lavoro;</w:t>
      </w:r>
    </w:p>
    <w:p w14:paraId="305A19D1" w14:textId="6C1BD015" w:rsidR="009D1B39" w:rsidRDefault="009D1B39" w:rsidP="009D1B39">
      <w:pPr>
        <w:pStyle w:val="Paragrafoelenco"/>
        <w:numPr>
          <w:ilvl w:val="0"/>
          <w:numId w:val="10"/>
        </w:numPr>
        <w:spacing w:before="120" w:after="0" w:line="240" w:lineRule="auto"/>
        <w:ind w:hanging="357"/>
        <w:contextualSpacing w:val="0"/>
      </w:pPr>
      <w:r>
        <w:t xml:space="preserve">Impatti sull’efficienza dei processi: </w:t>
      </w:r>
    </w:p>
    <w:p w14:paraId="020AA534" w14:textId="353C29B8" w:rsidR="00F07520" w:rsidRDefault="00FF4334" w:rsidP="00F07520">
      <w:pPr>
        <w:pStyle w:val="Paragrafoelenco"/>
        <w:numPr>
          <w:ilvl w:val="0"/>
          <w:numId w:val="13"/>
        </w:numPr>
        <w:spacing w:before="120" w:after="0" w:line="240" w:lineRule="auto"/>
        <w:contextualSpacing w:val="0"/>
      </w:pPr>
      <w:r>
        <w:t>m</w:t>
      </w:r>
      <w:r w:rsidR="00F07520">
        <w:t>aggiore facilità di comunicazione</w:t>
      </w:r>
      <w:r>
        <w:t>;</w:t>
      </w:r>
    </w:p>
    <w:p w14:paraId="0C54760F" w14:textId="21E67D66" w:rsidR="00F07520" w:rsidRDefault="00FF4334" w:rsidP="00F07520">
      <w:pPr>
        <w:pStyle w:val="Paragrafoelenco"/>
        <w:numPr>
          <w:ilvl w:val="0"/>
          <w:numId w:val="13"/>
        </w:numPr>
        <w:spacing w:before="120" w:after="0" w:line="240" w:lineRule="auto"/>
        <w:contextualSpacing w:val="0"/>
      </w:pPr>
      <w:r>
        <w:t>r</w:t>
      </w:r>
      <w:r w:rsidR="00F07520">
        <w:t>iduzione dei tempi per l’attuazione dei processi</w:t>
      </w:r>
      <w:r>
        <w:t>;</w:t>
      </w:r>
    </w:p>
    <w:p w14:paraId="226568D4" w14:textId="2B9EBC76" w:rsidR="00FF4334" w:rsidRDefault="00E368B7" w:rsidP="00F07520">
      <w:pPr>
        <w:pStyle w:val="Paragrafoelenco"/>
        <w:numPr>
          <w:ilvl w:val="0"/>
          <w:numId w:val="13"/>
        </w:numPr>
        <w:spacing w:before="120" w:after="0" w:line="240" w:lineRule="auto"/>
        <w:contextualSpacing w:val="0"/>
      </w:pPr>
      <w:r>
        <w:t>incremento del</w:t>
      </w:r>
      <w:r w:rsidR="00A54F23">
        <w:t xml:space="preserve"> numero di</w:t>
      </w:r>
      <w:r>
        <w:t xml:space="preserve"> pratiche</w:t>
      </w:r>
      <w:r w:rsidR="00A54F23">
        <w:t xml:space="preserve"> evase</w:t>
      </w:r>
      <w:r>
        <w:t>;</w:t>
      </w:r>
    </w:p>
    <w:p w14:paraId="7F4E5074" w14:textId="08A34ACA" w:rsidR="009D1B39" w:rsidRDefault="009D1B39" w:rsidP="009D1B39">
      <w:pPr>
        <w:pStyle w:val="Paragrafoelenco"/>
        <w:numPr>
          <w:ilvl w:val="0"/>
          <w:numId w:val="10"/>
        </w:numPr>
        <w:spacing w:before="120" w:after="0" w:line="240" w:lineRule="auto"/>
        <w:ind w:hanging="357"/>
        <w:contextualSpacing w:val="0"/>
      </w:pPr>
      <w:r>
        <w:t xml:space="preserve">altri impatti sull’organizzazione: </w:t>
      </w:r>
    </w:p>
    <w:p w14:paraId="7B78D4C9" w14:textId="24164B97" w:rsidR="00F07520" w:rsidRDefault="00FF4334" w:rsidP="00F07520">
      <w:pPr>
        <w:pStyle w:val="Paragrafoelenco"/>
        <w:numPr>
          <w:ilvl w:val="0"/>
          <w:numId w:val="13"/>
        </w:numPr>
        <w:spacing w:before="120" w:after="0" w:line="240" w:lineRule="auto"/>
        <w:contextualSpacing w:val="0"/>
      </w:pPr>
      <w:r>
        <w:t>m</w:t>
      </w:r>
      <w:r w:rsidR="00F07520">
        <w:t>aggior apertura a progetti di riuso</w:t>
      </w:r>
      <w:r>
        <w:t>;</w:t>
      </w:r>
    </w:p>
    <w:p w14:paraId="41F5C006" w14:textId="4F16D611" w:rsidR="00FF4334" w:rsidRDefault="00FF4334" w:rsidP="00F07520">
      <w:pPr>
        <w:pStyle w:val="Paragrafoelenco"/>
        <w:numPr>
          <w:ilvl w:val="0"/>
          <w:numId w:val="13"/>
        </w:numPr>
        <w:spacing w:before="120" w:after="0" w:line="240" w:lineRule="auto"/>
        <w:contextualSpacing w:val="0"/>
      </w:pPr>
      <w:r>
        <w:t>maggiore garanzia di gestione privacy sulle informazioni;</w:t>
      </w:r>
    </w:p>
    <w:p w14:paraId="3A1F322D" w14:textId="3E5A1BBA" w:rsidR="00FF4334" w:rsidRDefault="00FF4334" w:rsidP="00FF4334">
      <w:pPr>
        <w:pStyle w:val="Paragrafoelenco"/>
        <w:numPr>
          <w:ilvl w:val="0"/>
          <w:numId w:val="13"/>
        </w:numPr>
        <w:spacing w:before="120" w:after="0" w:line="240" w:lineRule="auto"/>
        <w:contextualSpacing w:val="0"/>
      </w:pPr>
      <w:r>
        <w:t>maggiore distribuzione del carico di lavoro;</w:t>
      </w:r>
    </w:p>
    <w:p w14:paraId="18C1849A" w14:textId="77777777" w:rsidR="00C5628C" w:rsidRDefault="00C5628C" w:rsidP="00416C1A"/>
    <w:p w14:paraId="7CCD1C69" w14:textId="2FB9A6EA" w:rsidR="00C67DC9" w:rsidRDefault="00785A8E" w:rsidP="00F532FE">
      <w:pPr>
        <w:pStyle w:val="Titolo2"/>
        <w:ind w:left="357" w:hanging="357"/>
      </w:pPr>
      <w:bookmarkStart w:id="6" w:name="_Toc532232644"/>
      <w:r>
        <w:t>Amministrazioni che adottano la buona pratica</w:t>
      </w:r>
      <w:bookmarkEnd w:id="6"/>
      <w:r w:rsidR="008131B2">
        <w:t xml:space="preserve"> </w:t>
      </w:r>
    </w:p>
    <w:p w14:paraId="565BD56F" w14:textId="789C8631" w:rsidR="00BC004B" w:rsidRDefault="00785A8E" w:rsidP="00BC004B">
      <w:r>
        <w:t>Le Amministrazioni che attualmente adottano la buona pratica</w:t>
      </w:r>
      <w:r w:rsidR="00BC004B">
        <w:t xml:space="preserve">, nelle sue diverse componenti e versioni, </w:t>
      </w:r>
      <w:r>
        <w:t>sono:</w:t>
      </w:r>
    </w:p>
    <w:tbl>
      <w:tblPr>
        <w:tblW w:w="96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7"/>
        <w:gridCol w:w="3688"/>
        <w:gridCol w:w="3313"/>
      </w:tblGrid>
      <w:tr w:rsidR="003B608E" w:rsidRPr="003B608E" w14:paraId="2DD891C6" w14:textId="77777777" w:rsidTr="003B608E">
        <w:trPr>
          <w:trHeight w:val="363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6FBD1" w14:textId="77777777" w:rsidR="003B608E" w:rsidRPr="003B608E" w:rsidRDefault="003B608E" w:rsidP="008F41A2">
            <w:pPr>
              <w:spacing w:after="0"/>
              <w:jc w:val="left"/>
              <w:rPr>
                <w:rFonts w:eastAsia="Calibri" w:cs="Times New Roman"/>
                <w:b/>
                <w:bCs/>
              </w:rPr>
            </w:pPr>
            <w:bookmarkStart w:id="7" w:name="_Hlk532232532"/>
            <w:r w:rsidRPr="003B608E">
              <w:rPr>
                <w:rFonts w:eastAsia="Calibri" w:cs="Times New Roman"/>
                <w:b/>
                <w:bCs/>
              </w:rPr>
              <w:t>Enti che adottano la buona pratica</w:t>
            </w:r>
          </w:p>
        </w:tc>
        <w:tc>
          <w:tcPr>
            <w:tcW w:w="368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73260" w14:textId="77777777" w:rsidR="003B608E" w:rsidRPr="003B608E" w:rsidRDefault="003B608E" w:rsidP="008F41A2">
            <w:pPr>
              <w:spacing w:after="0"/>
              <w:rPr>
                <w:rFonts w:eastAsia="Calibri" w:cs="Times New Roman"/>
                <w:b/>
                <w:bCs/>
              </w:rPr>
            </w:pPr>
            <w:r w:rsidRPr="003B608E">
              <w:rPr>
                <w:rFonts w:eastAsia="Calibri" w:cs="Times New Roman"/>
                <w:b/>
                <w:bCs/>
              </w:rPr>
              <w:t>Moduli/funzionalità adottate, versione</w:t>
            </w:r>
          </w:p>
        </w:tc>
        <w:tc>
          <w:tcPr>
            <w:tcW w:w="331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48894" w14:textId="77777777" w:rsidR="003B608E" w:rsidRPr="003B608E" w:rsidRDefault="003B608E">
            <w:pPr>
              <w:rPr>
                <w:rFonts w:eastAsia="Calibri" w:cs="Times New Roman"/>
                <w:b/>
                <w:bCs/>
              </w:rPr>
            </w:pPr>
            <w:r w:rsidRPr="003B608E">
              <w:rPr>
                <w:rFonts w:eastAsia="Calibri" w:cs="Times New Roman"/>
                <w:b/>
                <w:bCs/>
              </w:rPr>
              <w:t>Referente (nome, cognome, mail)</w:t>
            </w:r>
          </w:p>
        </w:tc>
      </w:tr>
      <w:tr w:rsidR="003B608E" w:rsidRPr="003B608E" w14:paraId="3A4E6981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D2401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Comune di Fucecchio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B3AB7" w14:textId="77777777" w:rsidR="003B608E" w:rsidRPr="008F41A2" w:rsidRDefault="003B608E" w:rsidP="008F41A2">
            <w:pPr>
              <w:jc w:val="left"/>
              <w:rPr>
                <w:rFonts w:eastAsia="Calibri" w:cs="Calibri"/>
                <w:sz w:val="20"/>
                <w:szCs w:val="20"/>
              </w:rPr>
            </w:pPr>
            <w:r w:rsidRPr="008F41A2">
              <w:rPr>
                <w:rFonts w:eastAsia="Calibri" w:cs="Calibri"/>
                <w:sz w:val="20"/>
                <w:szCs w:val="20"/>
              </w:rPr>
              <w:t>Protocollo, fascicolo</w:t>
            </w: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5E16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8F41A2">
              <w:rPr>
                <w:rFonts w:eastAsia="Calibri" w:cs="Times New Roman"/>
                <w:sz w:val="20"/>
                <w:szCs w:val="20"/>
              </w:rPr>
              <w:t xml:space="preserve">Monica Menichetti, </w:t>
            </w:r>
          </w:p>
        </w:tc>
      </w:tr>
      <w:tr w:rsidR="003B608E" w:rsidRPr="003B608E" w14:paraId="5C0220A8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248E9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Comune di Livorno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04B0" w14:textId="77777777" w:rsidR="003B608E" w:rsidRPr="008F41A2" w:rsidRDefault="003B608E" w:rsidP="008F41A2">
            <w:pPr>
              <w:jc w:val="left"/>
              <w:rPr>
                <w:rFonts w:eastAsia="SimSun" w:cs="Arial"/>
                <w:kern w:val="3"/>
                <w:sz w:val="20"/>
                <w:szCs w:val="20"/>
                <w:lang w:eastAsia="zh-CN" w:bidi="hi-IN"/>
              </w:rPr>
            </w:pPr>
            <w:r w:rsidRPr="008F41A2">
              <w:rPr>
                <w:rFonts w:eastAsia="Calibri" w:cs="Calibri"/>
                <w:color w:val="000000"/>
                <w:sz w:val="20"/>
                <w:szCs w:val="20"/>
              </w:rPr>
              <w:t>Protocollo, fascicolo, fatture, gestione documentale</w:t>
            </w: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49919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8F41A2">
              <w:rPr>
                <w:rFonts w:eastAsia="Calibri" w:cs="Times New Roman"/>
                <w:sz w:val="20"/>
                <w:szCs w:val="20"/>
              </w:rPr>
              <w:t>Lorena Marconi, Mario Grassia</w:t>
            </w:r>
          </w:p>
        </w:tc>
      </w:tr>
      <w:tr w:rsidR="003B608E" w:rsidRPr="003B608E" w14:paraId="5CE0D80E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BBF4C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Comune di La Spezia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6A086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8F41A2">
              <w:rPr>
                <w:rFonts w:eastAsia="Calibri" w:cs="Times New Roman"/>
                <w:sz w:val="20"/>
                <w:szCs w:val="20"/>
              </w:rPr>
              <w:t>Protocollo, fascicolo</w:t>
            </w: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90D51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8F41A2">
              <w:rPr>
                <w:rFonts w:eastAsia="Calibri" w:cs="Times New Roman"/>
                <w:sz w:val="20"/>
                <w:szCs w:val="20"/>
              </w:rPr>
              <w:t>Fabio Azzurrini</w:t>
            </w:r>
          </w:p>
        </w:tc>
      </w:tr>
      <w:tr w:rsidR="003B608E" w:rsidRPr="003B608E" w14:paraId="5B928409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D8633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Comunità Montana del Casentino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228B2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8F41A2">
              <w:rPr>
                <w:rFonts w:eastAsia="Calibri" w:cs="Times New Roman"/>
                <w:sz w:val="20"/>
                <w:szCs w:val="20"/>
              </w:rPr>
              <w:t>Protocollo</w:t>
            </w: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00A28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 w:rsidRPr="008F41A2">
              <w:rPr>
                <w:rFonts w:eastAsia="Calibri" w:cs="Times New Roman"/>
                <w:sz w:val="20"/>
                <w:szCs w:val="20"/>
              </w:rPr>
              <w:t xml:space="preserve">Elena Tramonti </w:t>
            </w:r>
          </w:p>
        </w:tc>
      </w:tr>
      <w:tr w:rsidR="003B608E" w:rsidRPr="003B608E" w14:paraId="0C92F5DC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02F81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Comune di Vigevano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B205D" w14:textId="7D655EA8" w:rsidR="003B608E" w:rsidRPr="008F41A2" w:rsidRDefault="007B1399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Protocollo</w:t>
            </w: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419E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6F466DE7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EB9E2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Istituto Comprensivo Sloveno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FF72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AB6E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04BA72C5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33A0A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Comune di Treviso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68D0A" w14:textId="4DBF2AB5" w:rsidR="003B608E" w:rsidRPr="008F41A2" w:rsidRDefault="007B1399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Protocollo</w:t>
            </w: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D98C4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47595F2A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1A1B1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 xml:space="preserve">Provinciale </w:t>
            </w:r>
            <w:proofErr w:type="spellStart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NordEst</w:t>
            </w:r>
            <w:proofErr w:type="spellEnd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 xml:space="preserve"> Sardegna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4F0FF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3D7B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08D8C9B2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4B309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 xml:space="preserve">Consorzio Industriale 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545E0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6618A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25C24D3B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E6DFA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lastRenderedPageBreak/>
              <w:t>Istituto comprensivo statale con insegnamento bilingue sloveno italiano Udine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187D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E593D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04FE4A4A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9A2A2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Unione Valle del Torbido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0DE4B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CBAFD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2A57D8FE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4AC36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Questura di Brescia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F575A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6F953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2A935B1C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C5B13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Comune di Cengio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905D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51CED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050D8A52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AFEB0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Centro servizi per anziani Monselice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99BA7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516EE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1D22AF0C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027CE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Provincia di Prato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3F6A2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974CC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5013BB38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21947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 xml:space="preserve">Istituto statale </w:t>
            </w:r>
            <w:proofErr w:type="spellStart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E.Medi-Galatone</w:t>
            </w:r>
            <w:proofErr w:type="spellEnd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 xml:space="preserve">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A24B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E77E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614FDA59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22325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Istituto degli Innocenti (FI)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B0714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4C6D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00F37FFA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85FC6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Comunità Montana Val di Bisenzio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F07CB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AE0EB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46DF6DA0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13CD1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 xml:space="preserve">Conservatorio Statale di Musica </w:t>
            </w:r>
            <w:proofErr w:type="spellStart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N.Sala</w:t>
            </w:r>
            <w:proofErr w:type="spellEnd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 xml:space="preserve"> di Benevento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6CABC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C6519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3EE4A3CC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D66D3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Consorzio dei Comuni dei Navigli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E5C01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8AC6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6C54F2F8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CA917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Croce Rossa Italiana - Comitato Regionale Piemonte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CB58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CFB4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7AEE55EC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A1858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Città di Mazara del Vallo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4B25F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BCE82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13AD3FBD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332F3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 xml:space="preserve">Istituto Comprensivo Vladimir </w:t>
            </w:r>
            <w:proofErr w:type="spellStart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Bartol</w:t>
            </w:r>
            <w:proofErr w:type="spellEnd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 xml:space="preserve">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63A1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8D8AD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6FCBF37F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2F5CC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Autorità di Bacino del Fiume Adige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C7F87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557F4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16BF1036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93064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Autorità di Bacino del Fiume Serchio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263D6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FE28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16355285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DACA0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Autorità Portuale di Venezia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45B20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D522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114E5E62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B71A4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Cipnes</w:t>
            </w:r>
            <w:proofErr w:type="spellEnd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 xml:space="preserve"> Gallura Consorzio </w:t>
            </w:r>
            <w:proofErr w:type="spellStart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Indust</w:t>
            </w:r>
            <w:proofErr w:type="spellEnd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 xml:space="preserve">. </w:t>
            </w:r>
            <w:proofErr w:type="spellStart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Provin</w:t>
            </w:r>
            <w:proofErr w:type="spellEnd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 xml:space="preserve">. Nordest </w:t>
            </w:r>
            <w:proofErr w:type="spellStart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sardegna</w:t>
            </w:r>
            <w:proofErr w:type="spellEnd"/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35255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A51BC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638A5A0F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79B37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Comune di Adria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36A5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F0B1D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6FC5AFD7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DDB79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Collegio Geometri Brescia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8B9F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E245C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1D6E01E9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7C3D1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lastRenderedPageBreak/>
              <w:t>Comune di Lequile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F460" w14:textId="110B00AE" w:rsidR="003B608E" w:rsidRPr="008F41A2" w:rsidRDefault="00B434AD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Protocollo, fascicolo, fatture, gestione documentale</w:t>
            </w: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F03B4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7BB81E77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C023E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 xml:space="preserve">Comune di Azzano Mella 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EB9A6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4E6D4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30885793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5B80F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Comune di Fano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08F6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CCB0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7D9C77E3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481DC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Comunità Montana della Lunigiana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6BE7F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6E56E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66BCB664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031E1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Comune di Modica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66CAA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38D33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02C1E4A6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E0480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Comune di Montemurlo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8B19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2DCD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2DDA339E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D593E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Comune di Montieri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58E6B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5891E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323F98F3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B07A5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Comune di Viadana  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11737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45D64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1C09BA2E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B7107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Comunità Montana Amiata Grossetano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BEFB7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EE9D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5B2EA53F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83294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Comunità Montana Amiata Val d'Orcia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936A0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7051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3E6C1ABB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64937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Comunità Montana Colline Metallifere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388F6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383C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72670FD2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A55F8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Comunità Montana del Casentino  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0E35C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F1936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B608E" w:rsidRPr="003B608E" w14:paraId="25FC1A1B" w14:textId="77777777" w:rsidTr="003B608E">
        <w:trPr>
          <w:trHeight w:val="321"/>
        </w:trPr>
        <w:tc>
          <w:tcPr>
            <w:tcW w:w="26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7D3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6D802" w14:textId="77777777" w:rsidR="003B608E" w:rsidRPr="008F41A2" w:rsidRDefault="003B608E" w:rsidP="008F41A2">
            <w:pPr>
              <w:jc w:val="left"/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</w:pPr>
            <w:r w:rsidRPr="008F41A2">
              <w:rPr>
                <w:rFonts w:eastAsia="Calibri" w:cs="Times New Roman"/>
                <w:b/>
                <w:bCs/>
                <w:color w:val="FFFFFF"/>
                <w:sz w:val="20"/>
                <w:szCs w:val="20"/>
              </w:rPr>
              <w:t>Collegio Geometri Bergamo</w:t>
            </w:r>
          </w:p>
        </w:tc>
        <w:tc>
          <w:tcPr>
            <w:tcW w:w="3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9B426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  <w:bookmarkStart w:id="8" w:name="_GoBack"/>
            <w:bookmarkEnd w:id="8"/>
          </w:p>
        </w:tc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BE4D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0CD2C" w14:textId="77777777" w:rsidR="003B608E" w:rsidRPr="008F41A2" w:rsidRDefault="003B608E" w:rsidP="008F41A2">
            <w:pPr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bookmarkEnd w:id="7"/>
      </w:tr>
    </w:tbl>
    <w:p w14:paraId="64A6000A" w14:textId="2D9E1E67" w:rsidR="00BC004B" w:rsidRDefault="00BC004B" w:rsidP="00BC004B">
      <w:pPr>
        <w:pStyle w:val="Didascalia"/>
        <w:jc w:val="center"/>
      </w:pPr>
      <w:r>
        <w:t xml:space="preserve">Tabella </w:t>
      </w:r>
      <w:r w:rsidR="00E41A09">
        <w:fldChar w:fldCharType="begin"/>
      </w:r>
      <w:r w:rsidR="00E41A09">
        <w:instrText xml:space="preserve"> SEQ Tabella \* ARABIC </w:instrText>
      </w:r>
      <w:r w:rsidR="00E41A09">
        <w:fldChar w:fldCharType="separate"/>
      </w:r>
      <w:r>
        <w:rPr>
          <w:noProof/>
        </w:rPr>
        <w:t>1</w:t>
      </w:r>
      <w:r w:rsidR="00E41A09">
        <w:rPr>
          <w:noProof/>
        </w:rPr>
        <w:fldChar w:fldCharType="end"/>
      </w:r>
      <w:r>
        <w:t xml:space="preserve"> – Elenco Enti che adottano la buona pratica</w:t>
      </w:r>
    </w:p>
    <w:p w14:paraId="114F9473" w14:textId="77777777" w:rsidR="00BC004B" w:rsidRDefault="00BC004B" w:rsidP="00785A8E"/>
    <w:sectPr w:rsidR="00BC004B" w:rsidSect="00A932B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35" w:right="1134" w:bottom="1850" w:left="1134" w:header="708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A9D7F" w14:textId="77777777" w:rsidR="00E41A09" w:rsidRDefault="00E41A09" w:rsidP="00DD7646">
      <w:r>
        <w:separator/>
      </w:r>
    </w:p>
  </w:endnote>
  <w:endnote w:type="continuationSeparator" w:id="0">
    <w:p w14:paraId="320DFEDB" w14:textId="77777777" w:rsidR="00E41A09" w:rsidRDefault="00E41A09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7266B274" w:rsidR="00AA1C18" w:rsidRPr="00A060E2" w:rsidRDefault="00AA1C18">
        <w:pPr>
          <w:pStyle w:val="Pidipagina"/>
          <w:jc w:val="right"/>
          <w:rPr>
            <w:noProof/>
          </w:rPr>
        </w:pPr>
      </w:p>
      <w:p w14:paraId="503CBC04" w14:textId="68D90FDD" w:rsidR="00AA1C18" w:rsidRDefault="006B509C" w:rsidP="006B509C">
        <w:pPr>
          <w:pStyle w:val="Pidipagina"/>
          <w:tabs>
            <w:tab w:val="left" w:pos="2250"/>
          </w:tabs>
          <w:jc w:val="right"/>
        </w:pPr>
        <w:r>
          <w:rPr>
            <w:noProof/>
          </w:rPr>
          <w:drawing>
            <wp:anchor distT="0" distB="0" distL="114300" distR="114300" simplePos="0" relativeHeight="251669504" behindDoc="1" locked="0" layoutInCell="1" allowOverlap="1" wp14:anchorId="434905E9" wp14:editId="240B7350">
              <wp:simplePos x="0" y="0"/>
              <wp:positionH relativeFrom="column">
                <wp:posOffset>-2540</wp:posOffset>
              </wp:positionH>
              <wp:positionV relativeFrom="paragraph">
                <wp:posOffset>149860</wp:posOffset>
              </wp:positionV>
              <wp:extent cx="4552950" cy="427990"/>
              <wp:effectExtent l="0" t="0" r="0" b="0"/>
              <wp:wrapTight wrapText="bothSides">
                <wp:wrapPolygon edited="0">
                  <wp:start x="0" y="0"/>
                  <wp:lineTo x="0" y="20190"/>
                  <wp:lineTo x="21510" y="20190"/>
                  <wp:lineTo x="21510" y="0"/>
                  <wp:lineTo x="0" y="0"/>
                </wp:wrapPolygon>
              </wp:wrapTight>
              <wp:docPr id="1" name="Immagin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ntestazion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52950" cy="4279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EC45A5">
          <w:rPr>
            <w:noProof/>
          </w:rPr>
          <w:tab/>
        </w:r>
        <w:r w:rsidR="00EC45A5">
          <w:rPr>
            <w:noProof/>
          </w:rPr>
          <w:tab/>
        </w:r>
        <w:r w:rsidR="00EC45A5">
          <w:rPr>
            <w:noProof/>
          </w:rPr>
          <w:tab/>
        </w:r>
        <w:r w:rsidR="00AA1C18">
          <w:fldChar w:fldCharType="begin"/>
        </w:r>
        <w:r w:rsidR="00AA1C18">
          <w:instrText>PAGE   \* MERGEFORMAT</w:instrText>
        </w:r>
        <w:r w:rsidR="00AA1C18">
          <w:fldChar w:fldCharType="separate"/>
        </w:r>
        <w:r w:rsidR="00AA1C18">
          <w:t>2</w:t>
        </w:r>
        <w:r w:rsidR="00AA1C18">
          <w:fldChar w:fldCharType="end"/>
        </w:r>
      </w:p>
    </w:sdtContent>
  </w:sdt>
  <w:p w14:paraId="2B6CB646" w14:textId="0F6568C0" w:rsidR="00AA1C18" w:rsidRDefault="00AA1C18" w:rsidP="00DD76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E8A54" w14:textId="216D99E1" w:rsidR="00EC45A5" w:rsidRDefault="006B509C">
    <w:pPr>
      <w:pStyle w:val="Pidipagina"/>
    </w:pPr>
    <w:r>
      <w:rPr>
        <w:noProof/>
      </w:rPr>
      <w:drawing>
        <wp:anchor distT="0" distB="0" distL="114300" distR="114300" simplePos="0" relativeHeight="251667456" behindDoc="1" locked="0" layoutInCell="1" allowOverlap="1" wp14:anchorId="04B51F2A" wp14:editId="189BC3DB">
          <wp:simplePos x="0" y="0"/>
          <wp:positionH relativeFrom="column">
            <wp:posOffset>-90224</wp:posOffset>
          </wp:positionH>
          <wp:positionV relativeFrom="paragraph">
            <wp:posOffset>-196850</wp:posOffset>
          </wp:positionV>
          <wp:extent cx="4552950" cy="428463"/>
          <wp:effectExtent l="0" t="0" r="0" b="0"/>
          <wp:wrapTight wrapText="bothSides">
            <wp:wrapPolygon edited="0">
              <wp:start x="0" y="0"/>
              <wp:lineTo x="0" y="20190"/>
              <wp:lineTo x="21510" y="20190"/>
              <wp:lineTo x="21510" y="0"/>
              <wp:lineTo x="0" y="0"/>
            </wp:wrapPolygon>
          </wp:wrapTight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testazi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2950" cy="4284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2E928" w14:textId="77777777" w:rsidR="00E41A09" w:rsidRDefault="00E41A09" w:rsidP="00DD7646">
      <w:bookmarkStart w:id="0" w:name="_Hlk532206960"/>
      <w:bookmarkEnd w:id="0"/>
      <w:r>
        <w:separator/>
      </w:r>
    </w:p>
  </w:footnote>
  <w:footnote w:type="continuationSeparator" w:id="0">
    <w:p w14:paraId="47ECD14F" w14:textId="77777777" w:rsidR="00E41A09" w:rsidRDefault="00E41A09" w:rsidP="00DD7646">
      <w:r>
        <w:continuationSeparator/>
      </w:r>
    </w:p>
  </w:footnote>
  <w:footnote w:id="1">
    <w:p w14:paraId="6F0BA0BC" w14:textId="77777777" w:rsidR="00F532FE" w:rsidRPr="002E7DA6" w:rsidRDefault="00F532FE" w:rsidP="00F532FE">
      <w:pPr>
        <w:pStyle w:val="Testonotaapidipagina"/>
        <w:rPr>
          <w:rFonts w:asciiTheme="majorHAnsi" w:hAnsiTheme="majorHAnsi" w:cstheme="majorHAnsi"/>
        </w:rPr>
      </w:pPr>
      <w:r w:rsidRPr="002E7DA6">
        <w:rPr>
          <w:rStyle w:val="Rimandonotaapidipagina"/>
          <w:rFonts w:asciiTheme="majorHAnsi" w:hAnsiTheme="majorHAnsi" w:cstheme="majorHAnsi"/>
        </w:rPr>
        <w:footnoteRef/>
      </w:r>
      <w:r w:rsidRPr="002E7DA6">
        <w:rPr>
          <w:rFonts w:asciiTheme="majorHAnsi" w:hAnsiTheme="majorHAnsi" w:cstheme="majorHAnsi"/>
        </w:rPr>
        <w:t xml:space="preserve"> </w:t>
      </w:r>
      <w:bookmarkStart w:id="3" w:name="_Hlk531793358"/>
      <w:r w:rsidRPr="002E7DA6">
        <w:rPr>
          <w:rFonts w:asciiTheme="majorHAnsi" w:hAnsiTheme="majorHAnsi" w:cstheme="majorHAnsi"/>
        </w:rPr>
        <w:t>OCPA – OpenCommunityPA2020</w:t>
      </w:r>
      <w:r>
        <w:rPr>
          <w:rFonts w:asciiTheme="majorHAnsi" w:hAnsiTheme="majorHAnsi" w:cstheme="majorHAnsi"/>
        </w:rPr>
        <w:t>: p</w:t>
      </w:r>
      <w:r w:rsidRPr="002E7DA6">
        <w:rPr>
          <w:rFonts w:asciiTheme="majorHAnsi" w:hAnsiTheme="majorHAnsi" w:cstheme="majorHAnsi"/>
        </w:rPr>
        <w:t>rimo Avviso pubblico per interventi volti al trasferimento, evoluzione e diffusione di buone prassi fra Pubbliche Amministrazioni</w:t>
      </w:r>
      <w:bookmarkEnd w:id="3"/>
      <w:r w:rsidRPr="002E7DA6">
        <w:rPr>
          <w:rFonts w:asciiTheme="majorHAnsi" w:hAnsiTheme="majorHAnsi" w:cstheme="maj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E1C8" w14:textId="29134EC3" w:rsidR="00AA1C18" w:rsidRDefault="00AA1C18" w:rsidP="00DD7646">
    <w:pPr>
      <w:pStyle w:val="Intestazione"/>
      <w:rPr>
        <w:noProof/>
        <w:lang w:eastAsia="it-IT"/>
      </w:rPr>
    </w:pPr>
    <w:r w:rsidRPr="005441F9"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17A4CC70" wp14:editId="65D1E6D2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12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5060B5C" wp14:editId="13EEA3C3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667588" cy="568712"/>
          <wp:effectExtent l="0" t="0" r="0" b="3175"/>
          <wp:wrapNone/>
          <wp:docPr id="13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450D336D" wp14:editId="267AB04B">
          <wp:simplePos x="0" y="0"/>
          <wp:positionH relativeFrom="margin">
            <wp:align>left</wp:align>
          </wp:positionH>
          <wp:positionV relativeFrom="paragraph">
            <wp:posOffset>7589</wp:posOffset>
          </wp:positionV>
          <wp:extent cx="1540389" cy="613317"/>
          <wp:effectExtent l="0" t="0" r="3175" b="0"/>
          <wp:wrapNone/>
          <wp:docPr id="14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41F9">
      <w:rPr>
        <w:noProof/>
        <w:lang w:eastAsia="it-IT"/>
      </w:rPr>
      <w:t xml:space="preserve">  </w:t>
    </w:r>
  </w:p>
  <w:p w14:paraId="27378143" w14:textId="77777777" w:rsidR="00AA1C18" w:rsidRDefault="00AA1C18" w:rsidP="00DD7646">
    <w:pPr>
      <w:pStyle w:val="Intestazione"/>
      <w:rPr>
        <w:noProof/>
        <w:lang w:eastAsia="it-IT"/>
      </w:rPr>
    </w:pPr>
  </w:p>
  <w:p w14:paraId="1766A562" w14:textId="77777777" w:rsidR="00AA1C18" w:rsidRDefault="00AA1C18" w:rsidP="00DD7646">
    <w:pPr>
      <w:pStyle w:val="Intestazione"/>
      <w:rPr>
        <w:noProof/>
        <w:lang w:eastAsia="it-IT"/>
      </w:rPr>
    </w:pPr>
  </w:p>
  <w:p w14:paraId="57E3635D" w14:textId="77777777" w:rsidR="00AA1C18" w:rsidRDefault="00AA1C18" w:rsidP="00DD76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11D90" w14:textId="229A6A00" w:rsidR="00AA1C18" w:rsidRDefault="00AA1C18">
    <w:pPr>
      <w:pStyle w:val="Intestazione"/>
    </w:pPr>
    <w:r w:rsidRPr="007C0EEE">
      <w:rPr>
        <w:noProof/>
      </w:rPr>
      <w:drawing>
        <wp:anchor distT="0" distB="0" distL="114300" distR="114300" simplePos="0" relativeHeight="251663360" behindDoc="0" locked="0" layoutInCell="1" allowOverlap="1" wp14:anchorId="18E14A29" wp14:editId="15E6B74D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540389" cy="613317"/>
          <wp:effectExtent l="0" t="0" r="3175" b="0"/>
          <wp:wrapNone/>
          <wp:docPr id="1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4384" behindDoc="0" locked="0" layoutInCell="1" allowOverlap="1" wp14:anchorId="4F12C57C" wp14:editId="1E2F0EF3">
          <wp:simplePos x="0" y="0"/>
          <wp:positionH relativeFrom="margi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3175"/>
          <wp:wrapNone/>
          <wp:docPr id="17" name="Immagine 17">
            <a:extLst xmlns:a="http://schemas.openxmlformats.org/drawingml/2006/main">
              <a:ext uri="{FF2B5EF4-FFF2-40B4-BE49-F238E27FC236}">
                <a16:creationId xmlns:a16="http://schemas.microsoft.com/office/drawing/2014/main" id="{B74CB879-6904-7D43-AF3A-37EFB8F353A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magine 17">
                    <a:extLst>
                      <a:ext uri="{FF2B5EF4-FFF2-40B4-BE49-F238E27FC236}">
                        <a16:creationId xmlns:a16="http://schemas.microsoft.com/office/drawing/2014/main" id="{B74CB879-6904-7D43-AF3A-37EFB8F353A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EEE">
      <w:rPr>
        <w:noProof/>
      </w:rPr>
      <w:drawing>
        <wp:anchor distT="0" distB="0" distL="114300" distR="114300" simplePos="0" relativeHeight="251665408" behindDoc="0" locked="0" layoutInCell="1" allowOverlap="1" wp14:anchorId="0E5D3F25" wp14:editId="2A4C3121">
          <wp:simplePos x="0" y="0"/>
          <wp:positionH relativeFrom="column">
            <wp:posOffset>2345055</wp:posOffset>
          </wp:positionH>
          <wp:positionV relativeFrom="paragraph">
            <wp:posOffset>-635</wp:posOffset>
          </wp:positionV>
          <wp:extent cx="1259840" cy="635635"/>
          <wp:effectExtent l="0" t="0" r="0" b="0"/>
          <wp:wrapNone/>
          <wp:docPr id="18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C5CE8"/>
    <w:multiLevelType w:val="hybridMultilevel"/>
    <w:tmpl w:val="1744C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12E58"/>
    <w:multiLevelType w:val="hybridMultilevel"/>
    <w:tmpl w:val="A7B67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7781B"/>
    <w:multiLevelType w:val="hybridMultilevel"/>
    <w:tmpl w:val="FE8022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B684E"/>
    <w:multiLevelType w:val="hybridMultilevel"/>
    <w:tmpl w:val="970C2502"/>
    <w:lvl w:ilvl="0" w:tplc="459858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95DA6"/>
    <w:multiLevelType w:val="hybridMultilevel"/>
    <w:tmpl w:val="DE9805DC"/>
    <w:lvl w:ilvl="0" w:tplc="9FE0BF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75CA9"/>
    <w:multiLevelType w:val="multilevel"/>
    <w:tmpl w:val="0652D0E6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787812"/>
    <w:multiLevelType w:val="hybridMultilevel"/>
    <w:tmpl w:val="434AF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1353E"/>
    <w:multiLevelType w:val="hybridMultilevel"/>
    <w:tmpl w:val="23D4DD02"/>
    <w:lvl w:ilvl="0" w:tplc="EC1C7C76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12"/>
  </w:num>
  <w:num w:numId="10">
    <w:abstractNumId w:val="4"/>
  </w:num>
  <w:num w:numId="11">
    <w:abstractNumId w:val="3"/>
  </w:num>
  <w:num w:numId="12">
    <w:abstractNumId w:val="5"/>
  </w:num>
  <w:num w:numId="13">
    <w:abstractNumId w:val="13"/>
  </w:num>
  <w:num w:numId="1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trackRevision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226E2"/>
    <w:rsid w:val="0002789A"/>
    <w:rsid w:val="00031F5F"/>
    <w:rsid w:val="0003552C"/>
    <w:rsid w:val="000529ED"/>
    <w:rsid w:val="000564A9"/>
    <w:rsid w:val="0007134D"/>
    <w:rsid w:val="000713E3"/>
    <w:rsid w:val="000849F1"/>
    <w:rsid w:val="000A16A9"/>
    <w:rsid w:val="000A34B4"/>
    <w:rsid w:val="000D7090"/>
    <w:rsid w:val="000E530E"/>
    <w:rsid w:val="000E590D"/>
    <w:rsid w:val="000F082C"/>
    <w:rsid w:val="000F2E78"/>
    <w:rsid w:val="000F72E5"/>
    <w:rsid w:val="00100823"/>
    <w:rsid w:val="00103A2F"/>
    <w:rsid w:val="00121BAD"/>
    <w:rsid w:val="00126539"/>
    <w:rsid w:val="00131A04"/>
    <w:rsid w:val="00132EE1"/>
    <w:rsid w:val="0013750E"/>
    <w:rsid w:val="001376B7"/>
    <w:rsid w:val="00145D54"/>
    <w:rsid w:val="001557CA"/>
    <w:rsid w:val="00155A74"/>
    <w:rsid w:val="001647B0"/>
    <w:rsid w:val="001714FE"/>
    <w:rsid w:val="00175A97"/>
    <w:rsid w:val="001774D1"/>
    <w:rsid w:val="001848FE"/>
    <w:rsid w:val="0018578C"/>
    <w:rsid w:val="001A1F24"/>
    <w:rsid w:val="001A3E30"/>
    <w:rsid w:val="001A7A8E"/>
    <w:rsid w:val="001C536A"/>
    <w:rsid w:val="001D39BC"/>
    <w:rsid w:val="001E4656"/>
    <w:rsid w:val="001E5217"/>
    <w:rsid w:val="001E631B"/>
    <w:rsid w:val="001F2BD1"/>
    <w:rsid w:val="00200C2E"/>
    <w:rsid w:val="00212479"/>
    <w:rsid w:val="00213E83"/>
    <w:rsid w:val="00214C5E"/>
    <w:rsid w:val="0021609B"/>
    <w:rsid w:val="002229DC"/>
    <w:rsid w:val="00222F51"/>
    <w:rsid w:val="0022605C"/>
    <w:rsid w:val="00231DB6"/>
    <w:rsid w:val="0023473B"/>
    <w:rsid w:val="00265925"/>
    <w:rsid w:val="00267264"/>
    <w:rsid w:val="00273505"/>
    <w:rsid w:val="002857A8"/>
    <w:rsid w:val="0029004C"/>
    <w:rsid w:val="0029689B"/>
    <w:rsid w:val="002A07FC"/>
    <w:rsid w:val="002A2700"/>
    <w:rsid w:val="002A4BC7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D3980"/>
    <w:rsid w:val="002E7DA6"/>
    <w:rsid w:val="002F2F77"/>
    <w:rsid w:val="00311E93"/>
    <w:rsid w:val="00313345"/>
    <w:rsid w:val="00317CB9"/>
    <w:rsid w:val="00324E98"/>
    <w:rsid w:val="00333699"/>
    <w:rsid w:val="00333E2F"/>
    <w:rsid w:val="003516D2"/>
    <w:rsid w:val="00356FC4"/>
    <w:rsid w:val="00370837"/>
    <w:rsid w:val="00382BE5"/>
    <w:rsid w:val="00385444"/>
    <w:rsid w:val="003A2026"/>
    <w:rsid w:val="003B1C74"/>
    <w:rsid w:val="003B608E"/>
    <w:rsid w:val="003D1BB4"/>
    <w:rsid w:val="003E380F"/>
    <w:rsid w:val="003F5E1A"/>
    <w:rsid w:val="00400885"/>
    <w:rsid w:val="00402638"/>
    <w:rsid w:val="00410597"/>
    <w:rsid w:val="00416C1A"/>
    <w:rsid w:val="00433051"/>
    <w:rsid w:val="00433EC5"/>
    <w:rsid w:val="004362FA"/>
    <w:rsid w:val="0045409C"/>
    <w:rsid w:val="004740DC"/>
    <w:rsid w:val="00474964"/>
    <w:rsid w:val="0047512E"/>
    <w:rsid w:val="00485ED2"/>
    <w:rsid w:val="004918C8"/>
    <w:rsid w:val="00496780"/>
    <w:rsid w:val="0049797C"/>
    <w:rsid w:val="004A51E0"/>
    <w:rsid w:val="004B407E"/>
    <w:rsid w:val="004B6205"/>
    <w:rsid w:val="004C5073"/>
    <w:rsid w:val="004C7162"/>
    <w:rsid w:val="004D2FB9"/>
    <w:rsid w:val="004D7760"/>
    <w:rsid w:val="004E03CB"/>
    <w:rsid w:val="004E2832"/>
    <w:rsid w:val="004E46C6"/>
    <w:rsid w:val="004F4C14"/>
    <w:rsid w:val="0050064A"/>
    <w:rsid w:val="0050349A"/>
    <w:rsid w:val="0054095F"/>
    <w:rsid w:val="00542A1B"/>
    <w:rsid w:val="00543520"/>
    <w:rsid w:val="005441F9"/>
    <w:rsid w:val="00550659"/>
    <w:rsid w:val="005524C3"/>
    <w:rsid w:val="00557720"/>
    <w:rsid w:val="00565F98"/>
    <w:rsid w:val="0056734E"/>
    <w:rsid w:val="00572631"/>
    <w:rsid w:val="00573156"/>
    <w:rsid w:val="005750FC"/>
    <w:rsid w:val="0058395F"/>
    <w:rsid w:val="00586E88"/>
    <w:rsid w:val="00587B32"/>
    <w:rsid w:val="005970ED"/>
    <w:rsid w:val="005A42CD"/>
    <w:rsid w:val="005B3259"/>
    <w:rsid w:val="005C26FB"/>
    <w:rsid w:val="005C2C3B"/>
    <w:rsid w:val="005E64D1"/>
    <w:rsid w:val="006022DC"/>
    <w:rsid w:val="00621077"/>
    <w:rsid w:val="00642946"/>
    <w:rsid w:val="006432E5"/>
    <w:rsid w:val="00653A7A"/>
    <w:rsid w:val="00670070"/>
    <w:rsid w:val="006833D3"/>
    <w:rsid w:val="006948AF"/>
    <w:rsid w:val="006B1B03"/>
    <w:rsid w:val="006B509C"/>
    <w:rsid w:val="006B59F8"/>
    <w:rsid w:val="006B6780"/>
    <w:rsid w:val="006C68DD"/>
    <w:rsid w:val="006E5049"/>
    <w:rsid w:val="006F5023"/>
    <w:rsid w:val="006F57A9"/>
    <w:rsid w:val="007009A4"/>
    <w:rsid w:val="00735415"/>
    <w:rsid w:val="0073650E"/>
    <w:rsid w:val="007528EF"/>
    <w:rsid w:val="007679D9"/>
    <w:rsid w:val="00773DC7"/>
    <w:rsid w:val="00776B6D"/>
    <w:rsid w:val="00785A8E"/>
    <w:rsid w:val="00786CC8"/>
    <w:rsid w:val="00786D2D"/>
    <w:rsid w:val="007925A9"/>
    <w:rsid w:val="00796CA4"/>
    <w:rsid w:val="007979AF"/>
    <w:rsid w:val="007A3117"/>
    <w:rsid w:val="007A7679"/>
    <w:rsid w:val="007B0EAD"/>
    <w:rsid w:val="007B1021"/>
    <w:rsid w:val="007B1399"/>
    <w:rsid w:val="007B487B"/>
    <w:rsid w:val="007B7D7C"/>
    <w:rsid w:val="007C0EEE"/>
    <w:rsid w:val="007C1C86"/>
    <w:rsid w:val="007C6AE3"/>
    <w:rsid w:val="007C7B8E"/>
    <w:rsid w:val="007E17E0"/>
    <w:rsid w:val="007E2534"/>
    <w:rsid w:val="007F07ED"/>
    <w:rsid w:val="007F3372"/>
    <w:rsid w:val="008110D7"/>
    <w:rsid w:val="008131B2"/>
    <w:rsid w:val="00814D39"/>
    <w:rsid w:val="00816460"/>
    <w:rsid w:val="00821AF4"/>
    <w:rsid w:val="00827D01"/>
    <w:rsid w:val="00831C19"/>
    <w:rsid w:val="00832684"/>
    <w:rsid w:val="008356D1"/>
    <w:rsid w:val="00835866"/>
    <w:rsid w:val="00836B33"/>
    <w:rsid w:val="008536A2"/>
    <w:rsid w:val="008536DB"/>
    <w:rsid w:val="0085656E"/>
    <w:rsid w:val="00862BE9"/>
    <w:rsid w:val="00867471"/>
    <w:rsid w:val="00877E76"/>
    <w:rsid w:val="008801F8"/>
    <w:rsid w:val="0088742D"/>
    <w:rsid w:val="00893F2F"/>
    <w:rsid w:val="008A53F8"/>
    <w:rsid w:val="008D6084"/>
    <w:rsid w:val="008E1277"/>
    <w:rsid w:val="008F22B3"/>
    <w:rsid w:val="008F41A2"/>
    <w:rsid w:val="00914E10"/>
    <w:rsid w:val="009176C2"/>
    <w:rsid w:val="00941895"/>
    <w:rsid w:val="00945207"/>
    <w:rsid w:val="00951910"/>
    <w:rsid w:val="009535D0"/>
    <w:rsid w:val="00955EDE"/>
    <w:rsid w:val="00982285"/>
    <w:rsid w:val="00984913"/>
    <w:rsid w:val="00987DAD"/>
    <w:rsid w:val="00991AF1"/>
    <w:rsid w:val="009A6E7F"/>
    <w:rsid w:val="009B44BB"/>
    <w:rsid w:val="009D1B39"/>
    <w:rsid w:val="009E4190"/>
    <w:rsid w:val="009F0275"/>
    <w:rsid w:val="00A00B0A"/>
    <w:rsid w:val="00A11057"/>
    <w:rsid w:val="00A1231C"/>
    <w:rsid w:val="00A23233"/>
    <w:rsid w:val="00A452C2"/>
    <w:rsid w:val="00A467D9"/>
    <w:rsid w:val="00A540AC"/>
    <w:rsid w:val="00A54F23"/>
    <w:rsid w:val="00A82D48"/>
    <w:rsid w:val="00A932B2"/>
    <w:rsid w:val="00AA1C18"/>
    <w:rsid w:val="00AA5E7F"/>
    <w:rsid w:val="00AA7E1C"/>
    <w:rsid w:val="00AB2F51"/>
    <w:rsid w:val="00AB4DD2"/>
    <w:rsid w:val="00AB5443"/>
    <w:rsid w:val="00AD4035"/>
    <w:rsid w:val="00AD4E94"/>
    <w:rsid w:val="00B023E4"/>
    <w:rsid w:val="00B044BF"/>
    <w:rsid w:val="00B05666"/>
    <w:rsid w:val="00B15681"/>
    <w:rsid w:val="00B32479"/>
    <w:rsid w:val="00B4173A"/>
    <w:rsid w:val="00B434AD"/>
    <w:rsid w:val="00B44893"/>
    <w:rsid w:val="00B5585F"/>
    <w:rsid w:val="00B6005A"/>
    <w:rsid w:val="00B62729"/>
    <w:rsid w:val="00B62D75"/>
    <w:rsid w:val="00B67F47"/>
    <w:rsid w:val="00B7094C"/>
    <w:rsid w:val="00B71A68"/>
    <w:rsid w:val="00B80A90"/>
    <w:rsid w:val="00B80B25"/>
    <w:rsid w:val="00B8380B"/>
    <w:rsid w:val="00B917E5"/>
    <w:rsid w:val="00B91817"/>
    <w:rsid w:val="00B970E7"/>
    <w:rsid w:val="00BA0D02"/>
    <w:rsid w:val="00BA57B8"/>
    <w:rsid w:val="00BB0880"/>
    <w:rsid w:val="00BC004B"/>
    <w:rsid w:val="00BD322D"/>
    <w:rsid w:val="00BD6D59"/>
    <w:rsid w:val="00BD7169"/>
    <w:rsid w:val="00BE52E4"/>
    <w:rsid w:val="00C00277"/>
    <w:rsid w:val="00C00A35"/>
    <w:rsid w:val="00C01FE3"/>
    <w:rsid w:val="00C02919"/>
    <w:rsid w:val="00C03DCB"/>
    <w:rsid w:val="00C13138"/>
    <w:rsid w:val="00C13B00"/>
    <w:rsid w:val="00C5628C"/>
    <w:rsid w:val="00C630FF"/>
    <w:rsid w:val="00C67DC9"/>
    <w:rsid w:val="00C7353B"/>
    <w:rsid w:val="00C74731"/>
    <w:rsid w:val="00C80DD9"/>
    <w:rsid w:val="00C82BCC"/>
    <w:rsid w:val="00C91FDB"/>
    <w:rsid w:val="00C94EBB"/>
    <w:rsid w:val="00CA17F1"/>
    <w:rsid w:val="00CB0B4D"/>
    <w:rsid w:val="00CB3644"/>
    <w:rsid w:val="00CD2D37"/>
    <w:rsid w:val="00CD3389"/>
    <w:rsid w:val="00CF5606"/>
    <w:rsid w:val="00CF6DA9"/>
    <w:rsid w:val="00D05C9C"/>
    <w:rsid w:val="00D12AFC"/>
    <w:rsid w:val="00D15878"/>
    <w:rsid w:val="00D16196"/>
    <w:rsid w:val="00D205B3"/>
    <w:rsid w:val="00D2509C"/>
    <w:rsid w:val="00D30A00"/>
    <w:rsid w:val="00D31DCB"/>
    <w:rsid w:val="00D37968"/>
    <w:rsid w:val="00D449FB"/>
    <w:rsid w:val="00D67E92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B6287"/>
    <w:rsid w:val="00DD24D2"/>
    <w:rsid w:val="00DD7646"/>
    <w:rsid w:val="00DF020A"/>
    <w:rsid w:val="00E01284"/>
    <w:rsid w:val="00E01569"/>
    <w:rsid w:val="00E02138"/>
    <w:rsid w:val="00E04805"/>
    <w:rsid w:val="00E05E49"/>
    <w:rsid w:val="00E06E98"/>
    <w:rsid w:val="00E223FB"/>
    <w:rsid w:val="00E22A8E"/>
    <w:rsid w:val="00E3429B"/>
    <w:rsid w:val="00E368B7"/>
    <w:rsid w:val="00E41A09"/>
    <w:rsid w:val="00E52EDB"/>
    <w:rsid w:val="00E5312E"/>
    <w:rsid w:val="00E60534"/>
    <w:rsid w:val="00E65B56"/>
    <w:rsid w:val="00E708D9"/>
    <w:rsid w:val="00E7210D"/>
    <w:rsid w:val="00E84EA3"/>
    <w:rsid w:val="00E917B0"/>
    <w:rsid w:val="00EA7939"/>
    <w:rsid w:val="00EA7B04"/>
    <w:rsid w:val="00EC0A29"/>
    <w:rsid w:val="00EC3560"/>
    <w:rsid w:val="00EC3646"/>
    <w:rsid w:val="00EC45A5"/>
    <w:rsid w:val="00EC5509"/>
    <w:rsid w:val="00EC757B"/>
    <w:rsid w:val="00ED289C"/>
    <w:rsid w:val="00EE2B40"/>
    <w:rsid w:val="00EE40DA"/>
    <w:rsid w:val="00F02CA4"/>
    <w:rsid w:val="00F07520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57E9"/>
    <w:rsid w:val="00F56EA7"/>
    <w:rsid w:val="00F62DBE"/>
    <w:rsid w:val="00F75D97"/>
    <w:rsid w:val="00FA0C2C"/>
    <w:rsid w:val="00FA2BFE"/>
    <w:rsid w:val="00FC3C27"/>
    <w:rsid w:val="00FF176F"/>
    <w:rsid w:val="00FF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autoRedefine/>
    <w:uiPriority w:val="9"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emf"/><Relationship Id="rId2" Type="http://schemas.openxmlformats.org/officeDocument/2006/relationships/image" Target="media/image2.emf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9413129F-A234-496D-8605-032D8029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Matteo Villettaz</cp:lastModifiedBy>
  <cp:revision>21</cp:revision>
  <cp:lastPrinted>2018-12-05T16:48:00Z</cp:lastPrinted>
  <dcterms:created xsi:type="dcterms:W3CDTF">2018-12-10T17:43:00Z</dcterms:created>
  <dcterms:modified xsi:type="dcterms:W3CDTF">2020-05-11T15:20:00Z</dcterms:modified>
</cp:coreProperties>
</file>