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82" w:rsidRDefault="00924A82" w:rsidP="00924A82">
      <w:pPr>
        <w:jc w:val="both"/>
        <w:rPr>
          <w:b/>
        </w:rPr>
      </w:pPr>
      <w:bookmarkStart w:id="0" w:name="_GoBack"/>
      <w:r>
        <w:rPr>
          <w:b/>
        </w:rPr>
        <w:t xml:space="preserve">A.5.3 - </w:t>
      </w:r>
      <w:bookmarkEnd w:id="0"/>
      <w:r>
        <w:rPr>
          <w:b/>
        </w:rPr>
        <w:t>Coinvolgimento di tutti gli stakeholder tramite incontri periodici finalizzati a garantire la massima diffusione della buona pratica anche al fine di prevenire eventuali resistenze al cambiamento.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 xml:space="preserve">Città Metropolitana di Bari 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r>
        <w:t>Destinatari:</w:t>
      </w:r>
      <w:r>
        <w:tab/>
        <w:t>Enti dell’Area metropolitana di Bari, operatori privati fornitori di servizi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 </w:t>
      </w:r>
      <w:r>
        <w:tab/>
        <w:t xml:space="preserve">“Attivazione dei servizi di pagamento su nodo regionale </w:t>
      </w:r>
      <w:proofErr w:type="spellStart"/>
      <w:r>
        <w:t>pagoPA</w:t>
      </w:r>
      <w:proofErr w:type="spellEnd"/>
      <w:r>
        <w:t>” (ottobre 2020)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 xml:space="preserve">Città Metropolitana di Roma 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r>
        <w:t>Destinatari:</w:t>
      </w:r>
      <w:r>
        <w:tab/>
        <w:t>Enti intermediati, operatori privati fornitori di servizi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 </w:t>
      </w:r>
      <w:r>
        <w:tab/>
        <w:t xml:space="preserve">“Presentazione progetto </w:t>
      </w:r>
      <w:proofErr w:type="spellStart"/>
      <w:r>
        <w:t>PayFlowPA</w:t>
      </w:r>
      <w:proofErr w:type="spellEnd"/>
      <w:r>
        <w:t>” (aprile/maggio 2020)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 xml:space="preserve">Comune di Bari (Piattaforma </w:t>
      </w:r>
      <w:proofErr w:type="spellStart"/>
      <w:r>
        <w:rPr>
          <w:b/>
          <w:i/>
        </w:rPr>
        <w:t>PayFlowPA</w:t>
      </w:r>
      <w:proofErr w:type="spellEnd"/>
      <w:r>
        <w:rPr>
          <w:b/>
          <w:i/>
        </w:rPr>
        <w:t>)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r>
        <w:t>Destinatari</w:t>
      </w:r>
      <w:r>
        <w:tab/>
        <w:t>Operatori privati fornitori di servizi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 </w:t>
      </w:r>
      <w:r>
        <w:tab/>
        <w:t>“Caso pilota Bari” (ottobre 2020)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 xml:space="preserve">Provincia autonoma di Trento 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r>
        <w:t>Destinatari</w:t>
      </w:r>
      <w:r>
        <w:tab/>
        <w:t>Strutture provinciali, agenzie, scuole ed enti strumentali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 </w:t>
      </w:r>
      <w:r>
        <w:tab/>
        <w:t>“Come pagare la PA con pagamenti elettronici” (maggio 2020)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 xml:space="preserve">Regione Lombardia 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r>
        <w:t xml:space="preserve">Destinatari </w:t>
      </w:r>
      <w:r>
        <w:tab/>
        <w:t>Enti territoriali, ASL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: </w:t>
      </w:r>
      <w:r>
        <w:tab/>
        <w:t xml:space="preserve">Riuso e sviluppo piattaforma </w:t>
      </w:r>
      <w:proofErr w:type="spellStart"/>
      <w:r>
        <w:t>PayFlowPA</w:t>
      </w:r>
      <w:proofErr w:type="spellEnd"/>
      <w:r>
        <w:t xml:space="preserve"> (maggio 2019)</w:t>
      </w:r>
    </w:p>
    <w:p w:rsidR="00924A82" w:rsidRDefault="00924A82" w:rsidP="00924A82">
      <w:pPr>
        <w:pStyle w:val="Paragrafoelenco"/>
        <w:numPr>
          <w:ilvl w:val="0"/>
          <w:numId w:val="2"/>
        </w:numPr>
      </w:pPr>
      <w:proofErr w:type="spellStart"/>
      <w:r>
        <w:t>Webinar</w:t>
      </w:r>
      <w:proofErr w:type="spellEnd"/>
      <w:r>
        <w:t xml:space="preserve">: </w:t>
      </w:r>
      <w:r>
        <w:tab/>
        <w:t xml:space="preserve">Adesione della Aziende Sanitarie di Regione Lombardia al nodo dei pagamenti </w:t>
      </w:r>
      <w:proofErr w:type="spellStart"/>
      <w:r>
        <w:t>pagoPA</w:t>
      </w:r>
      <w:proofErr w:type="spellEnd"/>
      <w:r>
        <w:t xml:space="preserve">: convergenza dei pagamenti elettronici su </w:t>
      </w:r>
      <w:proofErr w:type="spellStart"/>
      <w:r>
        <w:t>MyPay</w:t>
      </w:r>
      <w:proofErr w:type="spellEnd"/>
      <w:r>
        <w:t xml:space="preserve"> (maggio 2019)</w:t>
      </w:r>
    </w:p>
    <w:p w:rsidR="00924A82" w:rsidRPr="00C27F39" w:rsidRDefault="00924A82" w:rsidP="00924A82">
      <w:pPr>
        <w:rPr>
          <w:b/>
          <w:i/>
        </w:rPr>
      </w:pPr>
      <w:r w:rsidRPr="00C27F39">
        <w:rPr>
          <w:b/>
          <w:i/>
        </w:rPr>
        <w:t>Regione Puglia</w:t>
      </w:r>
    </w:p>
    <w:p w:rsidR="00924A82" w:rsidRPr="00C27F39" w:rsidRDefault="00924A82" w:rsidP="00924A82">
      <w:pPr>
        <w:pStyle w:val="Paragrafoelenco"/>
        <w:numPr>
          <w:ilvl w:val="0"/>
          <w:numId w:val="2"/>
        </w:numPr>
      </w:pPr>
      <w:r w:rsidRPr="00C27F39">
        <w:t>Destinatari</w:t>
      </w:r>
      <w:r w:rsidRPr="00C27F39">
        <w:tab/>
        <w:t>Enti territoriali</w:t>
      </w:r>
      <w:r>
        <w:t>, ASL</w:t>
      </w:r>
    </w:p>
    <w:p w:rsidR="00924A82" w:rsidRPr="00C27F39" w:rsidRDefault="00924A82" w:rsidP="00924A82">
      <w:pPr>
        <w:pStyle w:val="Paragrafoelenco"/>
        <w:numPr>
          <w:ilvl w:val="0"/>
          <w:numId w:val="2"/>
        </w:numPr>
      </w:pPr>
      <w:proofErr w:type="spellStart"/>
      <w:r w:rsidRPr="00C27F39">
        <w:t>Videocall</w:t>
      </w:r>
      <w:proofErr w:type="spellEnd"/>
      <w:r w:rsidRPr="00C27F39">
        <w:tab/>
        <w:t xml:space="preserve">Incontri di divulgazione e sensibilizzazione sul tema dei pagamenti </w:t>
      </w:r>
    </w:p>
    <w:p w:rsidR="00924A82" w:rsidRDefault="00924A82" w:rsidP="00924A82">
      <w:pPr>
        <w:rPr>
          <w:b/>
          <w:i/>
        </w:rPr>
      </w:pPr>
      <w:r>
        <w:rPr>
          <w:b/>
          <w:i/>
        </w:rPr>
        <w:t>Regione Veneto</w:t>
      </w:r>
    </w:p>
    <w:p w:rsidR="00924A82" w:rsidRDefault="00924A82" w:rsidP="00924A82">
      <w:pPr>
        <w:pStyle w:val="Paragrafoelenco"/>
        <w:numPr>
          <w:ilvl w:val="0"/>
          <w:numId w:val="1"/>
        </w:numPr>
      </w:pPr>
      <w:r>
        <w:t>Destinatari</w:t>
      </w:r>
      <w:r>
        <w:tab/>
        <w:t>Enti intermediari gruppo SPAC, Enti intermediati, operatori e fornitori di servizi</w:t>
      </w:r>
    </w:p>
    <w:p w:rsidR="00924A82" w:rsidRDefault="00924A82" w:rsidP="00924A82">
      <w:pPr>
        <w:pStyle w:val="Paragrafoelenco"/>
        <w:numPr>
          <w:ilvl w:val="0"/>
          <w:numId w:val="1"/>
        </w:numPr>
      </w:pPr>
      <w:r>
        <w:t xml:space="preserve">Workshop </w:t>
      </w:r>
      <w:r>
        <w:tab/>
        <w:t xml:space="preserve">Switch off </w:t>
      </w:r>
      <w:proofErr w:type="spellStart"/>
      <w:r>
        <w:t>pagoPA</w:t>
      </w:r>
      <w:proofErr w:type="spellEnd"/>
      <w:r>
        <w:t>: il ruolo delle Regioni – Coordinamento degli Intermediari Tecnologici della PA (novembre 2019)</w:t>
      </w:r>
    </w:p>
    <w:p w:rsidR="00576FDF" w:rsidRDefault="00576FDF"/>
    <w:sectPr w:rsidR="00576F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88"/>
    <w:multiLevelType w:val="multilevel"/>
    <w:tmpl w:val="2F6820A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44E1CA5"/>
    <w:multiLevelType w:val="multilevel"/>
    <w:tmpl w:val="2E88A2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02"/>
    <w:rsid w:val="00576FDF"/>
    <w:rsid w:val="00860102"/>
    <w:rsid w:val="009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4A82"/>
    <w:pPr>
      <w:suppressAutoHyphens/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4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4A82"/>
    <w:pPr>
      <w:suppressAutoHyphens/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Tinelli Eufemia</dc:creator>
  <cp:keywords/>
  <dc:description/>
  <cp:lastModifiedBy>Tinelli Eufemia</cp:lastModifiedBy>
  <cp:revision>2</cp:revision>
  <dcterms:created xsi:type="dcterms:W3CDTF">2021-03-30T16:56:00Z</dcterms:created>
  <dcterms:modified xsi:type="dcterms:W3CDTF">2021-03-30T16:56:00Z</dcterms:modified>
</cp:coreProperties>
</file>