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PROGETTO “PROPERTY MANAGEMENT (PROMA)”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PON GOVERNANCE E CAPACITÀ ISTITUZIONALE 2014-2020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Fase B – Trasferimento ed adozione della buona pratica</w:t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Aggiornato in data: 16/12/2019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Indice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Ambito gestionale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B1. Piano di adozione della buona pratica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Fasi e attività del progetto di riuso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Elaborazione Piano Operativo dettagliato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Piano Operativo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Istituzione staff di progetto e coordinamento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 figure responsabili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Monitoraggio del progetto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Indicatori di monitoraggio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Monitoraggio intermedio e finale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Definizione del piano di formazione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Piano di formazione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Formazione enti riusanti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Verbali di formazione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Definizione della matrice di gap analysis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Gap Analysis 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di analisi del gap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Definizione piano di trasferimento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Piano di trasferimento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Definizione modello di riuso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Raccolta dati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Creazione banca dati PROMA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Banca dati PROMA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e validazione banca dati PROMA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e validazione sistema PROMA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Ruoli, responsabilità e gestione del progetto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Ambito organizzativo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B2. Scheda descrittiva dei processi Amministrativi oggetto dell’intervento della buona pratica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B3. Documento di descrizione di attività, ruoli e mansioni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Ambito tecnologico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B4. Codice software sorgente e compilato della soluzione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B5. Documento di licenza d’uso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B6. Manuale tecnico per l’installazione della soluzione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B7. Manuale utente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Ambito amministrativo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B8. Modelli di Atti amministrativi a supporto del trasferimento della buona pratica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B9. Elenco dei Soggetti Pubblici e Privati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B10. Modelli di atti utili per l’acquisizione di beni e servizi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Ambito informativo/formativo</w:t>
            </w:r>
          </w:hyperlink>
          <w:hyperlink w:anchor="_heading=h.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B11. Piano di comunicazione interna ed esterna e di formazione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B12. Strumenti a supporto delle attività di formazione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Ambito gestionale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B1. Piano di adozione della buona pratica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Il Piano di adozione della buona pratica descrive nel dettaglio le attività che compongono il progetto di riuso, suggerendo una organizzazione di massima del progetto e le modalità di monitoraggio.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Fasi e attività del progetto di riuso</w:t>
      </w:r>
    </w:p>
    <w:p w:rsidR="00000000" w:rsidDel="00000000" w:rsidP="00000000" w:rsidRDefault="00000000" w:rsidRPr="00000000" w14:paraId="00000040">
      <w:pPr>
        <w:spacing w:after="12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Nella Tabella 1 sono schematizzate le fasi e le attività del processo di trasferimento e adozione della buona pratica da parte di un singolo Ente (parte dell’attività A1 e attività A3 del Gantt di progetto approvato) fino alla sua messa a regime. Per ciascuna macro-fase, o insieme di attività, sono specificati: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Durata media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 medi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e milestone (traguardi intermedi nello svolgimento del progetto)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La durata ed i costi sono forniti come valore medio, in quanto variano a seconda del contesto di riuso (a tal proposito, vedere gli strumenti gestionali del Kit, fase A).</w:t>
      </w:r>
    </w:p>
    <w:p w:rsidR="00000000" w:rsidDel="00000000" w:rsidP="00000000" w:rsidRDefault="00000000" w:rsidRPr="00000000" w14:paraId="00000045">
      <w:pPr>
        <w:rPr/>
        <w:sectPr>
          <w:headerReference r:id="rId7" w:type="default"/>
          <w:footerReference r:id="rId8" w:type="default"/>
          <w:pgSz w:h="16838" w:w="11906" w:orient="portrait"/>
          <w:pgMar w:bottom="1134" w:top="1417" w:left="1134" w:right="1134" w:header="708" w:footer="708"/>
          <w:pgNumType w:start="1"/>
        </w:sectPr>
      </w:pPr>
      <w:r w:rsidDel="00000000" w:rsidR="00000000" w:rsidRPr="00000000">
        <w:rPr>
          <w:rtl w:val="0"/>
        </w:rPr>
        <w:t xml:space="preserve">Il calcolo delle FTE è stato fatto considerando convenzionalmente 8 ore/giorno di lavoro.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Tabella 1 - WBS attività di riuso</w:t>
      </w:r>
    </w:p>
    <w:tbl>
      <w:tblPr>
        <w:tblStyle w:val="Table1"/>
        <w:tblW w:w="14271.999999999996" w:type="dxa"/>
        <w:jc w:val="left"/>
        <w:tblInd w:w="0.0" w:type="dxa"/>
        <w:tblLayout w:type="fixed"/>
        <w:tblLook w:val="0400"/>
      </w:tblPr>
      <w:tblGrid>
        <w:gridCol w:w="2294"/>
        <w:gridCol w:w="962"/>
        <w:gridCol w:w="755"/>
        <w:gridCol w:w="1266"/>
        <w:gridCol w:w="1249"/>
        <w:gridCol w:w="510"/>
        <w:gridCol w:w="510"/>
        <w:gridCol w:w="510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tblGridChange w:id="0">
          <w:tblGrid>
            <w:gridCol w:w="2294"/>
            <w:gridCol w:w="962"/>
            <w:gridCol w:w="755"/>
            <w:gridCol w:w="1266"/>
            <w:gridCol w:w="1249"/>
            <w:gridCol w:w="510"/>
            <w:gridCol w:w="510"/>
            <w:gridCol w:w="510"/>
            <w:gridCol w:w="518"/>
            <w:gridCol w:w="518"/>
            <w:gridCol w:w="518"/>
            <w:gridCol w:w="518"/>
            <w:gridCol w:w="518"/>
            <w:gridCol w:w="518"/>
            <w:gridCol w:w="518"/>
            <w:gridCol w:w="518"/>
            <w:gridCol w:w="518"/>
            <w:gridCol w:w="518"/>
            <w:gridCol w:w="518"/>
            <w:gridCol w:w="518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d0cece" w:space="0" w:sz="8" w:val="single"/>
              <w:left w:color="d0cece" w:space="0" w:sz="8" w:val="single"/>
              <w:bottom w:color="d0cece" w:space="0" w:sz="4" w:val="single"/>
              <w:right w:color="d0cece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Fasi e attività</w:t>
            </w:r>
          </w:p>
        </w:tc>
        <w:tc>
          <w:tcPr>
            <w:tcBorders>
              <w:top w:color="d0cece" w:space="0" w:sz="8" w:val="single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Personale FTE</w:t>
            </w:r>
          </w:p>
        </w:tc>
        <w:tc>
          <w:tcPr>
            <w:tcBorders>
              <w:top w:color="d0cece" w:space="0" w:sz="8" w:val="single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Costi esterni</w:t>
            </w:r>
          </w:p>
        </w:tc>
        <w:tc>
          <w:tcPr>
            <w:tcBorders>
              <w:top w:color="d0cece" w:space="0" w:sz="8" w:val="single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tcBorders>
              <w:top w:color="d0cece" w:space="0" w:sz="8" w:val="single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Milestone</w:t>
            </w:r>
          </w:p>
        </w:tc>
        <w:tc>
          <w:tcPr>
            <w:tcBorders>
              <w:top w:color="d0cece" w:space="0" w:sz="8" w:val="single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375623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M7</w:t>
            </w:r>
          </w:p>
        </w:tc>
        <w:tc>
          <w:tcPr>
            <w:tcBorders>
              <w:top w:color="d0cece" w:space="0" w:sz="8" w:val="single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375623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M8</w:t>
            </w:r>
          </w:p>
        </w:tc>
        <w:tc>
          <w:tcPr>
            <w:tcBorders>
              <w:top w:color="d0cece" w:space="0" w:sz="8" w:val="single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375623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M9</w:t>
            </w:r>
          </w:p>
        </w:tc>
        <w:tc>
          <w:tcPr>
            <w:tcBorders>
              <w:top w:color="d0cece" w:space="0" w:sz="8" w:val="single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375623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M10</w:t>
            </w:r>
          </w:p>
        </w:tc>
        <w:tc>
          <w:tcPr>
            <w:tcBorders>
              <w:top w:color="d0cece" w:space="0" w:sz="8" w:val="single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375623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M11</w:t>
            </w:r>
          </w:p>
        </w:tc>
        <w:tc>
          <w:tcPr>
            <w:tcBorders>
              <w:top w:color="d0cece" w:space="0" w:sz="8" w:val="single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375623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M12</w:t>
            </w:r>
          </w:p>
        </w:tc>
        <w:tc>
          <w:tcPr>
            <w:tcBorders>
              <w:top w:color="d0cece" w:space="0" w:sz="8" w:val="single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375623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M13</w:t>
            </w:r>
          </w:p>
        </w:tc>
        <w:tc>
          <w:tcPr>
            <w:tcBorders>
              <w:top w:color="d0cece" w:space="0" w:sz="8" w:val="single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375623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M14</w:t>
            </w:r>
          </w:p>
        </w:tc>
        <w:tc>
          <w:tcPr>
            <w:tcBorders>
              <w:top w:color="d0cece" w:space="0" w:sz="8" w:val="single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375623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M15</w:t>
            </w:r>
          </w:p>
        </w:tc>
        <w:tc>
          <w:tcPr>
            <w:tcBorders>
              <w:top w:color="d0cece" w:space="0" w:sz="8" w:val="single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375623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M16</w:t>
            </w:r>
          </w:p>
        </w:tc>
        <w:tc>
          <w:tcPr>
            <w:tcBorders>
              <w:top w:color="d0cece" w:space="0" w:sz="8" w:val="single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375623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M17</w:t>
            </w:r>
          </w:p>
        </w:tc>
        <w:tc>
          <w:tcPr>
            <w:tcBorders>
              <w:top w:color="d0cece" w:space="0" w:sz="8" w:val="single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375623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M18</w:t>
            </w:r>
          </w:p>
        </w:tc>
        <w:tc>
          <w:tcPr>
            <w:tcBorders>
              <w:top w:color="d0cece" w:space="0" w:sz="8" w:val="single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375623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M19</w:t>
            </w:r>
          </w:p>
        </w:tc>
        <w:tc>
          <w:tcPr>
            <w:tcBorders>
              <w:top w:color="d0cece" w:space="0" w:sz="8" w:val="single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375623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M20</w:t>
            </w:r>
          </w:p>
        </w:tc>
        <w:tc>
          <w:tcPr>
            <w:tcBorders>
              <w:top w:color="d0cece" w:space="0" w:sz="8" w:val="single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375623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M21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d0cece" w:space="0" w:sz="8" w:val="single"/>
              <w:bottom w:color="d0cece" w:space="0" w:sz="4" w:val="single"/>
              <w:right w:color="d0cece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Gestione del progetto complessivo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 € 32.940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8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d0cece" w:space="0" w:sz="8" w:val="single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Elaborazione Piano Operativo dettagliato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Piano Operativo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d0cece" w:space="0" w:sz="8" w:val="single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Istituzione staff di progetto e coordinamento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Nomina figure responsabili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8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d0cece" w:space="0" w:sz="8" w:val="single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Monitoraggio del progetto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Indicatori di monitoraggio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Monitoraggio intermedio e finale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8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d0cece" w:space="0" w:sz="8" w:val="single"/>
              <w:bottom w:color="d0cece" w:space="0" w:sz="4" w:val="single"/>
              <w:right w:color="d0cece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Trasferimento della buona pratica singolo 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d0cece" w:space="0" w:sz="8" w:val="single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Fase 1: Formazione per l'utilizzo del kit di riuso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38135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38135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38135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38135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38135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38135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38135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38135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38135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38135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d0cece" w:space="0" w:sz="8" w:val="single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Definizione del piano di formazione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Piano di formazione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5e0b3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5e0b3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5e0b3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d0cece" w:space="0" w:sz="8" w:val="single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Formazione enti riusanti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Verbali di formazione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5e0b3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5e0b3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5e0b3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5e0b3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5e0b3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5e0b3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5e0b3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d0cece" w:space="0" w:sz="8" w:val="single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Fase 2: Analisi del gap e definizione Piano di trasferimento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d0cece" w:space="0" w:sz="8" w:val="single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Definizione della matrice di gap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d0cece" w:space="0" w:sz="8" w:val="single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bookmarkStart w:colFirst="0" w:colLast="0" w:name="_heading=h.z337ya" w:id="18"/>
            <w:bookmarkEnd w:id="18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Gap Analysis Ente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bookmarkStart w:colFirst="0" w:colLast="0" w:name="_heading=h.3j2qqm3" w:id="19"/>
            <w:bookmarkEnd w:id="19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Documento di analisi del gap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d0cece" w:space="0" w:sz="8" w:val="single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Definizione piano di trasferimento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bookmarkStart w:colFirst="0" w:colLast="0" w:name="_heading=h.4i7ojhp" w:id="21"/>
            <w:bookmarkEnd w:id="21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Piano di trasferimento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d0cece" w:space="0" w:sz="8" w:val="single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Fase 3: Implementazione buona pratica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d0cece" w:space="0" w:sz="8" w:val="single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bookmarkStart w:colFirst="0" w:colLast="0" w:name="_heading=h.2xcytpi" w:id="22"/>
            <w:bookmarkEnd w:id="22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Definizione modello di riuso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d0cece" w:space="0" w:sz="8" w:val="single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Raccolta dati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d0cece" w:space="0" w:sz="8" w:val="single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bookmarkStart w:colFirst="0" w:colLast="0" w:name="_heading=h.3whwml4" w:id="24"/>
            <w:bookmarkEnd w:id="2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Creazione banca dati PROMA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bookmarkStart w:colFirst="0" w:colLast="0" w:name="_heading=h.2bn6wsx" w:id="25"/>
            <w:bookmarkEnd w:id="25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Banca dati PROMA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d0cece" w:space="0" w:sz="8" w:val="single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bookmarkStart w:colFirst="0" w:colLast="0" w:name="_heading=h.qsh70q" w:id="26"/>
            <w:bookmarkEnd w:id="26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Verifica e validazione banca dati PROMA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d0cece" w:space="0" w:sz="8" w:val="single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bookmarkStart w:colFirst="0" w:colLast="0" w:name="_heading=h.3as4poj" w:id="27"/>
            <w:bookmarkEnd w:id="2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Verifica e validazione sistema PROMA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d0cece" w:space="0" w:sz="8" w:val="single"/>
              <w:bottom w:color="d0cece" w:space="0" w:sz="4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Aggiornamento kit di riuso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4" w:val="single"/>
            </w:tcBorders>
            <w:shd w:fill="548235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0cece" w:space="0" w:sz="8" w:val="single"/>
              <w:bottom w:color="d0cece" w:space="0" w:sz="8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Verifica e aggiornamento strumenti del kit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4" w:val="single"/>
              <w:right w:color="d0cec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8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Kit riuso aggiornato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8" w:val="single"/>
              <w:right w:color="d0cece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Chiusura del progetto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8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8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8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8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8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8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8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8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8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8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8" w:val="single"/>
              <w:right w:color="d0cec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cece" w:space="0" w:sz="8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8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8" w:val="single"/>
              <w:right w:color="d0cece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d0cece" w:space="0" w:sz="4" w:val="single"/>
              <w:bottom w:color="d0cece" w:space="0" w:sz="4" w:val="single"/>
              <w:right w:color="d0cece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ff0000"/>
        </w:rPr>
        <w:sectPr>
          <w:type w:val="nextPage"/>
          <w:pgSz w:h="11906" w:w="16838" w:orient="landscape"/>
          <w:pgMar w:bottom="1134" w:top="1134" w:left="1134" w:right="1417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Ruoli, responsabilità e gestione del progetto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La seguente </w:t>
      </w:r>
      <w:r w:rsidDel="00000000" w:rsidR="00000000" w:rsidRPr="00000000">
        <w:rPr>
          <w:i w:val="1"/>
          <w:rtl w:val="0"/>
        </w:rPr>
        <w:t xml:space="preserve">matrice di assegnazione responsabilità</w:t>
      </w:r>
      <w:r w:rsidDel="00000000" w:rsidR="00000000" w:rsidRPr="00000000">
        <w:rPr>
          <w:rtl w:val="0"/>
        </w:rPr>
        <w:t xml:space="preserve"> (RACI) rappresentare ruoli e responsabilità, ossia "chi fa che cosa", ponendo in relazione le risorse con le attività – o insieme di attività - delle quali sono responsabili.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Le risorse contemplate nella matrice non sono solo quelle dell’Ente riusante, bensì sono tutte quelle del più ampio mondo di stakeholder che hanno un ruolo attivo nella gestione del progetto o che vengono impattati dai processi della buona pratica.</w:t>
      </w:r>
    </w:p>
    <w:p w:rsidR="00000000" w:rsidDel="00000000" w:rsidP="00000000" w:rsidRDefault="00000000" w:rsidRPr="00000000" w14:paraId="000001F3">
      <w:pPr>
        <w:keepNext w:val="1"/>
        <w:spacing w:after="0" w:lineRule="auto"/>
        <w:rPr/>
      </w:pPr>
      <w:r w:rsidDel="00000000" w:rsidR="00000000" w:rsidRPr="00000000">
        <w:rPr>
          <w:rtl w:val="0"/>
        </w:rPr>
        <w:t xml:space="preserve">I ruoli previsti dalla matrice sono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(R): è colui che esegue l'attività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Accountable (A): è colui che ha la responsabilità sul risultato dell'attività. A differenza degli altri 3 ruoli, per ciascuna attività deve essere univocamente assegnato (ci può essere una sola A per attività).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Consulted (C): è colui che aiuta e collabora con il Responsible per l'esecuzione dell'attività (scambio di informazioni bi-direzionale).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Informed (I): è colui che deve essere informato al momento dell'esecuzione dell'attività (scambio di informazioni mono-direzionale).</w:t>
      </w:r>
    </w:p>
    <w:p w:rsidR="00000000" w:rsidDel="00000000" w:rsidP="00000000" w:rsidRDefault="00000000" w:rsidRPr="00000000" w14:paraId="000001F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Tabella 2 - Matrice RACI</w:t>
      </w:r>
    </w:p>
    <w:tbl>
      <w:tblPr>
        <w:tblStyle w:val="Table2"/>
        <w:tblW w:w="962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613"/>
        <w:gridCol w:w="1107"/>
        <w:gridCol w:w="1107"/>
        <w:gridCol w:w="1038"/>
        <w:gridCol w:w="1565"/>
        <w:gridCol w:w="1099"/>
        <w:gridCol w:w="1099"/>
        <w:tblGridChange w:id="0">
          <w:tblGrid>
            <w:gridCol w:w="2613"/>
            <w:gridCol w:w="1107"/>
            <w:gridCol w:w="1107"/>
            <w:gridCol w:w="1038"/>
            <w:gridCol w:w="1565"/>
            <w:gridCol w:w="1099"/>
            <w:gridCol w:w="109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Attività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Referente Progetto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Referente riusante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Figure tecniche riusante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Figure amministrative riusante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Personale esterno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Personale Ente cedente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7">
            <w:pPr>
              <w:rPr>
                <w:b w:val="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Elaborazione Piano Operativo dettagliato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E">
            <w:pPr>
              <w:rPr>
                <w:b w:val="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Istituzione staff di progetto e coordinamento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5">
            <w:pPr>
              <w:rPr>
                <w:b w:val="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Monitoraggio del progetto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C">
            <w:pPr>
              <w:rPr>
                <w:b w:val="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Definizione del piano di formazione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3">
            <w:pPr>
              <w:rPr>
                <w:b w:val="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Formazione enti riusanti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A">
            <w:pPr>
              <w:rPr>
                <w:b w:val="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Definizione della matrice di gap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1">
            <w:pPr>
              <w:rPr>
                <w:b w:val="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Gap Analysis 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8">
            <w:pPr>
              <w:rPr>
                <w:b w:val="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Definizione piano di trasferimento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F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Definizione modello di riuso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A/R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6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Raccolta dati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D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Creazione banca dati PROMA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4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Verifica e validazione banca dati PROMA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B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Verifica e validazione sistema PROMA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2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Verifica e aggiornamento strumenti del kit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Le passate esperienze di riuso hanno evidenziato le seguenti attività critiche/rischi che è probabile incontrare, per cui si indicano delle ulteriori possibili strategie di gestione ed organizzazione del progetto.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Tabella 3 - Attività critiche e strategie di gestione del rischio</w:t>
      </w:r>
    </w:p>
    <w:tbl>
      <w:tblPr>
        <w:tblStyle w:val="Table3"/>
        <w:tblW w:w="9673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3256"/>
        <w:gridCol w:w="3260"/>
        <w:gridCol w:w="3157"/>
        <w:tblGridChange w:id="0">
          <w:tblGrid>
            <w:gridCol w:w="3256"/>
            <w:gridCol w:w="3260"/>
            <w:gridCol w:w="3157"/>
          </w:tblGrid>
        </w:tblGridChange>
      </w:tblGrid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Attività critica</w:t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Problema/rischio </w:t>
            </w:r>
          </w:p>
        </w:tc>
        <w:tc>
          <w:tcPr/>
          <w:p w:rsidR="00000000" w:rsidDel="00000000" w:rsidP="00000000" w:rsidRDefault="00000000" w:rsidRPr="00000000" w14:paraId="000002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Possibili strategie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Definizione modello di riuso</w:t>
            </w:r>
          </w:p>
        </w:tc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In Enti piccoli possono mancare le competenze tecniche necessarie per la definizione del modello di riuso</w:t>
            </w:r>
          </w:p>
        </w:tc>
        <w:tc>
          <w:tcPr/>
          <w:p w:rsidR="00000000" w:rsidDel="00000000" w:rsidP="00000000" w:rsidRDefault="00000000" w:rsidRPr="00000000" w14:paraId="000002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Supporto del personale esterno e dell’Ente cedente agli Enti riusanti</w:t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Raccolta dati</w:t>
            </w:r>
          </w:p>
        </w:tc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In Enti grandi o articolati i dati possono essere distribuiti/replicati in diversi Settori/Uffici che non interagiscono</w:t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Supporto del personale esterno per la mappatura della titolarità dei dati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Supporto da parte dell’Ente riusante per definire un modello di gestione condivisa tra gli Settori/Uffici</w:t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Verifica e validazione banca dati PROMA</w:t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In Enti piccoli possono mancare le competenze tecniche necessarie per la validazione della banca dati</w:t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Supporto del personale esterno e dell’Ente cedente agli Enti riusanti</w:t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Verifica e aggiornamento strumenti del kit</w:t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In Enti piccoli possono mancare le competenze tecniche necessarie per la validazione del sistema</w:t>
            </w:r>
          </w:p>
        </w:tc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Supporto del personale esterno e dell’Ente cedente agli Enti riusanti</w:t>
            </w:r>
          </w:p>
        </w:tc>
      </w:tr>
    </w:tbl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1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Ambito organizzativo</w:t>
      </w:r>
    </w:p>
    <w:p w:rsidR="00000000" w:rsidDel="00000000" w:rsidP="00000000" w:rsidRDefault="00000000" w:rsidRPr="00000000" w14:paraId="00000280">
      <w:pPr>
        <w:pStyle w:val="Heading2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B2. Scheda descrittiva dei processi Amministrativi oggetto dell’intervento della buona pratica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 processi amministrativi oggetto della buona pratica sono: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Contabilità patrimoniale ed inventario dei beni immobili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Gestione e manutenzione degli immobili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Attuazione del Piano delle alienazioni e valorizzazioni immobiliari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L’adozione della buona pratica porta ad una generale digitalizzazione dei processi sopra indicati a partire dalla creazione di una banca dati dell’inventario dei beni immobili di ciascun Ente a cui collegare tutte le informazioni relative alla valorizzazione, alla gestione, alla manutenzione ed alle diverse forme di contrattazione (vendita, affitto, …).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Questo porterà alla centralità dell’informazione relativa al patrimonio pubblico, ad una progressiva riduzione della duplicazione delle informazioni all’interno dei singoli Settori/Uffici ed ad un miglioramento consistente della qualità delle informazioni.</w:t>
      </w:r>
    </w:p>
    <w:p w:rsidR="00000000" w:rsidDel="00000000" w:rsidP="00000000" w:rsidRDefault="00000000" w:rsidRPr="00000000" w14:paraId="00000287">
      <w:pPr>
        <w:pStyle w:val="Heading2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B3. Documento di descrizione di attività, ruoli e mansioni</w:t>
      </w:r>
    </w:p>
    <w:p w:rsidR="00000000" w:rsidDel="00000000" w:rsidP="00000000" w:rsidRDefault="00000000" w:rsidRPr="00000000" w14:paraId="00000288">
      <w:pPr>
        <w:pStyle w:val="Subtitle"/>
        <w:rPr/>
      </w:pPr>
      <w:r w:rsidDel="00000000" w:rsidR="00000000" w:rsidRPr="00000000">
        <w:rPr>
          <w:rtl w:val="0"/>
        </w:rPr>
        <w:t xml:space="preserve">Documento di descrizione di attività, ruoli e mansioni che dovranno essere svolti dal personale impattato dalla buona pratica.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Il personale impattato dalla buona pratica può essere schematizzato (la definizione puntuale è specifica per ogni organizzazione degli Enti) in: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Personale tecnico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coinvolto nel processo di costituzione/gestione dell’inventario, nella gestione degli interventi di manutenzione e nelle verifiche sui beni finalizzate al loro migliore utilizzo e alla loro valorizzazione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Personale amministrativo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coinvolto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 processo di attuazione del piano di alienazione e di utilizzo dei beni stessi.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Personale tecnico-informatico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coinvolto nella gestione del sistema ProMa, laddove la modalità di riuso prescelta è l’installazione on premise.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1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Ambito tecnologico</w:t>
      </w:r>
    </w:p>
    <w:p w:rsidR="00000000" w:rsidDel="00000000" w:rsidP="00000000" w:rsidRDefault="00000000" w:rsidRPr="00000000" w14:paraId="0000028F">
      <w:pPr>
        <w:pStyle w:val="Heading2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B4. Codice software sorgente e compilato della soluzione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Si rimanda al pacchetto “rsc” allagato.</w:t>
      </w:r>
    </w:p>
    <w:p w:rsidR="00000000" w:rsidDel="00000000" w:rsidP="00000000" w:rsidRDefault="00000000" w:rsidRPr="00000000" w14:paraId="00000291">
      <w:pPr>
        <w:rPr>
          <w:color w:val="5a5a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  <w:t xml:space="preserve">B5. Documento di licenza d’uso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La licenza d’uso definita per il riuso della soluzione ProMa è EUPL-1.2, così come definita dalla “Decisione di esecuzione (UE) 2017/863 della Commissione del 18 maggio 2017 che aggiorna la licenza EUPL per il software con codice sorgente aperto per agevolare la condivisione e il riutilizzo del software sviluppato dalle pubbliche amministrazioni”.</w:t>
      </w:r>
    </w:p>
    <w:p w:rsidR="00000000" w:rsidDel="00000000" w:rsidP="00000000" w:rsidRDefault="00000000" w:rsidRPr="00000000" w14:paraId="00000294">
      <w:pPr>
        <w:rPr>
          <w:color w:val="5a5a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2"/>
        <w:rPr/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  <w:t xml:space="preserve">B6. Manuale tecnico per l’installazione della soluzione</w:t>
      </w:r>
    </w:p>
    <w:p w:rsidR="00000000" w:rsidDel="00000000" w:rsidP="00000000" w:rsidRDefault="00000000" w:rsidRPr="00000000" w14:paraId="00000296">
      <w:pPr>
        <w:pStyle w:val="Subtitle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Si rimanda all’allegato “Manuale di Installazione e Configurazione della macchina Virtuale”.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2"/>
        <w:rPr/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  <w:t xml:space="preserve">B7. Manuale utente</w:t>
      </w:r>
    </w:p>
    <w:p w:rsidR="00000000" w:rsidDel="00000000" w:rsidP="00000000" w:rsidRDefault="00000000" w:rsidRPr="00000000" w14:paraId="00000299">
      <w:pPr>
        <w:pStyle w:val="Subtitle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Si rimanda ai seguenti allegati: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Manuale d’uso: Modulo Verifica Inventario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Manuale d’uso: Modulo Fascicolo Immobiliare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Manuale d’uso: · Modulo Gestione Consistenza Immobiliare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Manuale d’uso · Modulo Gestione Documentazione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Manuale d’uso: Modulo Gestione Anagrafiche di base e Gestione Utenti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Manuale d’uso: · Modulo ETT Catasto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Manuale d’uso: · Visualizzatore Mobile dei temi del Sistema Pro.Ma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1"/>
        <w:rPr/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  <w:t xml:space="preserve">Ambito amministrativo</w:t>
      </w:r>
    </w:p>
    <w:p w:rsidR="00000000" w:rsidDel="00000000" w:rsidP="00000000" w:rsidRDefault="00000000" w:rsidRPr="00000000" w14:paraId="000002A3">
      <w:pPr>
        <w:pStyle w:val="Heading2"/>
        <w:rPr/>
      </w:pPr>
      <w:bookmarkStart w:colFirst="0" w:colLast="0" w:name="_heading=h.2grqrue" w:id="38"/>
      <w:bookmarkEnd w:id="38"/>
      <w:r w:rsidDel="00000000" w:rsidR="00000000" w:rsidRPr="00000000">
        <w:rPr>
          <w:rtl w:val="0"/>
        </w:rPr>
        <w:t xml:space="preserve">B8. Modelli di Atti amministrativi a supporto del trasferimento della buona pratica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Il sistema ProMa è presente sul Portale del riuso di Developers Italia al seguente link: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https://developers.italia.it/it/software/umcn-unionemontanacatrianerone-proma.html.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Ogni amministrazione può prendere a riuso ProMa nel rispetto delle Linee guida AGIS su acquisizione e riuso di software per le pubbliche amministrazioni.</w:t>
      </w:r>
    </w:p>
    <w:p w:rsidR="00000000" w:rsidDel="00000000" w:rsidP="00000000" w:rsidRDefault="00000000" w:rsidRPr="00000000" w14:paraId="000002A7">
      <w:pPr>
        <w:pStyle w:val="Subtitle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8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2"/>
        <w:jc w:val="left"/>
        <w:rPr/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  <w:t xml:space="preserve">B9. Elenco dei Soggetti Pubblici e Privati</w:t>
      </w:r>
    </w:p>
    <w:p w:rsidR="00000000" w:rsidDel="00000000" w:rsidP="00000000" w:rsidRDefault="00000000" w:rsidRPr="00000000" w14:paraId="000002AA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405"/>
        <w:gridCol w:w="3260"/>
        <w:gridCol w:w="3963"/>
        <w:tblGridChange w:id="0">
          <w:tblGrid>
            <w:gridCol w:w="2405"/>
            <w:gridCol w:w="3260"/>
            <w:gridCol w:w="3963"/>
          </w:tblGrid>
        </w:tblGridChange>
      </w:tblGrid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2AB">
            <w:pPr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Ente/altro soggetto </w:t>
            </w:r>
          </w:p>
        </w:tc>
        <w:tc>
          <w:tcPr/>
          <w:p w:rsidR="00000000" w:rsidDel="00000000" w:rsidP="00000000" w:rsidRDefault="00000000" w:rsidRPr="00000000" w14:paraId="000002AC">
            <w:pPr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Competenza specifica</w:t>
            </w:r>
          </w:p>
        </w:tc>
        <w:tc>
          <w:tcPr/>
          <w:p w:rsidR="00000000" w:rsidDel="00000000" w:rsidP="00000000" w:rsidRDefault="00000000" w:rsidRPr="00000000" w14:paraId="000002AD">
            <w:pPr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Ruolo e contributo al progetto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AE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Comune di Perugia</w:t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Conoscenza del sistema ProMa e delle procedure di creazione/aggiornamento della banca dati</w:t>
            </w:r>
          </w:p>
        </w:tc>
        <w:tc>
          <w:tcPr/>
          <w:p w:rsidR="00000000" w:rsidDel="00000000" w:rsidP="00000000" w:rsidRDefault="00000000" w:rsidRPr="00000000" w14:paraId="000002B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Ente cedente</w:t>
            </w:r>
          </w:p>
          <w:p w:rsidR="00000000" w:rsidDel="00000000" w:rsidP="00000000" w:rsidRDefault="00000000" w:rsidRPr="00000000" w14:paraId="000002B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Supporto all’Ente capofila nella definizione delle evoluzioni del sistema ProMa</w:t>
            </w:r>
          </w:p>
          <w:p w:rsidR="00000000" w:rsidDel="00000000" w:rsidP="00000000" w:rsidRDefault="00000000" w:rsidRPr="00000000" w14:paraId="000002B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Supporto agli Enti riusanti nell’attuazione del piano di trasferimento e nel processo di validazione</w:t>
            </w:r>
          </w:p>
          <w:p w:rsidR="00000000" w:rsidDel="00000000" w:rsidP="00000000" w:rsidRDefault="00000000" w:rsidRPr="00000000" w14:paraId="000002B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Supporto alla formazione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B4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Unione Montana del Catria e Nerone</w:t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Gestione progetti finanziati</w:t>
            </w:r>
          </w:p>
          <w:p w:rsidR="00000000" w:rsidDel="00000000" w:rsidP="00000000" w:rsidRDefault="00000000" w:rsidRPr="00000000" w14:paraId="000002B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Conoscenze specifiche in ambito SIT</w:t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2B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Supporto agli Enti nella gestione e conduzione del progetto</w:t>
            </w:r>
          </w:p>
          <w:p w:rsidR="00000000" w:rsidDel="00000000" w:rsidP="00000000" w:rsidRDefault="00000000" w:rsidRPr="00000000" w14:paraId="000002B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Ente riusante: ha contribuito alla definizione dell’evoluzione della buona pratica ed ha svolto le attività previste dal piano di trasferimento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BA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Unione Montana dell’Esino Frasassi</w:t>
            </w:r>
          </w:p>
        </w:tc>
        <w:tc>
          <w:tcPr/>
          <w:p w:rsidR="00000000" w:rsidDel="00000000" w:rsidP="00000000" w:rsidRDefault="00000000" w:rsidRPr="00000000" w14:paraId="000002B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Ente riusante: ha contribuito alla definizione dell’evoluzione della buona pratica ed ha svolto le attività previste dal piano di trasferimento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BD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Comune di Caserta</w:t>
            </w:r>
          </w:p>
        </w:tc>
        <w:tc>
          <w:tcPr/>
          <w:p w:rsidR="00000000" w:rsidDel="00000000" w:rsidP="00000000" w:rsidRDefault="00000000" w:rsidRPr="00000000" w14:paraId="000002B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Ente riusante: ha contribuito alla definizione dell’evoluzione della buona pratica ed ha svolto le attività previste dal piano di trasferimento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C0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Comune di Marino</w:t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Ente riusante: ha contribuito alla definizione dell’evoluzione della buona pratica ed ha svolto le attività previste dal piano di trasferimento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C3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 Comune di Castel Madama</w:t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Ente riusante: ha contribuito alla definizione dell’evoluzione della buona pratica ed ha svolto le attività previste dal piano di trasferimento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C6">
            <w:pPr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Comune di Maiolati Spontini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Ente riusante: ha contribuito alla definizione dell’evoluzione della buona pratica ed ha svolto le attività previste dal piano di trasferimento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C9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Comune di Gioia del Colle</w:t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Ente riusante: ha contribuito alla definizione dell’evoluzione della buona pratica ed ha svolto le attività previste dal piano di trasferimento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CC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Comune di Castiglione del Lago</w:t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Ente riusante: ha contribuito alla definizione dell’evoluzione della buona pratica ed ha svolto le attività previste dal piano di trasferimento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CF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Net 4 Partners srl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Project Management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Project Management a supporto del RUP, supervisione della realizzazione del "kit del riuso", coordinamento ed attività di comunicazione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D2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RTI DBCAD srl – FILIPPETTI spa</w:t>
            </w:r>
          </w:p>
        </w:tc>
        <w:tc>
          <w:tcPr/>
          <w:p w:rsidR="00000000" w:rsidDel="00000000" w:rsidP="00000000" w:rsidRDefault="00000000" w:rsidRPr="00000000" w14:paraId="000002D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Sviluppo software WEBGIS</w:t>
            </w:r>
          </w:p>
          <w:p w:rsidR="00000000" w:rsidDel="00000000" w:rsidP="00000000" w:rsidRDefault="00000000" w:rsidRPr="00000000" w14:paraId="000002D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Conoscenza del framework GeoWEB</w:t>
            </w:r>
          </w:p>
          <w:p w:rsidR="00000000" w:rsidDel="00000000" w:rsidP="00000000" w:rsidRDefault="00000000" w:rsidRPr="00000000" w14:paraId="000002D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Servizi di supporto</w:t>
            </w:r>
          </w:p>
        </w:tc>
        <w:tc>
          <w:tcPr/>
          <w:p w:rsidR="00000000" w:rsidDel="00000000" w:rsidP="00000000" w:rsidRDefault="00000000" w:rsidRPr="00000000" w14:paraId="000002D6">
            <w:pPr>
              <w:rPr>
                <w:color w:val="000000"/>
                <w:sz w:val="20"/>
                <w:szCs w:val="20"/>
              </w:rPr>
            </w:pPr>
            <w:bookmarkStart w:colFirst="0" w:colLast="0" w:name="_heading=h.3fwokq0" w:id="40"/>
            <w:bookmarkEnd w:id="40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Servizi di aggiornamento tecnologico, integrazione di nuove funzioni e manutenzione del sistema ProMa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D7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Giulia Pazzaglia</w:t>
            </w:r>
          </w:p>
        </w:tc>
        <w:tc>
          <w:tcPr/>
          <w:p w:rsidR="00000000" w:rsidDel="00000000" w:rsidP="00000000" w:rsidRDefault="00000000" w:rsidRPr="00000000" w14:paraId="000002D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Competenze tecnico-specialistiche nel campo della rendicontazione e della gestione amministrativa di progetti finanziati</w:t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Rendicontazione di progetto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DA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Domenico Libertucci</w:t>
            </w:r>
          </w:p>
        </w:tc>
        <w:tc>
          <w:tcPr/>
          <w:p w:rsidR="00000000" w:rsidDel="00000000" w:rsidP="00000000" w:rsidRDefault="00000000" w:rsidRPr="00000000" w14:paraId="000002D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Competenze avanzate di configurazione ed utilizzo di sistemi informativi territoriali (CAD - GIS), realizzazione e gestione di sistemi informativi territoriali basati sulle più comuni piattaforme software GIS di tipo commerciale ed open source (Autodesk Map, ESRI Arch Gis, QGis, etc.)</w:t>
            </w:r>
          </w:p>
        </w:tc>
        <w:tc>
          <w:tcPr/>
          <w:p w:rsidR="00000000" w:rsidDel="00000000" w:rsidP="00000000" w:rsidRDefault="00000000" w:rsidRPr="00000000" w14:paraId="000002D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Supporto agli Enti nella realizzazione del progetto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DD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Carlo Sportolaro</w:t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Competenze avanzate di configurazione ed utilizzo di sistemi informativi territoriali (CAD - GIS), realizzazione e gestione di sistemi informativi territoriali basati sulle più comuni piattaforme software GIS di tipo commerciale ed open source (Autodesk Map, ESRI Arch Gis, QGis, etc.)</w:t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Supporto agli Enti nella realizzazione del progetto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E0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Dino Fratelli</w:t>
            </w:r>
          </w:p>
        </w:tc>
        <w:tc>
          <w:tcPr/>
          <w:p w:rsidR="00000000" w:rsidDel="00000000" w:rsidP="00000000" w:rsidRDefault="00000000" w:rsidRPr="00000000" w14:paraId="000002E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Competenze avanzate nello sviluppo, configurazione e dispiegamento di sistemi informatici web</w:t>
            </w:r>
          </w:p>
        </w:tc>
        <w:tc>
          <w:tcPr/>
          <w:p w:rsidR="00000000" w:rsidDel="00000000" w:rsidP="00000000" w:rsidRDefault="00000000" w:rsidRPr="00000000" w14:paraId="000002E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Supporto agli Enti nella realizzazione del progetto</w:t>
            </w:r>
          </w:p>
        </w:tc>
      </w:tr>
    </w:tbl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2"/>
        <w:rPr/>
      </w:pPr>
      <w:bookmarkStart w:colFirst="0" w:colLast="0" w:name="_heading=h.1v1yuxt" w:id="42"/>
      <w:bookmarkEnd w:id="42"/>
      <w:r w:rsidDel="00000000" w:rsidR="00000000" w:rsidRPr="00000000">
        <w:rPr>
          <w:rtl w:val="0"/>
        </w:rPr>
        <w:t xml:space="preserve">B10. </w:t>
      </w:r>
      <w:bookmarkStart w:colFirst="0" w:colLast="0" w:name="bookmark=id.4f1mdlm" w:id="41"/>
      <w:bookmarkEnd w:id="41"/>
      <w:r w:rsidDel="00000000" w:rsidR="00000000" w:rsidRPr="00000000">
        <w:rPr>
          <w:rtl w:val="0"/>
        </w:rPr>
        <w:t xml:space="preserve">Modelli di atti utili per l’acquisizione di beni e servizi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I modelli di atti utili per l’acquisizione di beni e servizi necessari per supportare adeguatamente il trasferimento e l’adozione della buona pratica sono relativi a: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Documentazione di gara per l’acquisizione dei servizi di aggiornamento tecnologico, integrazione di nuove funzioni e manutenzione del sistema ProMa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Documentazione di selezione delle consulenze specialistiche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Tutta la documentazione è stata consegnata in sede di rendicontazione.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1"/>
        <w:rPr/>
      </w:pPr>
      <w:bookmarkStart w:colFirst="0" w:colLast="0" w:name="_heading=h.2u6wntf" w:id="43"/>
      <w:bookmarkEnd w:id="43"/>
      <w:r w:rsidDel="00000000" w:rsidR="00000000" w:rsidRPr="00000000">
        <w:rPr>
          <w:rtl w:val="0"/>
        </w:rPr>
        <w:t xml:space="preserve">Ambito informativo/formativo</w:t>
      </w:r>
    </w:p>
    <w:p w:rsidR="00000000" w:rsidDel="00000000" w:rsidP="00000000" w:rsidRDefault="00000000" w:rsidRPr="00000000" w14:paraId="000002ED">
      <w:pPr>
        <w:pStyle w:val="Heading2"/>
        <w:rPr/>
      </w:pPr>
      <w:bookmarkStart w:colFirst="0" w:colLast="0" w:name="_heading=h.19c6y18" w:id="44"/>
      <w:bookmarkEnd w:id="44"/>
      <w:r w:rsidDel="00000000" w:rsidR="00000000" w:rsidRPr="00000000">
        <w:rPr>
          <w:rtl w:val="0"/>
        </w:rPr>
        <w:t xml:space="preserve">B11. Piano di comunicazione interna ed esterna e di formazione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Subtitle"/>
        <w:rPr>
          <w:i w:val="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Il Piano di comunicazione definisce le finalità dell’attività di comunicazione e disseminazione di progetto, individuando i canali, le modalità ed il target da raggiungere.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2"/>
        <w:rPr/>
      </w:pPr>
      <w:bookmarkStart w:colFirst="0" w:colLast="0" w:name="_heading=h.3tbugp1" w:id="45"/>
      <w:bookmarkEnd w:id="45"/>
      <w:r w:rsidDel="00000000" w:rsidR="00000000" w:rsidRPr="00000000">
        <w:rPr>
          <w:rtl w:val="0"/>
        </w:rPr>
        <w:t xml:space="preserve">B12. Strumenti a supporto delle attività di formazione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Ad avvio del progetto sarà elaborato un Piano Formativo per organizzare le attività di cui alla A.3.1 durante il corso del progetto. l’attività formativa sarà portata a termine sia tramite sessioni di training on the job sia tramite giornate di formazione dedicata.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A supporto delle attività di formazione degli utenti dell’Ente riusante saranno organizzati dei webinar, ovvero delle sessioni educative o informative la cui partecipazione in forma remota è possibile tramite una connessione informatica. Con questa modalità di formazione, ciascun partecipante accede da un proprio computer ed è connesso con gli altri partecipanti tramite </w:t>
      </w:r>
      <w:hyperlink r:id="rId9">
        <w:r w:rsidDel="00000000" w:rsidR="00000000" w:rsidRPr="00000000">
          <w:rPr>
            <w:rtl w:val="0"/>
          </w:rPr>
          <w:t xml:space="preserve">Internet</w:t>
        </w:r>
      </w:hyperlink>
      <w:r w:rsidDel="00000000" w:rsidR="00000000" w:rsidRPr="00000000">
        <w:rPr>
          <w:rtl w:val="0"/>
        </w:rPr>
        <w:t xml:space="preserve">, senza dover essere presente fisicamente presso gli uffici dell’organizzazione concedente, mantenendo la possibilità per i partecipanti di interagire tra loro e con il coordinatore (auditore) del seminario tramite gli strumenti disponibili dai sistemi di videoconferenza. Per accedere ai webinar è ovviamente necessario disporre di un collegamento Internet, un programma di gestione di strumenti multimediali, e un altoparlante/cuffia. </w:t>
      </w:r>
    </w:p>
    <w:sectPr>
      <w:type w:val="nextPage"/>
      <w:pgSz w:h="16838" w:w="11906" w:orient="portrait"/>
      <w:pgMar w:bottom="1134" w:top="1417" w:left="1134" w:right="1134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Pag.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2145" cy="900806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518" r="841" t="0"/>
                  <a:stretch>
                    <a:fillRect/>
                  </a:stretch>
                </pic:blipFill>
                <pic:spPr>
                  <a:xfrm>
                    <a:off x="0" y="0"/>
                    <a:ext cx="5732145" cy="9008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e" w:default="1">
    <w:name w:val="Normal"/>
    <w:qFormat w:val="1"/>
    <w:rsid w:val="00067EC2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 w:val="1"/>
    <w:rsid w:val="00067EC2"/>
    <w:pPr>
      <w:keepNext w:val="1"/>
      <w:keepLines w:val="1"/>
      <w:spacing w:after="12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 w:val="1"/>
    <w:qFormat w:val="1"/>
    <w:rsid w:val="007101C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 w:val="1"/>
    <w:unhideWhenUsed w:val="1"/>
    <w:qFormat w:val="1"/>
    <w:rsid w:val="00F033F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Titolo">
    <w:name w:val="Title"/>
    <w:basedOn w:val="Normale"/>
    <w:next w:val="Normale"/>
    <w:link w:val="TitoloCarattere"/>
    <w:uiPriority w:val="10"/>
    <w:qFormat w:val="1"/>
    <w:rsid w:val="007101C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7101C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1Carattere" w:customStyle="1">
    <w:name w:val="Titolo 1 Carattere"/>
    <w:basedOn w:val="Carpredefinitoparagrafo"/>
    <w:link w:val="Titolo1"/>
    <w:uiPriority w:val="9"/>
    <w:rsid w:val="00067EC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itolo2Carattere" w:customStyle="1">
    <w:name w:val="Titolo 2 Carattere"/>
    <w:basedOn w:val="Carpredefinitoparagrafo"/>
    <w:link w:val="Titolo2"/>
    <w:uiPriority w:val="9"/>
    <w:rsid w:val="007101C1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067EC2"/>
    <w:pPr>
      <w:spacing w:after="0"/>
    </w:pPr>
    <w:rPr>
      <w:rFonts w:cstheme="minorHAnsi" w:eastAsiaTheme="minorEastAsia"/>
      <w:i w:val="1"/>
      <w:color w:val="5a5a5a" w:themeColor="text1" w:themeTint="0000A5"/>
      <w:spacing w:val="15"/>
      <w:sz w:val="18"/>
      <w:szCs w:val="1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067EC2"/>
    <w:rPr>
      <w:rFonts w:cstheme="minorHAnsi" w:eastAsiaTheme="minorEastAsia"/>
      <w:i w:val="1"/>
      <w:color w:val="5a5a5a" w:themeColor="text1" w:themeTint="0000A5"/>
      <w:spacing w:val="15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 w:val="1"/>
    <w:qFormat w:val="1"/>
    <w:rsid w:val="00113293"/>
    <w:pPr>
      <w:jc w:val="left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 w:val="1"/>
    <w:uiPriority w:val="39"/>
    <w:unhideWhenUsed w:val="1"/>
    <w:rsid w:val="00113293"/>
    <w:pPr>
      <w:spacing w:after="100"/>
    </w:pPr>
  </w:style>
  <w:style w:type="paragraph" w:styleId="Sommario2">
    <w:name w:val="toc 2"/>
    <w:basedOn w:val="Normale"/>
    <w:next w:val="Normale"/>
    <w:autoRedefine w:val="1"/>
    <w:uiPriority w:val="39"/>
    <w:unhideWhenUsed w:val="1"/>
    <w:rsid w:val="0011329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 w:val="1"/>
    <w:rsid w:val="00113293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 w:val="1"/>
    <w:rsid w:val="00113293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113293"/>
  </w:style>
  <w:style w:type="paragraph" w:styleId="Pidipagina">
    <w:name w:val="footer"/>
    <w:basedOn w:val="Normale"/>
    <w:link w:val="PidipaginaCarattere"/>
    <w:uiPriority w:val="99"/>
    <w:unhideWhenUsed w:val="1"/>
    <w:rsid w:val="00113293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113293"/>
  </w:style>
  <w:style w:type="paragraph" w:styleId="Paragrafoelenco">
    <w:name w:val="List Paragraph"/>
    <w:basedOn w:val="Normale"/>
    <w:uiPriority w:val="34"/>
    <w:qFormat w:val="1"/>
    <w:rsid w:val="00813A70"/>
    <w:pPr>
      <w:ind w:left="720"/>
      <w:contextualSpacing w:val="1"/>
    </w:p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121C1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121C18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121C1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121C18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121C18"/>
    <w:rPr>
      <w:b w:val="1"/>
      <w:bCs w:val="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121C1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121C18"/>
    <w:rPr>
      <w:rFonts w:ascii="Segoe UI" w:cs="Segoe UI" w:hAnsi="Segoe UI"/>
      <w:sz w:val="18"/>
      <w:szCs w:val="18"/>
    </w:rPr>
  </w:style>
  <w:style w:type="paragraph" w:styleId="Default" w:customStyle="1">
    <w:name w:val="Default"/>
    <w:rsid w:val="004014FE"/>
    <w:pPr>
      <w:autoSpaceDE w:val="0"/>
      <w:autoSpaceDN w:val="0"/>
      <w:adjustRightInd w:val="0"/>
      <w:spacing w:after="0" w:line="240" w:lineRule="auto"/>
    </w:pPr>
    <w:rPr>
      <w:rFonts w:ascii="Verdana" w:cs="Verdana" w:hAnsi="Verdana"/>
      <w:color w:val="000000"/>
      <w:sz w:val="24"/>
      <w:szCs w:val="24"/>
    </w:rPr>
  </w:style>
  <w:style w:type="paragraph" w:styleId="testo" w:customStyle="1">
    <w:name w:val="testo"/>
    <w:basedOn w:val="Corpotesto"/>
    <w:rsid w:val="00865188"/>
    <w:pPr>
      <w:spacing w:line="240" w:lineRule="auto"/>
    </w:pPr>
    <w:rPr>
      <w:rFonts w:ascii="Arial" w:cs="Arial" w:eastAsia="Times New Roman" w:hAnsi="Arial"/>
      <w:sz w:val="20"/>
      <w:szCs w:val="24"/>
      <w:lang w:eastAsia="it-IT"/>
    </w:rPr>
  </w:style>
  <w:style w:type="paragraph" w:styleId="elenco" w:customStyle="1">
    <w:name w:val="elenco"/>
    <w:basedOn w:val="testo"/>
    <w:rsid w:val="00865188"/>
    <w:pPr>
      <w:numPr>
        <w:numId w:val="3"/>
      </w:numPr>
      <w:tabs>
        <w:tab w:val="clear" w:pos="720"/>
        <w:tab w:val="num" w:pos="360"/>
      </w:tabs>
      <w:ind w:left="0" w:firstLine="0"/>
    </w:pPr>
    <w:rPr>
      <w:rFonts w:ascii="Tahoma" w:hAnsi="Tahoma"/>
      <w:sz w:val="18"/>
    </w:rPr>
  </w:style>
  <w:style w:type="paragraph" w:styleId="Corpotesto">
    <w:name w:val="Body Text"/>
    <w:basedOn w:val="Normale"/>
    <w:link w:val="CorpotestoCarattere"/>
    <w:uiPriority w:val="99"/>
    <w:semiHidden w:val="1"/>
    <w:unhideWhenUsed w:val="1"/>
    <w:rsid w:val="00865188"/>
    <w:pPr>
      <w:spacing w:after="120"/>
    </w:pPr>
  </w:style>
  <w:style w:type="character" w:styleId="CorpotestoCarattere" w:customStyle="1">
    <w:name w:val="Corpo testo Carattere"/>
    <w:basedOn w:val="Carpredefinitoparagrafo"/>
    <w:link w:val="Corpotesto"/>
    <w:uiPriority w:val="99"/>
    <w:semiHidden w:val="1"/>
    <w:rsid w:val="00865188"/>
  </w:style>
  <w:style w:type="paragraph" w:styleId="NormaleWeb">
    <w:name w:val="Normal (Web)"/>
    <w:basedOn w:val="Normale"/>
    <w:uiPriority w:val="99"/>
    <w:semiHidden w:val="1"/>
    <w:unhideWhenUsed w:val="1"/>
    <w:rsid w:val="002075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it-IT"/>
    </w:rPr>
  </w:style>
  <w:style w:type="character" w:styleId="Titolo3Carattere" w:customStyle="1">
    <w:name w:val="Titolo 3 Carattere"/>
    <w:basedOn w:val="Carpredefinitoparagrafo"/>
    <w:link w:val="Titolo3"/>
    <w:uiPriority w:val="9"/>
    <w:semiHidden w:val="1"/>
    <w:rsid w:val="00F033FE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table" w:styleId="Tabellagriglia5scura-colore2">
    <w:name w:val="Grid Table 5 Dark Accent 2"/>
    <w:basedOn w:val="Tabellanormale"/>
    <w:uiPriority w:val="50"/>
    <w:rsid w:val="00F033FE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paragraph" w:styleId="Didascalia">
    <w:name w:val="caption"/>
    <w:basedOn w:val="Normale"/>
    <w:next w:val="Normale"/>
    <w:uiPriority w:val="35"/>
    <w:unhideWhenUsed w:val="1"/>
    <w:qFormat w:val="1"/>
    <w:rsid w:val="00F033FE"/>
    <w:pPr>
      <w:spacing w:after="200" w:line="240" w:lineRule="auto"/>
    </w:pPr>
    <w:rPr>
      <w:rFonts w:asciiTheme="majorHAnsi" w:hAnsiTheme="majorHAnsi"/>
      <w:i w:val="1"/>
      <w:iCs w:val="1"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B543A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paragraph" w:styleId="Sommario3">
    <w:name w:val="toc 3"/>
    <w:basedOn w:val="Normale"/>
    <w:next w:val="Normale"/>
    <w:autoRedefine w:val="1"/>
    <w:uiPriority w:val="39"/>
    <w:unhideWhenUsed w:val="1"/>
    <w:rsid w:val="00C57129"/>
    <w:pPr>
      <w:spacing w:after="100"/>
      <w:ind w:left="440"/>
    </w:pPr>
  </w:style>
  <w:style w:type="paragraph" w:styleId="Subtitle">
    <w:name w:val="Subtitle"/>
    <w:basedOn w:val="Normal"/>
    <w:next w:val="Normal"/>
    <w:pPr>
      <w:spacing w:after="0" w:lineRule="auto"/>
    </w:pPr>
    <w:rPr>
      <w:i w:val="1"/>
      <w:color w:val="5a5a5a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.wikipedia.org/wiki/Interne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Xxs7jeY53LsEVvQhs3GMsQUa3Q==">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2019-02-05T14:16:00Z</dcterms:created>
  <dc:creator>Maria Boschetti</dc:creator>
</cp:coreProperties>
</file>