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10A6" w14:textId="7FFC3548" w:rsidR="00623AAC" w:rsidRDefault="00623AAC" w:rsidP="00D93D20">
      <w:pPr>
        <w:pStyle w:val="Titolo"/>
      </w:pPr>
    </w:p>
    <w:p w14:paraId="1AB47E17" w14:textId="77777777" w:rsidR="00623AAC" w:rsidRPr="003367C4" w:rsidRDefault="00623AAC" w:rsidP="00623AAC">
      <w:pPr>
        <w:spacing w:line="240" w:lineRule="auto"/>
        <w:jc w:val="center"/>
        <w:rPr>
          <w:rFonts w:cs="Times New Roman"/>
          <w:b/>
          <w:sz w:val="40"/>
          <w:szCs w:val="20"/>
        </w:rPr>
      </w:pPr>
      <w:r w:rsidRPr="003367C4">
        <w:rPr>
          <w:rFonts w:cs="Times New Roman"/>
          <w:b/>
          <w:sz w:val="40"/>
          <w:szCs w:val="20"/>
        </w:rPr>
        <w:t xml:space="preserve">PROGETTO </w:t>
      </w:r>
      <w:r>
        <w:rPr>
          <w:rFonts w:cs="Times New Roman"/>
          <w:b/>
          <w:sz w:val="40"/>
          <w:szCs w:val="20"/>
        </w:rPr>
        <w:t>“</w:t>
      </w:r>
      <w:r w:rsidRPr="003367C4">
        <w:rPr>
          <w:rFonts w:cs="Times New Roman"/>
          <w:b/>
          <w:sz w:val="40"/>
          <w:szCs w:val="20"/>
        </w:rPr>
        <w:t>PROPERTY MANAGEMENT (PROMA)”</w:t>
      </w:r>
    </w:p>
    <w:p w14:paraId="1955F56D" w14:textId="77777777" w:rsidR="00623AAC" w:rsidRPr="003367C4" w:rsidRDefault="00623AAC" w:rsidP="00623AAC">
      <w:pPr>
        <w:spacing w:line="240" w:lineRule="auto"/>
        <w:jc w:val="center"/>
        <w:rPr>
          <w:rFonts w:cs="Times New Roman"/>
          <w:b/>
          <w:sz w:val="40"/>
          <w:szCs w:val="20"/>
        </w:rPr>
      </w:pPr>
      <w:r w:rsidRPr="003367C4">
        <w:rPr>
          <w:rFonts w:cs="Times New Roman"/>
          <w:b/>
          <w:sz w:val="40"/>
          <w:szCs w:val="20"/>
        </w:rPr>
        <w:t>PON GOVERNANCE E CAPACITÀ ISTITUZIONALE 2014-2020</w:t>
      </w:r>
    </w:p>
    <w:p w14:paraId="67FC58C6" w14:textId="77D058B6" w:rsidR="00623AAC" w:rsidRDefault="00623AAC" w:rsidP="00D93D20">
      <w:pPr>
        <w:pStyle w:val="Titolo"/>
      </w:pPr>
    </w:p>
    <w:p w14:paraId="0EE839D4" w14:textId="77777777" w:rsidR="00623AAC" w:rsidRPr="00623AAC" w:rsidRDefault="00623AAC" w:rsidP="00623AAC"/>
    <w:p w14:paraId="424F7F21" w14:textId="5D7B8DD0" w:rsidR="00ED0E7A" w:rsidRPr="001816BE" w:rsidRDefault="007101C1" w:rsidP="001816BE">
      <w:pPr>
        <w:spacing w:after="120" w:line="240" w:lineRule="auto"/>
        <w:jc w:val="left"/>
        <w:rPr>
          <w:rFonts w:ascii="Calibri" w:eastAsia="Times New Roman" w:hAnsi="Calibri" w:cs="Times New Roman"/>
          <w:b/>
          <w:sz w:val="40"/>
          <w:szCs w:val="20"/>
        </w:rPr>
      </w:pPr>
      <w:r w:rsidRPr="001816BE">
        <w:rPr>
          <w:rFonts w:ascii="Calibri" w:eastAsia="Times New Roman" w:hAnsi="Calibri" w:cs="Times New Roman"/>
          <w:b/>
          <w:sz w:val="40"/>
          <w:szCs w:val="20"/>
        </w:rPr>
        <w:t>Fase A – Ricerca e selezione della buona pratica</w:t>
      </w:r>
    </w:p>
    <w:p w14:paraId="7ECCF8A4" w14:textId="2C47A4D0" w:rsidR="00113293" w:rsidRDefault="00113293" w:rsidP="00D93D20"/>
    <w:p w14:paraId="538A926F" w14:textId="0620821F" w:rsidR="00DD5F24" w:rsidRDefault="00DD5F24" w:rsidP="00D93D20"/>
    <w:p w14:paraId="282C91EA" w14:textId="50E68FC1" w:rsidR="00DD5F24" w:rsidRDefault="00DD5F24" w:rsidP="00D93D20"/>
    <w:p w14:paraId="3825BF79" w14:textId="1B2F4F10" w:rsidR="00DD5F24" w:rsidRDefault="00DD5F24" w:rsidP="00D93D20"/>
    <w:p w14:paraId="2AD3FD50" w14:textId="5C9D9A2A" w:rsidR="00DD5F24" w:rsidRDefault="00DD5F24" w:rsidP="00DD5F24">
      <w:r>
        <w:t xml:space="preserve">Aggiornato in data: </w:t>
      </w:r>
      <w:r w:rsidR="00502CC7">
        <w:t>16</w:t>
      </w:r>
      <w:r w:rsidR="00E33ABD">
        <w:t>/12/20</w:t>
      </w:r>
      <w:r w:rsidR="00502CC7">
        <w:t>19</w:t>
      </w:r>
    </w:p>
    <w:p w14:paraId="00F8E4F2" w14:textId="77777777" w:rsidR="00DD5F24" w:rsidRPr="00113293" w:rsidRDefault="00DD5F24" w:rsidP="00D93D20"/>
    <w:p w14:paraId="186B9BC0" w14:textId="77777777" w:rsidR="00113293" w:rsidRDefault="00113293" w:rsidP="00D93D20">
      <w:r>
        <w:br w:type="page"/>
      </w:r>
    </w:p>
    <w:sdt>
      <w:sdtPr>
        <w:rPr>
          <w:rFonts w:asciiTheme="minorHAnsi" w:eastAsiaTheme="minorHAnsi" w:hAnsiTheme="minorHAnsi" w:cstheme="minorBidi"/>
          <w:color w:val="auto"/>
          <w:sz w:val="22"/>
          <w:szCs w:val="22"/>
          <w:lang w:eastAsia="en-US"/>
        </w:rPr>
        <w:id w:val="-1435511001"/>
        <w:docPartObj>
          <w:docPartGallery w:val="Table of Contents"/>
          <w:docPartUnique/>
        </w:docPartObj>
      </w:sdtPr>
      <w:sdtEndPr>
        <w:rPr>
          <w:b/>
          <w:bCs/>
        </w:rPr>
      </w:sdtEndPr>
      <w:sdtContent>
        <w:p w14:paraId="2FA1DC6F" w14:textId="6B924B8C" w:rsidR="002D6102" w:rsidRDefault="002D6102">
          <w:pPr>
            <w:pStyle w:val="Titolosommario"/>
          </w:pPr>
          <w:r>
            <w:t>Indice</w:t>
          </w:r>
        </w:p>
        <w:p w14:paraId="23102E8D" w14:textId="615FC791" w:rsidR="00F869A2" w:rsidRDefault="002D6102">
          <w:pPr>
            <w:pStyle w:val="Sommario1"/>
            <w:rPr>
              <w:rFonts w:eastAsiaTheme="minorEastAsia"/>
              <w:noProof/>
              <w:lang w:eastAsia="it-IT"/>
            </w:rPr>
          </w:pPr>
          <w:r>
            <w:fldChar w:fldCharType="begin"/>
          </w:r>
          <w:r>
            <w:instrText xml:space="preserve"> TOC \o "1-3" \h \z \u </w:instrText>
          </w:r>
          <w:r>
            <w:fldChar w:fldCharType="separate"/>
          </w:r>
          <w:hyperlink w:anchor="_Toc84339490" w:history="1">
            <w:r w:rsidR="00F869A2" w:rsidRPr="000577EF">
              <w:rPr>
                <w:rStyle w:val="Collegamentoipertestuale"/>
                <w:noProof/>
              </w:rPr>
              <w:t>Ambito gestionale</w:t>
            </w:r>
            <w:r w:rsidR="00F869A2">
              <w:rPr>
                <w:noProof/>
                <w:webHidden/>
              </w:rPr>
              <w:tab/>
            </w:r>
            <w:r w:rsidR="00F869A2">
              <w:rPr>
                <w:noProof/>
                <w:webHidden/>
              </w:rPr>
              <w:fldChar w:fldCharType="begin"/>
            </w:r>
            <w:r w:rsidR="00F869A2">
              <w:rPr>
                <w:noProof/>
                <w:webHidden/>
              </w:rPr>
              <w:instrText xml:space="preserve"> PAGEREF _Toc84339490 \h </w:instrText>
            </w:r>
            <w:r w:rsidR="00F869A2">
              <w:rPr>
                <w:noProof/>
                <w:webHidden/>
              </w:rPr>
            </w:r>
            <w:r w:rsidR="00F869A2">
              <w:rPr>
                <w:noProof/>
                <w:webHidden/>
              </w:rPr>
              <w:fldChar w:fldCharType="separate"/>
            </w:r>
            <w:r w:rsidR="00F869A2">
              <w:rPr>
                <w:noProof/>
                <w:webHidden/>
              </w:rPr>
              <w:t>3</w:t>
            </w:r>
            <w:r w:rsidR="00F869A2">
              <w:rPr>
                <w:noProof/>
                <w:webHidden/>
              </w:rPr>
              <w:fldChar w:fldCharType="end"/>
            </w:r>
          </w:hyperlink>
        </w:p>
        <w:p w14:paraId="3ED69710" w14:textId="78D0613B" w:rsidR="00F869A2" w:rsidRDefault="00502CC7">
          <w:pPr>
            <w:pStyle w:val="Sommario2"/>
            <w:tabs>
              <w:tab w:val="right" w:leader="dot" w:pos="9628"/>
            </w:tabs>
            <w:rPr>
              <w:rFonts w:eastAsiaTheme="minorEastAsia"/>
              <w:noProof/>
              <w:lang w:eastAsia="it-IT"/>
            </w:rPr>
          </w:pPr>
          <w:hyperlink w:anchor="_Toc84339491" w:history="1">
            <w:r w:rsidR="00F869A2" w:rsidRPr="000577EF">
              <w:rPr>
                <w:rStyle w:val="Collegamentoipertestuale"/>
                <w:noProof/>
              </w:rPr>
              <w:t>A1. Indicazioni di tempi e costi per l’adozione e per la gestione a regime della buona pratica</w:t>
            </w:r>
            <w:r w:rsidR="00F869A2">
              <w:rPr>
                <w:noProof/>
                <w:webHidden/>
              </w:rPr>
              <w:tab/>
            </w:r>
            <w:r w:rsidR="00F869A2">
              <w:rPr>
                <w:noProof/>
                <w:webHidden/>
              </w:rPr>
              <w:fldChar w:fldCharType="begin"/>
            </w:r>
            <w:r w:rsidR="00F869A2">
              <w:rPr>
                <w:noProof/>
                <w:webHidden/>
              </w:rPr>
              <w:instrText xml:space="preserve"> PAGEREF _Toc84339491 \h </w:instrText>
            </w:r>
            <w:r w:rsidR="00F869A2">
              <w:rPr>
                <w:noProof/>
                <w:webHidden/>
              </w:rPr>
            </w:r>
            <w:r w:rsidR="00F869A2">
              <w:rPr>
                <w:noProof/>
                <w:webHidden/>
              </w:rPr>
              <w:fldChar w:fldCharType="separate"/>
            </w:r>
            <w:r w:rsidR="00F869A2">
              <w:rPr>
                <w:noProof/>
                <w:webHidden/>
              </w:rPr>
              <w:t>3</w:t>
            </w:r>
            <w:r w:rsidR="00F869A2">
              <w:rPr>
                <w:noProof/>
                <w:webHidden/>
              </w:rPr>
              <w:fldChar w:fldCharType="end"/>
            </w:r>
          </w:hyperlink>
        </w:p>
        <w:p w14:paraId="496E115C" w14:textId="00C44079" w:rsidR="00F869A2" w:rsidRDefault="00502CC7">
          <w:pPr>
            <w:pStyle w:val="Sommario1"/>
            <w:rPr>
              <w:rFonts w:eastAsiaTheme="minorEastAsia"/>
              <w:noProof/>
              <w:lang w:eastAsia="it-IT"/>
            </w:rPr>
          </w:pPr>
          <w:hyperlink w:anchor="_Toc84339492" w:history="1">
            <w:r w:rsidR="00F869A2" w:rsidRPr="000577EF">
              <w:rPr>
                <w:rStyle w:val="Collegamentoipertestuale"/>
                <w:noProof/>
              </w:rPr>
              <w:t>Ambito organizzativo</w:t>
            </w:r>
            <w:r w:rsidR="00F869A2">
              <w:rPr>
                <w:noProof/>
                <w:webHidden/>
              </w:rPr>
              <w:tab/>
            </w:r>
            <w:r w:rsidR="00F869A2">
              <w:rPr>
                <w:noProof/>
                <w:webHidden/>
              </w:rPr>
              <w:fldChar w:fldCharType="begin"/>
            </w:r>
            <w:r w:rsidR="00F869A2">
              <w:rPr>
                <w:noProof/>
                <w:webHidden/>
              </w:rPr>
              <w:instrText xml:space="preserve"> PAGEREF _Toc84339492 \h </w:instrText>
            </w:r>
            <w:r w:rsidR="00F869A2">
              <w:rPr>
                <w:noProof/>
                <w:webHidden/>
              </w:rPr>
            </w:r>
            <w:r w:rsidR="00F869A2">
              <w:rPr>
                <w:noProof/>
                <w:webHidden/>
              </w:rPr>
              <w:fldChar w:fldCharType="separate"/>
            </w:r>
            <w:r w:rsidR="00F869A2">
              <w:rPr>
                <w:noProof/>
                <w:webHidden/>
              </w:rPr>
              <w:t>5</w:t>
            </w:r>
            <w:r w:rsidR="00F869A2">
              <w:rPr>
                <w:noProof/>
                <w:webHidden/>
              </w:rPr>
              <w:fldChar w:fldCharType="end"/>
            </w:r>
          </w:hyperlink>
        </w:p>
        <w:p w14:paraId="1E9CDA61" w14:textId="1CF99D04" w:rsidR="00F869A2" w:rsidRDefault="00502CC7">
          <w:pPr>
            <w:pStyle w:val="Sommario2"/>
            <w:tabs>
              <w:tab w:val="right" w:leader="dot" w:pos="9628"/>
            </w:tabs>
            <w:rPr>
              <w:rFonts w:eastAsiaTheme="minorEastAsia"/>
              <w:noProof/>
              <w:lang w:eastAsia="it-IT"/>
            </w:rPr>
          </w:pPr>
          <w:hyperlink w:anchor="_Toc84339493" w:history="1">
            <w:r w:rsidR="00F869A2" w:rsidRPr="000577EF">
              <w:rPr>
                <w:rStyle w:val="Collegamentoipertestuale"/>
                <w:noProof/>
              </w:rPr>
              <w:t>A2. Elenco dei fattori organizzativi interni ed esterni</w:t>
            </w:r>
            <w:r w:rsidR="00F869A2">
              <w:rPr>
                <w:noProof/>
                <w:webHidden/>
              </w:rPr>
              <w:tab/>
            </w:r>
            <w:r w:rsidR="00F869A2">
              <w:rPr>
                <w:noProof/>
                <w:webHidden/>
              </w:rPr>
              <w:fldChar w:fldCharType="begin"/>
            </w:r>
            <w:r w:rsidR="00F869A2">
              <w:rPr>
                <w:noProof/>
                <w:webHidden/>
              </w:rPr>
              <w:instrText xml:space="preserve"> PAGEREF _Toc84339493 \h </w:instrText>
            </w:r>
            <w:r w:rsidR="00F869A2">
              <w:rPr>
                <w:noProof/>
                <w:webHidden/>
              </w:rPr>
            </w:r>
            <w:r w:rsidR="00F869A2">
              <w:rPr>
                <w:noProof/>
                <w:webHidden/>
              </w:rPr>
              <w:fldChar w:fldCharType="separate"/>
            </w:r>
            <w:r w:rsidR="00F869A2">
              <w:rPr>
                <w:noProof/>
                <w:webHidden/>
              </w:rPr>
              <w:t>5</w:t>
            </w:r>
            <w:r w:rsidR="00F869A2">
              <w:rPr>
                <w:noProof/>
                <w:webHidden/>
              </w:rPr>
              <w:fldChar w:fldCharType="end"/>
            </w:r>
          </w:hyperlink>
        </w:p>
        <w:p w14:paraId="02727A8F" w14:textId="4BCAF46F" w:rsidR="00F869A2" w:rsidRDefault="00502CC7">
          <w:pPr>
            <w:pStyle w:val="Sommario1"/>
            <w:rPr>
              <w:rFonts w:eastAsiaTheme="minorEastAsia"/>
              <w:noProof/>
              <w:lang w:eastAsia="it-IT"/>
            </w:rPr>
          </w:pPr>
          <w:hyperlink w:anchor="_Toc84339494" w:history="1">
            <w:r w:rsidR="00F869A2" w:rsidRPr="000577EF">
              <w:rPr>
                <w:rStyle w:val="Collegamentoipertestuale"/>
                <w:noProof/>
              </w:rPr>
              <w:t>Ambito tecnologico</w:t>
            </w:r>
            <w:r w:rsidR="00F869A2">
              <w:rPr>
                <w:noProof/>
                <w:webHidden/>
              </w:rPr>
              <w:tab/>
            </w:r>
            <w:r w:rsidR="00F869A2">
              <w:rPr>
                <w:noProof/>
                <w:webHidden/>
              </w:rPr>
              <w:fldChar w:fldCharType="begin"/>
            </w:r>
            <w:r w:rsidR="00F869A2">
              <w:rPr>
                <w:noProof/>
                <w:webHidden/>
              </w:rPr>
              <w:instrText xml:space="preserve"> PAGEREF _Toc84339494 \h </w:instrText>
            </w:r>
            <w:r w:rsidR="00F869A2">
              <w:rPr>
                <w:noProof/>
                <w:webHidden/>
              </w:rPr>
            </w:r>
            <w:r w:rsidR="00F869A2">
              <w:rPr>
                <w:noProof/>
                <w:webHidden/>
              </w:rPr>
              <w:fldChar w:fldCharType="separate"/>
            </w:r>
            <w:r w:rsidR="00F869A2">
              <w:rPr>
                <w:noProof/>
                <w:webHidden/>
              </w:rPr>
              <w:t>6</w:t>
            </w:r>
            <w:r w:rsidR="00F869A2">
              <w:rPr>
                <w:noProof/>
                <w:webHidden/>
              </w:rPr>
              <w:fldChar w:fldCharType="end"/>
            </w:r>
          </w:hyperlink>
        </w:p>
        <w:p w14:paraId="7CD45FB7" w14:textId="5C72D86B" w:rsidR="00F869A2" w:rsidRDefault="00502CC7">
          <w:pPr>
            <w:pStyle w:val="Sommario2"/>
            <w:tabs>
              <w:tab w:val="right" w:leader="dot" w:pos="9628"/>
            </w:tabs>
            <w:rPr>
              <w:rFonts w:eastAsiaTheme="minorEastAsia"/>
              <w:noProof/>
              <w:lang w:eastAsia="it-IT"/>
            </w:rPr>
          </w:pPr>
          <w:hyperlink w:anchor="_Toc84339495" w:history="1">
            <w:r w:rsidR="00F869A2" w:rsidRPr="000577EF">
              <w:rPr>
                <w:rStyle w:val="Collegamentoipertestuale"/>
                <w:noProof/>
              </w:rPr>
              <w:t>A3. Elenco dei fattori tecnologici interni ed esterni</w:t>
            </w:r>
            <w:r w:rsidR="00F869A2">
              <w:rPr>
                <w:noProof/>
                <w:webHidden/>
              </w:rPr>
              <w:tab/>
            </w:r>
            <w:r w:rsidR="00F869A2">
              <w:rPr>
                <w:noProof/>
                <w:webHidden/>
              </w:rPr>
              <w:fldChar w:fldCharType="begin"/>
            </w:r>
            <w:r w:rsidR="00F869A2">
              <w:rPr>
                <w:noProof/>
                <w:webHidden/>
              </w:rPr>
              <w:instrText xml:space="preserve"> PAGEREF _Toc84339495 \h </w:instrText>
            </w:r>
            <w:r w:rsidR="00F869A2">
              <w:rPr>
                <w:noProof/>
                <w:webHidden/>
              </w:rPr>
            </w:r>
            <w:r w:rsidR="00F869A2">
              <w:rPr>
                <w:noProof/>
                <w:webHidden/>
              </w:rPr>
              <w:fldChar w:fldCharType="separate"/>
            </w:r>
            <w:r w:rsidR="00F869A2">
              <w:rPr>
                <w:noProof/>
                <w:webHidden/>
              </w:rPr>
              <w:t>6</w:t>
            </w:r>
            <w:r w:rsidR="00F869A2">
              <w:rPr>
                <w:noProof/>
                <w:webHidden/>
              </w:rPr>
              <w:fldChar w:fldCharType="end"/>
            </w:r>
          </w:hyperlink>
        </w:p>
        <w:p w14:paraId="7A68F048" w14:textId="7525E8DD" w:rsidR="00F869A2" w:rsidRDefault="00502CC7">
          <w:pPr>
            <w:pStyle w:val="Sommario2"/>
            <w:tabs>
              <w:tab w:val="right" w:leader="dot" w:pos="9628"/>
            </w:tabs>
            <w:rPr>
              <w:rFonts w:eastAsiaTheme="minorEastAsia"/>
              <w:noProof/>
              <w:lang w:eastAsia="it-IT"/>
            </w:rPr>
          </w:pPr>
          <w:hyperlink w:anchor="_Toc84339496" w:history="1">
            <w:r w:rsidR="00F869A2" w:rsidRPr="000577EF">
              <w:rPr>
                <w:rStyle w:val="Collegamentoipertestuale"/>
                <w:noProof/>
              </w:rPr>
              <w:t>A4. Descrizione delle possibili modalità di riuso</w:t>
            </w:r>
            <w:r w:rsidR="00F869A2">
              <w:rPr>
                <w:noProof/>
                <w:webHidden/>
              </w:rPr>
              <w:tab/>
            </w:r>
            <w:r w:rsidR="00F869A2">
              <w:rPr>
                <w:noProof/>
                <w:webHidden/>
              </w:rPr>
              <w:fldChar w:fldCharType="begin"/>
            </w:r>
            <w:r w:rsidR="00F869A2">
              <w:rPr>
                <w:noProof/>
                <w:webHidden/>
              </w:rPr>
              <w:instrText xml:space="preserve"> PAGEREF _Toc84339496 \h </w:instrText>
            </w:r>
            <w:r w:rsidR="00F869A2">
              <w:rPr>
                <w:noProof/>
                <w:webHidden/>
              </w:rPr>
            </w:r>
            <w:r w:rsidR="00F869A2">
              <w:rPr>
                <w:noProof/>
                <w:webHidden/>
              </w:rPr>
              <w:fldChar w:fldCharType="separate"/>
            </w:r>
            <w:r w:rsidR="00F869A2">
              <w:rPr>
                <w:noProof/>
                <w:webHidden/>
              </w:rPr>
              <w:t>6</w:t>
            </w:r>
            <w:r w:rsidR="00F869A2">
              <w:rPr>
                <w:noProof/>
                <w:webHidden/>
              </w:rPr>
              <w:fldChar w:fldCharType="end"/>
            </w:r>
          </w:hyperlink>
        </w:p>
        <w:p w14:paraId="26D6F437" w14:textId="600FAB73" w:rsidR="00F869A2" w:rsidRDefault="00502CC7">
          <w:pPr>
            <w:pStyle w:val="Sommario1"/>
            <w:rPr>
              <w:rFonts w:eastAsiaTheme="minorEastAsia"/>
              <w:noProof/>
              <w:lang w:eastAsia="it-IT"/>
            </w:rPr>
          </w:pPr>
          <w:hyperlink w:anchor="_Toc84339497" w:history="1">
            <w:r w:rsidR="00F869A2" w:rsidRPr="000577EF">
              <w:rPr>
                <w:rStyle w:val="Collegamentoipertestuale"/>
                <w:noProof/>
              </w:rPr>
              <w:t>Ambito amministrativo</w:t>
            </w:r>
            <w:r w:rsidR="00F869A2">
              <w:rPr>
                <w:noProof/>
                <w:webHidden/>
              </w:rPr>
              <w:tab/>
            </w:r>
            <w:r w:rsidR="00F869A2">
              <w:rPr>
                <w:noProof/>
                <w:webHidden/>
              </w:rPr>
              <w:fldChar w:fldCharType="begin"/>
            </w:r>
            <w:r w:rsidR="00F869A2">
              <w:rPr>
                <w:noProof/>
                <w:webHidden/>
              </w:rPr>
              <w:instrText xml:space="preserve"> PAGEREF _Toc84339497 \h </w:instrText>
            </w:r>
            <w:r w:rsidR="00F869A2">
              <w:rPr>
                <w:noProof/>
                <w:webHidden/>
              </w:rPr>
            </w:r>
            <w:r w:rsidR="00F869A2">
              <w:rPr>
                <w:noProof/>
                <w:webHidden/>
              </w:rPr>
              <w:fldChar w:fldCharType="separate"/>
            </w:r>
            <w:r w:rsidR="00F869A2">
              <w:rPr>
                <w:noProof/>
                <w:webHidden/>
              </w:rPr>
              <w:t>7</w:t>
            </w:r>
            <w:r w:rsidR="00F869A2">
              <w:rPr>
                <w:noProof/>
                <w:webHidden/>
              </w:rPr>
              <w:fldChar w:fldCharType="end"/>
            </w:r>
          </w:hyperlink>
        </w:p>
        <w:p w14:paraId="1F63B7C7" w14:textId="2F89A15F" w:rsidR="00F869A2" w:rsidRDefault="00502CC7">
          <w:pPr>
            <w:pStyle w:val="Sommario2"/>
            <w:tabs>
              <w:tab w:val="right" w:leader="dot" w:pos="9628"/>
            </w:tabs>
            <w:rPr>
              <w:rFonts w:eastAsiaTheme="minorEastAsia"/>
              <w:noProof/>
              <w:lang w:eastAsia="it-IT"/>
            </w:rPr>
          </w:pPr>
          <w:hyperlink w:anchor="_Toc84339498" w:history="1">
            <w:r w:rsidR="00F869A2" w:rsidRPr="000577EF">
              <w:rPr>
                <w:rStyle w:val="Collegamentoipertestuale"/>
                <w:noProof/>
              </w:rPr>
              <w:t>A5. Elenco dei fattori amministrativi, normativi o regolamentari interni ed esterni</w:t>
            </w:r>
            <w:r w:rsidR="00F869A2">
              <w:rPr>
                <w:noProof/>
                <w:webHidden/>
              </w:rPr>
              <w:tab/>
            </w:r>
            <w:r w:rsidR="00F869A2">
              <w:rPr>
                <w:noProof/>
                <w:webHidden/>
              </w:rPr>
              <w:fldChar w:fldCharType="begin"/>
            </w:r>
            <w:r w:rsidR="00F869A2">
              <w:rPr>
                <w:noProof/>
                <w:webHidden/>
              </w:rPr>
              <w:instrText xml:space="preserve"> PAGEREF _Toc84339498 \h </w:instrText>
            </w:r>
            <w:r w:rsidR="00F869A2">
              <w:rPr>
                <w:noProof/>
                <w:webHidden/>
              </w:rPr>
            </w:r>
            <w:r w:rsidR="00F869A2">
              <w:rPr>
                <w:noProof/>
                <w:webHidden/>
              </w:rPr>
              <w:fldChar w:fldCharType="separate"/>
            </w:r>
            <w:r w:rsidR="00F869A2">
              <w:rPr>
                <w:noProof/>
                <w:webHidden/>
              </w:rPr>
              <w:t>7</w:t>
            </w:r>
            <w:r w:rsidR="00F869A2">
              <w:rPr>
                <w:noProof/>
                <w:webHidden/>
              </w:rPr>
              <w:fldChar w:fldCharType="end"/>
            </w:r>
          </w:hyperlink>
        </w:p>
        <w:p w14:paraId="4F8DFFF2" w14:textId="5F3B2531" w:rsidR="00F869A2" w:rsidRDefault="00502CC7">
          <w:pPr>
            <w:pStyle w:val="Sommario1"/>
            <w:rPr>
              <w:rFonts w:eastAsiaTheme="minorEastAsia"/>
              <w:noProof/>
              <w:lang w:eastAsia="it-IT"/>
            </w:rPr>
          </w:pPr>
          <w:hyperlink w:anchor="_Toc84339499" w:history="1">
            <w:r w:rsidR="00F869A2" w:rsidRPr="000577EF">
              <w:rPr>
                <w:rStyle w:val="Collegamentoipertestuale"/>
                <w:noProof/>
              </w:rPr>
              <w:t>Ambito informativo/formativo</w:t>
            </w:r>
            <w:r w:rsidR="00F869A2">
              <w:rPr>
                <w:noProof/>
                <w:webHidden/>
              </w:rPr>
              <w:tab/>
            </w:r>
            <w:r w:rsidR="00F869A2">
              <w:rPr>
                <w:noProof/>
                <w:webHidden/>
              </w:rPr>
              <w:fldChar w:fldCharType="begin"/>
            </w:r>
            <w:r w:rsidR="00F869A2">
              <w:rPr>
                <w:noProof/>
                <w:webHidden/>
              </w:rPr>
              <w:instrText xml:space="preserve"> PAGEREF _Toc84339499 \h </w:instrText>
            </w:r>
            <w:r w:rsidR="00F869A2">
              <w:rPr>
                <w:noProof/>
                <w:webHidden/>
              </w:rPr>
            </w:r>
            <w:r w:rsidR="00F869A2">
              <w:rPr>
                <w:noProof/>
                <w:webHidden/>
              </w:rPr>
              <w:fldChar w:fldCharType="separate"/>
            </w:r>
            <w:r w:rsidR="00F869A2">
              <w:rPr>
                <w:noProof/>
                <w:webHidden/>
              </w:rPr>
              <w:t>8</w:t>
            </w:r>
            <w:r w:rsidR="00F869A2">
              <w:rPr>
                <w:noProof/>
                <w:webHidden/>
              </w:rPr>
              <w:fldChar w:fldCharType="end"/>
            </w:r>
          </w:hyperlink>
        </w:p>
        <w:p w14:paraId="15A0B8AA" w14:textId="5C0EA1B8" w:rsidR="00F869A2" w:rsidRDefault="00502CC7">
          <w:pPr>
            <w:pStyle w:val="Sommario2"/>
            <w:tabs>
              <w:tab w:val="right" w:leader="dot" w:pos="9628"/>
            </w:tabs>
            <w:rPr>
              <w:rFonts w:eastAsiaTheme="minorEastAsia"/>
              <w:noProof/>
              <w:lang w:eastAsia="it-IT"/>
            </w:rPr>
          </w:pPr>
          <w:hyperlink w:anchor="_Toc84339500" w:history="1">
            <w:r w:rsidR="00F869A2" w:rsidRPr="000577EF">
              <w:rPr>
                <w:rStyle w:val="Collegamentoipertestuale"/>
                <w:noProof/>
              </w:rPr>
              <w:t>A6. Sintesi della buona pratica</w:t>
            </w:r>
            <w:r w:rsidR="00F869A2">
              <w:rPr>
                <w:noProof/>
                <w:webHidden/>
              </w:rPr>
              <w:tab/>
            </w:r>
            <w:r w:rsidR="00F869A2">
              <w:rPr>
                <w:noProof/>
                <w:webHidden/>
              </w:rPr>
              <w:fldChar w:fldCharType="begin"/>
            </w:r>
            <w:r w:rsidR="00F869A2">
              <w:rPr>
                <w:noProof/>
                <w:webHidden/>
              </w:rPr>
              <w:instrText xml:space="preserve"> PAGEREF _Toc84339500 \h </w:instrText>
            </w:r>
            <w:r w:rsidR="00F869A2">
              <w:rPr>
                <w:noProof/>
                <w:webHidden/>
              </w:rPr>
            </w:r>
            <w:r w:rsidR="00F869A2">
              <w:rPr>
                <w:noProof/>
                <w:webHidden/>
              </w:rPr>
              <w:fldChar w:fldCharType="separate"/>
            </w:r>
            <w:r w:rsidR="00F869A2">
              <w:rPr>
                <w:noProof/>
                <w:webHidden/>
              </w:rPr>
              <w:t>8</w:t>
            </w:r>
            <w:r w:rsidR="00F869A2">
              <w:rPr>
                <w:noProof/>
                <w:webHidden/>
              </w:rPr>
              <w:fldChar w:fldCharType="end"/>
            </w:r>
          </w:hyperlink>
        </w:p>
        <w:p w14:paraId="51D90BC0" w14:textId="33A4BCF6" w:rsidR="00F869A2" w:rsidRDefault="00502CC7">
          <w:pPr>
            <w:pStyle w:val="Sommario3"/>
            <w:tabs>
              <w:tab w:val="right" w:leader="dot" w:pos="9628"/>
            </w:tabs>
            <w:rPr>
              <w:rFonts w:eastAsiaTheme="minorEastAsia"/>
              <w:noProof/>
              <w:lang w:eastAsia="it-IT"/>
            </w:rPr>
          </w:pPr>
          <w:hyperlink w:anchor="_Toc84339501" w:history="1">
            <w:r w:rsidR="00F869A2" w:rsidRPr="000577EF">
              <w:rPr>
                <w:rStyle w:val="Collegamentoipertestuale"/>
                <w:noProof/>
              </w:rPr>
              <w:t>Premessa</w:t>
            </w:r>
            <w:r w:rsidR="00F869A2">
              <w:rPr>
                <w:noProof/>
                <w:webHidden/>
              </w:rPr>
              <w:tab/>
            </w:r>
            <w:r w:rsidR="00F869A2">
              <w:rPr>
                <w:noProof/>
                <w:webHidden/>
              </w:rPr>
              <w:fldChar w:fldCharType="begin"/>
            </w:r>
            <w:r w:rsidR="00F869A2">
              <w:rPr>
                <w:noProof/>
                <w:webHidden/>
              </w:rPr>
              <w:instrText xml:space="preserve"> PAGEREF _Toc84339501 \h </w:instrText>
            </w:r>
            <w:r w:rsidR="00F869A2">
              <w:rPr>
                <w:noProof/>
                <w:webHidden/>
              </w:rPr>
            </w:r>
            <w:r w:rsidR="00F869A2">
              <w:rPr>
                <w:noProof/>
                <w:webHidden/>
              </w:rPr>
              <w:fldChar w:fldCharType="separate"/>
            </w:r>
            <w:r w:rsidR="00F869A2">
              <w:rPr>
                <w:noProof/>
                <w:webHidden/>
              </w:rPr>
              <w:t>8</w:t>
            </w:r>
            <w:r w:rsidR="00F869A2">
              <w:rPr>
                <w:noProof/>
                <w:webHidden/>
              </w:rPr>
              <w:fldChar w:fldCharType="end"/>
            </w:r>
          </w:hyperlink>
        </w:p>
        <w:p w14:paraId="0EA4B538" w14:textId="233AE23F" w:rsidR="00F869A2" w:rsidRDefault="00502CC7">
          <w:pPr>
            <w:pStyle w:val="Sommario3"/>
            <w:tabs>
              <w:tab w:val="right" w:leader="dot" w:pos="9628"/>
            </w:tabs>
            <w:rPr>
              <w:rFonts w:eastAsiaTheme="minorEastAsia"/>
              <w:noProof/>
              <w:lang w:eastAsia="it-IT"/>
            </w:rPr>
          </w:pPr>
          <w:hyperlink w:anchor="_Toc84339502" w:history="1">
            <w:r w:rsidR="00F869A2" w:rsidRPr="000577EF">
              <w:rPr>
                <w:rStyle w:val="Collegamentoipertestuale"/>
                <w:noProof/>
              </w:rPr>
              <w:t>Funzionalità</w:t>
            </w:r>
            <w:r w:rsidR="00F869A2">
              <w:rPr>
                <w:noProof/>
                <w:webHidden/>
              </w:rPr>
              <w:tab/>
            </w:r>
            <w:r w:rsidR="00F869A2">
              <w:rPr>
                <w:noProof/>
                <w:webHidden/>
              </w:rPr>
              <w:fldChar w:fldCharType="begin"/>
            </w:r>
            <w:r w:rsidR="00F869A2">
              <w:rPr>
                <w:noProof/>
                <w:webHidden/>
              </w:rPr>
              <w:instrText xml:space="preserve"> PAGEREF _Toc84339502 \h </w:instrText>
            </w:r>
            <w:r w:rsidR="00F869A2">
              <w:rPr>
                <w:noProof/>
                <w:webHidden/>
              </w:rPr>
            </w:r>
            <w:r w:rsidR="00F869A2">
              <w:rPr>
                <w:noProof/>
                <w:webHidden/>
              </w:rPr>
              <w:fldChar w:fldCharType="separate"/>
            </w:r>
            <w:r w:rsidR="00F869A2">
              <w:rPr>
                <w:noProof/>
                <w:webHidden/>
              </w:rPr>
              <w:t>9</w:t>
            </w:r>
            <w:r w:rsidR="00F869A2">
              <w:rPr>
                <w:noProof/>
                <w:webHidden/>
              </w:rPr>
              <w:fldChar w:fldCharType="end"/>
            </w:r>
          </w:hyperlink>
        </w:p>
        <w:p w14:paraId="5FC8F178" w14:textId="58B4B992" w:rsidR="00F869A2" w:rsidRDefault="00502CC7">
          <w:pPr>
            <w:pStyle w:val="Sommario2"/>
            <w:tabs>
              <w:tab w:val="right" w:leader="dot" w:pos="9628"/>
            </w:tabs>
            <w:rPr>
              <w:rFonts w:eastAsiaTheme="minorEastAsia"/>
              <w:noProof/>
              <w:lang w:eastAsia="it-IT"/>
            </w:rPr>
          </w:pPr>
          <w:hyperlink w:anchor="_Toc84339503" w:history="1">
            <w:r w:rsidR="00F869A2" w:rsidRPr="000577EF">
              <w:rPr>
                <w:rStyle w:val="Collegamentoipertestuale"/>
                <w:noProof/>
              </w:rPr>
              <w:t>A7. Elenco delle Amministrazioni che hanno riusato la buona pratica</w:t>
            </w:r>
            <w:r w:rsidR="00F869A2">
              <w:rPr>
                <w:noProof/>
                <w:webHidden/>
              </w:rPr>
              <w:tab/>
            </w:r>
            <w:r w:rsidR="00F869A2">
              <w:rPr>
                <w:noProof/>
                <w:webHidden/>
              </w:rPr>
              <w:fldChar w:fldCharType="begin"/>
            </w:r>
            <w:r w:rsidR="00F869A2">
              <w:rPr>
                <w:noProof/>
                <w:webHidden/>
              </w:rPr>
              <w:instrText xml:space="preserve"> PAGEREF _Toc84339503 \h </w:instrText>
            </w:r>
            <w:r w:rsidR="00F869A2">
              <w:rPr>
                <w:noProof/>
                <w:webHidden/>
              </w:rPr>
            </w:r>
            <w:r w:rsidR="00F869A2">
              <w:rPr>
                <w:noProof/>
                <w:webHidden/>
              </w:rPr>
              <w:fldChar w:fldCharType="separate"/>
            </w:r>
            <w:r w:rsidR="00F869A2">
              <w:rPr>
                <w:noProof/>
                <w:webHidden/>
              </w:rPr>
              <w:t>17</w:t>
            </w:r>
            <w:r w:rsidR="00F869A2">
              <w:rPr>
                <w:noProof/>
                <w:webHidden/>
              </w:rPr>
              <w:fldChar w:fldCharType="end"/>
            </w:r>
          </w:hyperlink>
        </w:p>
        <w:p w14:paraId="6F924864" w14:textId="3AE4776A" w:rsidR="002D6102" w:rsidRDefault="002D6102">
          <w:r>
            <w:rPr>
              <w:b/>
              <w:bCs/>
            </w:rPr>
            <w:fldChar w:fldCharType="end"/>
          </w:r>
        </w:p>
      </w:sdtContent>
    </w:sdt>
    <w:p w14:paraId="5142E962" w14:textId="38A5EE7B" w:rsidR="00113293" w:rsidRPr="00815481" w:rsidRDefault="00113293" w:rsidP="00815481">
      <w:pPr>
        <w:pStyle w:val="Titolosommario"/>
      </w:pPr>
    </w:p>
    <w:p w14:paraId="0F004034" w14:textId="77777777" w:rsidR="00113293" w:rsidRDefault="00113293" w:rsidP="00D93D20">
      <w:r>
        <w:br w:type="page"/>
      </w:r>
    </w:p>
    <w:p w14:paraId="17ABB813" w14:textId="1F1945B5" w:rsidR="007101C1" w:rsidRDefault="007101C1" w:rsidP="00D93D20">
      <w:pPr>
        <w:pStyle w:val="Titolo1"/>
      </w:pPr>
      <w:bookmarkStart w:id="0" w:name="_Toc271385"/>
      <w:bookmarkStart w:id="1" w:name="_Toc84339490"/>
      <w:r w:rsidRPr="007101C1">
        <w:lastRenderedPageBreak/>
        <w:t>Ambito gestionale</w:t>
      </w:r>
      <w:bookmarkEnd w:id="0"/>
      <w:bookmarkEnd w:id="1"/>
    </w:p>
    <w:p w14:paraId="0AE7BF02" w14:textId="3EA94113" w:rsidR="007076CE" w:rsidRDefault="007076CE" w:rsidP="007076CE">
      <w:r>
        <w:t>Il presente capitolo raccoglie g</w:t>
      </w:r>
      <w:r w:rsidRPr="0047512E">
        <w:t xml:space="preserve">li </w:t>
      </w:r>
      <w:r w:rsidRPr="0047512E">
        <w:rPr>
          <w:b/>
        </w:rPr>
        <w:t>strumenti gestionali del kit di riuso per la fase A</w:t>
      </w:r>
      <w:r>
        <w:t xml:space="preserve"> – Ricerca e selezione </w:t>
      </w:r>
      <w:r w:rsidRPr="00F532FE">
        <w:t>della buona pratica</w:t>
      </w:r>
      <w:r>
        <w:t>. Gli strumenti gestionali, come previsto dall’Avviso OCPA2020</w:t>
      </w:r>
      <w:r>
        <w:rPr>
          <w:rStyle w:val="Rimandonotaapidipagina"/>
        </w:rPr>
        <w:footnoteReference w:id="1"/>
      </w:r>
      <w:r>
        <w:t>, hanno lo scopo di fornire al riusante un modo per stimare</w:t>
      </w:r>
      <w:r w:rsidRPr="001376B7">
        <w:t xml:space="preserve"> </w:t>
      </w:r>
      <w:r>
        <w:t>i</w:t>
      </w:r>
      <w:r w:rsidRPr="001376B7">
        <w:t xml:space="preserve"> tempi e</w:t>
      </w:r>
      <w:r>
        <w:t xml:space="preserve">d i </w:t>
      </w:r>
      <w:r w:rsidRPr="001376B7">
        <w:t xml:space="preserve">costi </w:t>
      </w:r>
      <w:r>
        <w:t xml:space="preserve">necessari </w:t>
      </w:r>
      <w:r w:rsidRPr="001376B7">
        <w:t xml:space="preserve">per l’adozione e per la gestione a regime della buona pratica, </w:t>
      </w:r>
      <w:r>
        <w:t>dando</w:t>
      </w:r>
      <w:r w:rsidRPr="001376B7">
        <w:t xml:space="preserve"> evidenza dei fattori che ne determinano la variabilità</w:t>
      </w:r>
      <w:r>
        <w:t>.</w:t>
      </w:r>
    </w:p>
    <w:p w14:paraId="2793F83D" w14:textId="77777777" w:rsidR="007076CE" w:rsidRPr="007076CE" w:rsidRDefault="007076CE" w:rsidP="007076CE"/>
    <w:p w14:paraId="31C178AF" w14:textId="77777777" w:rsidR="007101C1" w:rsidRPr="007101C1" w:rsidRDefault="007101C1" w:rsidP="00D93D20">
      <w:pPr>
        <w:pStyle w:val="Titolo2"/>
      </w:pPr>
      <w:bookmarkStart w:id="3" w:name="_Toc271386"/>
      <w:bookmarkStart w:id="4" w:name="_Toc84339491"/>
      <w:r w:rsidRPr="009D38E8">
        <w:t>A1. Indicazioni di tempi e costi per l’adozione e per la gestione a regime della buona pratica</w:t>
      </w:r>
      <w:bookmarkEnd w:id="3"/>
      <w:bookmarkEnd w:id="4"/>
    </w:p>
    <w:p w14:paraId="00940F6D" w14:textId="3FE0D467" w:rsidR="00CB6488" w:rsidRDefault="00225C2A" w:rsidP="00CB6488">
      <w:r>
        <w:t>I tempi ed i costi di adozione della buona pratica sono influenzati</w:t>
      </w:r>
      <w:r w:rsidR="00DA096A">
        <w:t xml:space="preserve"> positivamente o negativamente dalle seguenti variabili</w:t>
      </w:r>
      <w:r w:rsidR="00B20E7A">
        <w:t>:</w:t>
      </w:r>
    </w:p>
    <w:p w14:paraId="37534171" w14:textId="1E052DCE" w:rsidR="00CB6488" w:rsidRDefault="00B20E7A" w:rsidP="00B20E7A">
      <w:pPr>
        <w:pStyle w:val="Paragrafoelenco"/>
        <w:numPr>
          <w:ilvl w:val="0"/>
          <w:numId w:val="7"/>
        </w:numPr>
      </w:pPr>
      <w:r>
        <w:t>Dimensione dell’Ente</w:t>
      </w:r>
    </w:p>
    <w:p w14:paraId="47BAE864" w14:textId="7E5D639F" w:rsidR="005962D0" w:rsidRDefault="005962D0" w:rsidP="00B20E7A">
      <w:pPr>
        <w:pStyle w:val="Paragrafoelenco"/>
        <w:numPr>
          <w:ilvl w:val="0"/>
          <w:numId w:val="7"/>
        </w:numPr>
      </w:pPr>
      <w:r>
        <w:t>Presenza di un Ufficio Patrimonio</w:t>
      </w:r>
    </w:p>
    <w:p w14:paraId="10024B72" w14:textId="558FEAC2" w:rsidR="00CB6488" w:rsidRDefault="00E65731" w:rsidP="00B20E7A">
      <w:pPr>
        <w:pStyle w:val="Paragrafoelenco"/>
        <w:numPr>
          <w:ilvl w:val="0"/>
          <w:numId w:val="7"/>
        </w:numPr>
      </w:pPr>
      <w:r>
        <w:t>Consistenza del Patrimonio</w:t>
      </w:r>
    </w:p>
    <w:p w14:paraId="30EF3CB5" w14:textId="1B2140A0" w:rsidR="00B20E7A" w:rsidRDefault="00B20E7A" w:rsidP="00B20E7A">
      <w:pPr>
        <w:pStyle w:val="Paragrafoelenco"/>
        <w:numPr>
          <w:ilvl w:val="0"/>
          <w:numId w:val="7"/>
        </w:numPr>
      </w:pPr>
      <w:r>
        <w:t>Livello di informatizzazione delle banche dati</w:t>
      </w:r>
    </w:p>
    <w:p w14:paraId="0902E028" w14:textId="30615466" w:rsidR="000645E2" w:rsidRDefault="0054293C" w:rsidP="005962D0">
      <w:pPr>
        <w:pStyle w:val="Paragrafoelenco"/>
        <w:numPr>
          <w:ilvl w:val="0"/>
          <w:numId w:val="7"/>
        </w:numPr>
      </w:pPr>
      <w:r>
        <w:t>Presenza di un SIT</w:t>
      </w:r>
    </w:p>
    <w:p w14:paraId="79E671A9" w14:textId="3BC8323C" w:rsidR="00A92421" w:rsidRDefault="005962D0" w:rsidP="005962D0">
      <w:r>
        <w:t xml:space="preserve">Nella tabella seguente sono </w:t>
      </w:r>
      <w:r w:rsidR="00EC648A">
        <w:t xml:space="preserve">mostrati in modo qualitativo gli impatti delle </w:t>
      </w:r>
      <w:r w:rsidR="00EA41EA">
        <w:t xml:space="preserve">suddette variabili </w:t>
      </w:r>
      <w:r w:rsidR="00C570B3">
        <w:t>sui tempi e sui costi necessari per l’adozione e la gestione a regime della buona pratica.</w:t>
      </w:r>
    </w:p>
    <w:tbl>
      <w:tblPr>
        <w:tblStyle w:val="Tabellagriglia5scura-colore1"/>
        <w:tblW w:w="0" w:type="auto"/>
        <w:tblLook w:val="04A0" w:firstRow="1" w:lastRow="0" w:firstColumn="1" w:lastColumn="0" w:noHBand="0" w:noVBand="1"/>
      </w:tblPr>
      <w:tblGrid>
        <w:gridCol w:w="5949"/>
        <w:gridCol w:w="1843"/>
        <w:gridCol w:w="1701"/>
      </w:tblGrid>
      <w:tr w:rsidR="00A00E39" w:rsidRPr="004E69D0" w14:paraId="5F7548BD" w14:textId="77777777" w:rsidTr="00B30CB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vMerge w:val="restart"/>
            <w:vAlign w:val="center"/>
          </w:tcPr>
          <w:p w14:paraId="23636F31" w14:textId="08366C27" w:rsidR="00A00E39" w:rsidRPr="00FC4BF1" w:rsidRDefault="00A00E39" w:rsidP="00E65731">
            <w:pPr>
              <w:keepNext/>
              <w:keepLines/>
              <w:widowControl w:val="0"/>
              <w:jc w:val="center"/>
            </w:pPr>
            <w:r w:rsidRPr="00FC4BF1">
              <w:lastRenderedPageBreak/>
              <w:t>Variabile</w:t>
            </w:r>
          </w:p>
        </w:tc>
        <w:tc>
          <w:tcPr>
            <w:tcW w:w="3544" w:type="dxa"/>
            <w:gridSpan w:val="2"/>
          </w:tcPr>
          <w:p w14:paraId="064E77FA" w14:textId="03478323" w:rsidR="00A00E39" w:rsidRPr="00E65731" w:rsidRDefault="00A00E39" w:rsidP="00E65731">
            <w:pPr>
              <w:keepNext/>
              <w:keepLines/>
              <w:widowControl w:val="0"/>
              <w:jc w:val="center"/>
              <w:cnfStyle w:val="100000000000" w:firstRow="1" w:lastRow="0" w:firstColumn="0" w:lastColumn="0" w:oddVBand="0" w:evenVBand="0" w:oddHBand="0" w:evenHBand="0" w:firstRowFirstColumn="0" w:firstRowLastColumn="0" w:lastRowFirstColumn="0" w:lastRowLastColumn="0"/>
              <w:rPr>
                <w:b w:val="0"/>
              </w:rPr>
            </w:pPr>
            <w:r w:rsidRPr="00E65731">
              <w:rPr>
                <w:bCs w:val="0"/>
              </w:rPr>
              <w:t>Impatto</w:t>
            </w:r>
          </w:p>
        </w:tc>
      </w:tr>
      <w:tr w:rsidR="00A00E39" w:rsidRPr="004E69D0" w14:paraId="0BF7C5F0"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vMerge/>
          </w:tcPr>
          <w:p w14:paraId="2D357182" w14:textId="33D35CA3" w:rsidR="00A00E39" w:rsidRPr="004E69D0" w:rsidRDefault="00A00E39" w:rsidP="00361AF9">
            <w:pPr>
              <w:keepNext/>
              <w:keepLines/>
              <w:widowControl w:val="0"/>
              <w:jc w:val="left"/>
            </w:pPr>
          </w:p>
        </w:tc>
        <w:tc>
          <w:tcPr>
            <w:tcW w:w="1843" w:type="dxa"/>
          </w:tcPr>
          <w:p w14:paraId="76505360" w14:textId="03B912E6" w:rsidR="00A00E39" w:rsidRPr="004E69D0" w:rsidRDefault="00A00E39" w:rsidP="00A92421">
            <w:pPr>
              <w:keepNext/>
              <w:keepLines/>
              <w:widowControl w:val="0"/>
              <w:jc w:val="center"/>
              <w:cnfStyle w:val="000000100000" w:firstRow="0" w:lastRow="0" w:firstColumn="0" w:lastColumn="0" w:oddVBand="0" w:evenVBand="0" w:oddHBand="1" w:evenHBand="0" w:firstRowFirstColumn="0" w:firstRowLastColumn="0" w:lastRowFirstColumn="0" w:lastRowLastColumn="0"/>
              <w:rPr>
                <w:b/>
              </w:rPr>
            </w:pPr>
            <w:r w:rsidRPr="004E69D0">
              <w:rPr>
                <w:b/>
              </w:rPr>
              <w:t>Tempi</w:t>
            </w:r>
          </w:p>
        </w:tc>
        <w:tc>
          <w:tcPr>
            <w:tcW w:w="1701" w:type="dxa"/>
          </w:tcPr>
          <w:p w14:paraId="029B9133" w14:textId="5E614B2F" w:rsidR="00A00E39" w:rsidRPr="004E69D0" w:rsidRDefault="003A1B24" w:rsidP="00A92421">
            <w:pPr>
              <w:keepNext/>
              <w:keepLines/>
              <w:widowControl w:val="0"/>
              <w:jc w:val="center"/>
              <w:cnfStyle w:val="000000100000" w:firstRow="0" w:lastRow="0" w:firstColumn="0" w:lastColumn="0" w:oddVBand="0" w:evenVBand="0" w:oddHBand="1" w:evenHBand="0" w:firstRowFirstColumn="0" w:firstRowLastColumn="0" w:lastRowFirstColumn="0" w:lastRowLastColumn="0"/>
              <w:rPr>
                <w:b/>
              </w:rPr>
            </w:pPr>
            <w:r>
              <w:rPr>
                <w:b/>
              </w:rPr>
              <w:t>Costi</w:t>
            </w:r>
          </w:p>
        </w:tc>
      </w:tr>
      <w:tr w:rsidR="00A00E39" w:rsidRPr="00B970E7" w14:paraId="00CED4F2"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0A8A4E04" w14:textId="77777777" w:rsidR="00A00E39" w:rsidRPr="00B970E7" w:rsidRDefault="00A00E39" w:rsidP="00361AF9">
            <w:pPr>
              <w:keepNext/>
              <w:keepLines/>
              <w:widowControl w:val="0"/>
              <w:jc w:val="left"/>
            </w:pPr>
            <w:r>
              <w:t>Dimensione Ente</w:t>
            </w:r>
          </w:p>
        </w:tc>
        <w:tc>
          <w:tcPr>
            <w:tcW w:w="1843" w:type="dxa"/>
          </w:tcPr>
          <w:p w14:paraId="76DFA6E6" w14:textId="64525D43" w:rsidR="00A00E39" w:rsidRPr="00A00B0A" w:rsidRDefault="00A00E39" w:rsidP="00A00E39">
            <w:pPr>
              <w:keepNext/>
              <w:keepLines/>
              <w:widowControl w:val="0"/>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D12AF46" w14:textId="46D0BFB0" w:rsidR="00A00E39" w:rsidRPr="00A00B0A" w:rsidRDefault="00A00E39" w:rsidP="00A00E39">
            <w:pPr>
              <w:keepNext/>
              <w:keepLines/>
              <w:widowControl w:val="0"/>
              <w:jc w:val="center"/>
              <w:cnfStyle w:val="000000000000" w:firstRow="0" w:lastRow="0" w:firstColumn="0" w:lastColumn="0" w:oddVBand="0" w:evenVBand="0" w:oddHBand="0" w:evenHBand="0" w:firstRowFirstColumn="0" w:firstRowLastColumn="0" w:lastRowFirstColumn="0" w:lastRowLastColumn="0"/>
            </w:pPr>
            <w:r>
              <w:t>X</w:t>
            </w:r>
          </w:p>
        </w:tc>
      </w:tr>
      <w:tr w:rsidR="00A00E39" w:rsidRPr="00B970E7" w14:paraId="46D4B0BB"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19CBF553" w14:textId="3A37F4CD" w:rsidR="00A00E39" w:rsidRPr="002D0E57" w:rsidRDefault="00A00E39" w:rsidP="00361AF9">
            <w:pPr>
              <w:keepNext/>
              <w:keepLines/>
              <w:widowControl w:val="0"/>
              <w:ind w:left="22"/>
              <w:jc w:val="right"/>
              <w:rPr>
                <w:b w:val="0"/>
              </w:rPr>
            </w:pPr>
            <w:r w:rsidRPr="002D0E57">
              <w:rPr>
                <w:b w:val="0"/>
              </w:rPr>
              <w:t xml:space="preserve">0 – </w:t>
            </w:r>
            <w:r>
              <w:rPr>
                <w:b w:val="0"/>
              </w:rPr>
              <w:t>5</w:t>
            </w:r>
            <w:r w:rsidRPr="002D0E57">
              <w:rPr>
                <w:b w:val="0"/>
              </w:rPr>
              <w:t>.000 abitanti</w:t>
            </w:r>
          </w:p>
        </w:tc>
        <w:tc>
          <w:tcPr>
            <w:tcW w:w="1843" w:type="dxa"/>
          </w:tcPr>
          <w:p w14:paraId="408F277A" w14:textId="68F5B160" w:rsidR="00A00E39" w:rsidRPr="000F2E78"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EEA4CBF" w14:textId="1BC203EF" w:rsidR="00A00E39" w:rsidRPr="000F2E78"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p>
        </w:tc>
      </w:tr>
      <w:tr w:rsidR="00A00E39" w:rsidRPr="00B970E7" w14:paraId="2C1D515C"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688CD757" w14:textId="1DAF8F52" w:rsidR="00A00E39" w:rsidRPr="002D0E57" w:rsidRDefault="00A00E39" w:rsidP="00361AF9">
            <w:pPr>
              <w:keepNext/>
              <w:keepLines/>
              <w:widowControl w:val="0"/>
              <w:jc w:val="right"/>
              <w:rPr>
                <w:b w:val="0"/>
              </w:rPr>
            </w:pPr>
            <w:r>
              <w:rPr>
                <w:b w:val="0"/>
              </w:rPr>
              <w:t>5.000 – 10.000 ab</w:t>
            </w:r>
          </w:p>
        </w:tc>
        <w:tc>
          <w:tcPr>
            <w:tcW w:w="1843" w:type="dxa"/>
          </w:tcPr>
          <w:p w14:paraId="7E2E0389" w14:textId="16A2E617" w:rsidR="00A00E39" w:rsidRPr="000F2E78"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64AA44B" w14:textId="0261C931" w:rsidR="00A00E39" w:rsidRPr="000F2E78"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pPr>
            <w:r>
              <w:t>+</w:t>
            </w:r>
          </w:p>
        </w:tc>
      </w:tr>
      <w:tr w:rsidR="00A00E39" w:rsidRPr="00B970E7" w14:paraId="7DC48B76"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7D67F48B" w14:textId="2733CB0C" w:rsidR="00A00E39" w:rsidRDefault="00A00E39" w:rsidP="00361AF9">
            <w:pPr>
              <w:keepNext/>
              <w:keepLines/>
              <w:widowControl w:val="0"/>
              <w:jc w:val="right"/>
              <w:rPr>
                <w:b w:val="0"/>
              </w:rPr>
            </w:pPr>
            <w:r>
              <w:rPr>
                <w:b w:val="0"/>
              </w:rPr>
              <w:t>10.000 – 25.000 ab</w:t>
            </w:r>
          </w:p>
        </w:tc>
        <w:tc>
          <w:tcPr>
            <w:tcW w:w="1843" w:type="dxa"/>
          </w:tcPr>
          <w:p w14:paraId="181D7D46" w14:textId="6F9DE2F3" w:rsidR="00A00E39" w:rsidRPr="000F2E78"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r>
              <w:t>++</w:t>
            </w:r>
          </w:p>
        </w:tc>
        <w:tc>
          <w:tcPr>
            <w:tcW w:w="1701" w:type="dxa"/>
          </w:tcPr>
          <w:p w14:paraId="3E5B94D0" w14:textId="2317EF00" w:rsidR="00A00E39" w:rsidRPr="000F2E78"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r>
              <w:t>++</w:t>
            </w:r>
          </w:p>
        </w:tc>
      </w:tr>
      <w:tr w:rsidR="00A00E39" w:rsidRPr="00B970E7" w14:paraId="4A2084AE"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7BC6F0A3" w14:textId="77777777" w:rsidR="00A00E39" w:rsidRPr="002D0E57" w:rsidRDefault="00A00E39" w:rsidP="00361AF9">
            <w:pPr>
              <w:keepNext/>
              <w:keepLines/>
              <w:widowControl w:val="0"/>
              <w:jc w:val="right"/>
              <w:rPr>
                <w:b w:val="0"/>
              </w:rPr>
            </w:pPr>
            <w:r w:rsidRPr="002D0E57">
              <w:rPr>
                <w:b w:val="0"/>
                <w:bCs w:val="0"/>
              </w:rPr>
              <w:t>&gt;</w:t>
            </w:r>
            <w:r w:rsidRPr="002D0E57">
              <w:rPr>
                <w:b w:val="0"/>
              </w:rPr>
              <w:t xml:space="preserve"> 25.000 ab</w:t>
            </w:r>
          </w:p>
        </w:tc>
        <w:tc>
          <w:tcPr>
            <w:tcW w:w="1843" w:type="dxa"/>
          </w:tcPr>
          <w:p w14:paraId="1A0AA297" w14:textId="473599D1" w:rsidR="00A00E39" w:rsidRPr="000F2E78"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250C3A9F" w14:textId="0BFC1F6D" w:rsidR="00A00E39" w:rsidRPr="000F2E78"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pPr>
            <w:r>
              <w:t>+++</w:t>
            </w:r>
          </w:p>
        </w:tc>
      </w:tr>
      <w:tr w:rsidR="00A00E39" w:rsidRPr="00B970E7" w14:paraId="03CCBC83"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5C8EEC83" w14:textId="73781610" w:rsidR="00A00E39" w:rsidRPr="00B970E7" w:rsidRDefault="00A00E39" w:rsidP="00361AF9">
            <w:pPr>
              <w:keepNext/>
              <w:keepLines/>
              <w:widowControl w:val="0"/>
              <w:jc w:val="left"/>
            </w:pPr>
            <w:r>
              <w:t>Presenza Ufficio Patrimonio</w:t>
            </w:r>
          </w:p>
        </w:tc>
        <w:tc>
          <w:tcPr>
            <w:tcW w:w="1843" w:type="dxa"/>
          </w:tcPr>
          <w:p w14:paraId="72144D9B" w14:textId="6F7AA46B" w:rsidR="00A00E39" w:rsidRPr="00A00B0A" w:rsidRDefault="00FC412F"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r>
              <w:t>X</w:t>
            </w:r>
          </w:p>
        </w:tc>
        <w:tc>
          <w:tcPr>
            <w:tcW w:w="1701" w:type="dxa"/>
          </w:tcPr>
          <w:p w14:paraId="0FF2225B" w14:textId="77777777" w:rsidR="00A00E39" w:rsidRPr="00B970E7"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
              </w:rPr>
            </w:pPr>
          </w:p>
        </w:tc>
      </w:tr>
      <w:tr w:rsidR="00A00E39" w:rsidRPr="00B970E7" w14:paraId="7457A511"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6068AA81" w14:textId="77777777" w:rsidR="00A00E39" w:rsidRPr="002D0E57" w:rsidRDefault="00A00E39" w:rsidP="00361AF9">
            <w:pPr>
              <w:keepNext/>
              <w:keepLines/>
              <w:widowControl w:val="0"/>
              <w:jc w:val="right"/>
              <w:rPr>
                <w:b w:val="0"/>
              </w:rPr>
            </w:pPr>
            <w:r w:rsidRPr="002D0E57">
              <w:rPr>
                <w:b w:val="0"/>
              </w:rPr>
              <w:t>Sì</w:t>
            </w:r>
          </w:p>
        </w:tc>
        <w:tc>
          <w:tcPr>
            <w:tcW w:w="1843" w:type="dxa"/>
          </w:tcPr>
          <w:p w14:paraId="2A620A8E" w14:textId="5E1400A4" w:rsidR="00A00E39" w:rsidRPr="00B970E7" w:rsidRDefault="00A00E39"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
              </w:rPr>
            </w:pPr>
          </w:p>
        </w:tc>
        <w:tc>
          <w:tcPr>
            <w:tcW w:w="1701" w:type="dxa"/>
          </w:tcPr>
          <w:p w14:paraId="0E3BAE73" w14:textId="79918122" w:rsidR="00A00E39" w:rsidRPr="00B970E7" w:rsidRDefault="00A00E39"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
              </w:rPr>
            </w:pPr>
          </w:p>
        </w:tc>
      </w:tr>
      <w:tr w:rsidR="00A00E39" w:rsidRPr="00B970E7" w14:paraId="0880B5E2"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61647BF4" w14:textId="77777777" w:rsidR="00A00E39" w:rsidRPr="002D0E57" w:rsidRDefault="00A00E39" w:rsidP="00361AF9">
            <w:pPr>
              <w:keepNext/>
              <w:keepLines/>
              <w:widowControl w:val="0"/>
              <w:ind w:left="1416"/>
              <w:jc w:val="right"/>
              <w:rPr>
                <w:b w:val="0"/>
              </w:rPr>
            </w:pPr>
            <w:r w:rsidRPr="002D0E57">
              <w:rPr>
                <w:b w:val="0"/>
              </w:rPr>
              <w:t>No</w:t>
            </w:r>
          </w:p>
        </w:tc>
        <w:tc>
          <w:tcPr>
            <w:tcW w:w="1843" w:type="dxa"/>
          </w:tcPr>
          <w:p w14:paraId="66F4265E" w14:textId="624E3E36" w:rsidR="00A00E39" w:rsidRPr="000F2E78"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r>
              <w:t>+</w:t>
            </w:r>
          </w:p>
        </w:tc>
        <w:tc>
          <w:tcPr>
            <w:tcW w:w="1701" w:type="dxa"/>
          </w:tcPr>
          <w:p w14:paraId="3F70BF1D" w14:textId="6EB57E7F" w:rsidR="00A00E39" w:rsidRPr="000F2E78"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pPr>
            <w:r>
              <w:t>+</w:t>
            </w:r>
          </w:p>
        </w:tc>
      </w:tr>
      <w:tr w:rsidR="00A00E39" w:rsidRPr="00B970E7" w14:paraId="423BF802"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4CCE4C95" w14:textId="1B31B1F6" w:rsidR="00A00E39" w:rsidRPr="00B970E7" w:rsidRDefault="00A00E39" w:rsidP="00361AF9">
            <w:pPr>
              <w:keepNext/>
              <w:keepLines/>
              <w:widowControl w:val="0"/>
              <w:jc w:val="left"/>
            </w:pPr>
            <w:r>
              <w:t>Consistenza del Patrimonio</w:t>
            </w:r>
          </w:p>
        </w:tc>
        <w:tc>
          <w:tcPr>
            <w:tcW w:w="1843" w:type="dxa"/>
          </w:tcPr>
          <w:p w14:paraId="215CD3C9" w14:textId="112F4B34" w:rsidR="00A00E39" w:rsidRPr="00FC412F" w:rsidRDefault="00FC412F"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FC412F">
              <w:rPr>
                <w:bCs/>
              </w:rPr>
              <w:t>X</w:t>
            </w:r>
          </w:p>
        </w:tc>
        <w:tc>
          <w:tcPr>
            <w:tcW w:w="1701" w:type="dxa"/>
          </w:tcPr>
          <w:p w14:paraId="01358FD4" w14:textId="5E64B1D3" w:rsidR="00A00E39" w:rsidRPr="00FC412F" w:rsidRDefault="00FC412F"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FC412F">
              <w:rPr>
                <w:bCs/>
              </w:rPr>
              <w:t>X</w:t>
            </w:r>
          </w:p>
        </w:tc>
      </w:tr>
      <w:tr w:rsidR="00A00E39" w:rsidRPr="00B970E7" w14:paraId="6DF3071A"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11A63B1F" w14:textId="1AD9BA69" w:rsidR="00A00E39" w:rsidRPr="00D16369" w:rsidRDefault="00A00E39" w:rsidP="00361AF9">
            <w:pPr>
              <w:keepNext/>
              <w:keepLines/>
              <w:widowControl w:val="0"/>
              <w:jc w:val="right"/>
              <w:rPr>
                <w:b w:val="0"/>
              </w:rPr>
            </w:pPr>
            <w:r w:rsidRPr="00D16369">
              <w:rPr>
                <w:b w:val="0"/>
              </w:rPr>
              <w:t>Da 1 a 50 beni</w:t>
            </w:r>
          </w:p>
        </w:tc>
        <w:tc>
          <w:tcPr>
            <w:tcW w:w="1843" w:type="dxa"/>
          </w:tcPr>
          <w:p w14:paraId="3136D84C" w14:textId="1481A742" w:rsidR="00A00E39" w:rsidRPr="00B970E7"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
              </w:rPr>
            </w:pPr>
          </w:p>
        </w:tc>
        <w:tc>
          <w:tcPr>
            <w:tcW w:w="1701" w:type="dxa"/>
          </w:tcPr>
          <w:p w14:paraId="2014B2C1" w14:textId="24095153" w:rsidR="00A00E39" w:rsidRPr="00B970E7"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
              </w:rPr>
            </w:pPr>
          </w:p>
        </w:tc>
      </w:tr>
      <w:tr w:rsidR="00A00E39" w:rsidRPr="00B970E7" w14:paraId="05C36AEF"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3C904635" w14:textId="320F0B8B" w:rsidR="00A00E39" w:rsidRPr="00D16369" w:rsidRDefault="00A00E39" w:rsidP="00361AF9">
            <w:pPr>
              <w:keepNext/>
              <w:keepLines/>
              <w:widowControl w:val="0"/>
              <w:jc w:val="right"/>
              <w:rPr>
                <w:b w:val="0"/>
              </w:rPr>
            </w:pPr>
            <w:r w:rsidRPr="00D16369">
              <w:rPr>
                <w:b w:val="0"/>
              </w:rPr>
              <w:t>Da 50 a 100 beni</w:t>
            </w:r>
          </w:p>
        </w:tc>
        <w:tc>
          <w:tcPr>
            <w:tcW w:w="1843" w:type="dxa"/>
          </w:tcPr>
          <w:p w14:paraId="05E2459C" w14:textId="43C2C905" w:rsidR="00A00E39" w:rsidRPr="00073B36"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073B36">
              <w:rPr>
                <w:bCs/>
              </w:rPr>
              <w:t>+</w:t>
            </w:r>
          </w:p>
        </w:tc>
        <w:tc>
          <w:tcPr>
            <w:tcW w:w="1701" w:type="dxa"/>
          </w:tcPr>
          <w:p w14:paraId="549529CB" w14:textId="22A69A76" w:rsidR="00A00E39" w:rsidRPr="00073B36"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073B36">
              <w:rPr>
                <w:bCs/>
              </w:rPr>
              <w:t>+</w:t>
            </w:r>
          </w:p>
        </w:tc>
      </w:tr>
      <w:tr w:rsidR="00A00E39" w:rsidRPr="00B970E7" w14:paraId="75ED3B9B"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1F64578D" w14:textId="4D8F65B8" w:rsidR="00A00E39" w:rsidRPr="00D16369" w:rsidRDefault="00A00E39" w:rsidP="00361AF9">
            <w:pPr>
              <w:keepNext/>
              <w:keepLines/>
              <w:widowControl w:val="0"/>
              <w:jc w:val="right"/>
              <w:rPr>
                <w:b w:val="0"/>
              </w:rPr>
            </w:pPr>
            <w:r w:rsidRPr="00D16369">
              <w:rPr>
                <w:b w:val="0"/>
              </w:rPr>
              <w:t>Da 100 a 200 beni</w:t>
            </w:r>
          </w:p>
        </w:tc>
        <w:tc>
          <w:tcPr>
            <w:tcW w:w="1843" w:type="dxa"/>
          </w:tcPr>
          <w:p w14:paraId="677F6D4C" w14:textId="15B9FCE8" w:rsidR="00A00E39" w:rsidRPr="00073B36"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073B36">
              <w:rPr>
                <w:bCs/>
              </w:rPr>
              <w:t>++</w:t>
            </w:r>
          </w:p>
        </w:tc>
        <w:tc>
          <w:tcPr>
            <w:tcW w:w="1701" w:type="dxa"/>
          </w:tcPr>
          <w:p w14:paraId="1E90FBD7" w14:textId="6A05310F" w:rsidR="00A00E39" w:rsidRPr="00073B36" w:rsidRDefault="00073B36"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073B36">
              <w:rPr>
                <w:bCs/>
              </w:rPr>
              <w:t>++</w:t>
            </w:r>
          </w:p>
        </w:tc>
      </w:tr>
      <w:tr w:rsidR="00A00E39" w:rsidRPr="00B970E7" w14:paraId="32E890C9"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76E60BFE" w14:textId="38087191" w:rsidR="00A00E39" w:rsidRPr="00D16369" w:rsidRDefault="00A00E39" w:rsidP="00361AF9">
            <w:pPr>
              <w:keepNext/>
              <w:keepLines/>
              <w:widowControl w:val="0"/>
              <w:jc w:val="right"/>
              <w:rPr>
                <w:b w:val="0"/>
              </w:rPr>
            </w:pPr>
            <w:r w:rsidRPr="00D16369">
              <w:rPr>
                <w:b w:val="0"/>
              </w:rPr>
              <w:t>&gt; 200 beni</w:t>
            </w:r>
          </w:p>
        </w:tc>
        <w:tc>
          <w:tcPr>
            <w:tcW w:w="1843" w:type="dxa"/>
          </w:tcPr>
          <w:p w14:paraId="726716E4" w14:textId="61E5923D" w:rsidR="00A00E39" w:rsidRPr="00073B36"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073B36">
              <w:rPr>
                <w:bCs/>
              </w:rPr>
              <w:t>+++</w:t>
            </w:r>
          </w:p>
        </w:tc>
        <w:tc>
          <w:tcPr>
            <w:tcW w:w="1701" w:type="dxa"/>
          </w:tcPr>
          <w:p w14:paraId="77E62056" w14:textId="4CB1A77C" w:rsidR="00A00E39" w:rsidRPr="00073B36" w:rsidRDefault="00073B36"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073B36">
              <w:rPr>
                <w:bCs/>
              </w:rPr>
              <w:t>+++</w:t>
            </w:r>
          </w:p>
        </w:tc>
      </w:tr>
      <w:tr w:rsidR="00A00E39" w:rsidRPr="00B970E7" w14:paraId="0559A2AD"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29149907" w14:textId="443E5BF0" w:rsidR="00A00E39" w:rsidRDefault="00A00E39" w:rsidP="00361AF9">
            <w:pPr>
              <w:keepNext/>
              <w:keepLines/>
              <w:widowControl w:val="0"/>
              <w:jc w:val="left"/>
            </w:pPr>
            <w:r>
              <w:t>Livello di informatizzazione delle banche dati</w:t>
            </w:r>
          </w:p>
        </w:tc>
        <w:tc>
          <w:tcPr>
            <w:tcW w:w="1843" w:type="dxa"/>
          </w:tcPr>
          <w:p w14:paraId="163F74CB" w14:textId="5806E4BC" w:rsidR="00A00E39" w:rsidRPr="00FC412F" w:rsidRDefault="00FC412F"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FC412F">
              <w:rPr>
                <w:bCs/>
              </w:rPr>
              <w:t>X</w:t>
            </w:r>
          </w:p>
        </w:tc>
        <w:tc>
          <w:tcPr>
            <w:tcW w:w="1701" w:type="dxa"/>
          </w:tcPr>
          <w:p w14:paraId="1B703BA8" w14:textId="1B81EE85" w:rsidR="00A00E39" w:rsidRPr="00FC412F" w:rsidRDefault="00FC412F"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FC412F">
              <w:rPr>
                <w:bCs/>
              </w:rPr>
              <w:t>X</w:t>
            </w:r>
          </w:p>
        </w:tc>
      </w:tr>
      <w:tr w:rsidR="00A00E39" w:rsidRPr="00B970E7" w14:paraId="5F37EEB8"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5AC26F3C" w14:textId="12611161" w:rsidR="00A00E39" w:rsidRPr="002D0E57" w:rsidRDefault="00B30CB7" w:rsidP="00361AF9">
            <w:pPr>
              <w:keepNext/>
              <w:keepLines/>
              <w:widowControl w:val="0"/>
              <w:jc w:val="right"/>
              <w:rPr>
                <w:b w:val="0"/>
              </w:rPr>
            </w:pPr>
            <w:r>
              <w:rPr>
                <w:b w:val="0"/>
              </w:rPr>
              <w:t>Presenza di un archivio strutturato dei dati del Patrimonio</w:t>
            </w:r>
          </w:p>
        </w:tc>
        <w:tc>
          <w:tcPr>
            <w:tcW w:w="1843" w:type="dxa"/>
          </w:tcPr>
          <w:p w14:paraId="703226F6" w14:textId="2E291A11" w:rsidR="00A00E39" w:rsidRPr="00FC412F" w:rsidRDefault="00D54A5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w:t>
            </w:r>
          </w:p>
        </w:tc>
        <w:tc>
          <w:tcPr>
            <w:tcW w:w="1701" w:type="dxa"/>
          </w:tcPr>
          <w:p w14:paraId="4F0DA739" w14:textId="32E53E49" w:rsidR="00A00E39" w:rsidRPr="00FC412F" w:rsidRDefault="00D54A5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w:t>
            </w:r>
          </w:p>
        </w:tc>
      </w:tr>
      <w:tr w:rsidR="00A00E39" w:rsidRPr="00B970E7" w14:paraId="0F15B4C8"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7FCDE394" w14:textId="6D4C687A" w:rsidR="00A00E39" w:rsidRPr="002D0E57" w:rsidRDefault="0084309D" w:rsidP="00361AF9">
            <w:pPr>
              <w:keepNext/>
              <w:keepLines/>
              <w:widowControl w:val="0"/>
              <w:jc w:val="right"/>
              <w:rPr>
                <w:b w:val="0"/>
              </w:rPr>
            </w:pPr>
            <w:r>
              <w:rPr>
                <w:b w:val="0"/>
              </w:rPr>
              <w:t xml:space="preserve">Presenza di </w:t>
            </w:r>
            <w:r w:rsidR="001159DB">
              <w:rPr>
                <w:b w:val="0"/>
              </w:rPr>
              <w:t>informazioni</w:t>
            </w:r>
            <w:r>
              <w:rPr>
                <w:b w:val="0"/>
              </w:rPr>
              <w:t xml:space="preserve"> strutturat</w:t>
            </w:r>
            <w:r w:rsidR="001159DB">
              <w:rPr>
                <w:b w:val="0"/>
              </w:rPr>
              <w:t>e</w:t>
            </w:r>
            <w:r w:rsidR="00D54A52">
              <w:rPr>
                <w:b w:val="0"/>
              </w:rPr>
              <w:t xml:space="preserve"> di tipo cartaceo</w:t>
            </w:r>
          </w:p>
        </w:tc>
        <w:tc>
          <w:tcPr>
            <w:tcW w:w="1843" w:type="dxa"/>
          </w:tcPr>
          <w:p w14:paraId="18A0A3B2" w14:textId="07BDFF96" w:rsidR="00A00E39" w:rsidRPr="00FC412F" w:rsidRDefault="00D54A52"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Pr>
                <w:bCs/>
              </w:rPr>
              <w:t>+</w:t>
            </w:r>
          </w:p>
        </w:tc>
        <w:tc>
          <w:tcPr>
            <w:tcW w:w="1701" w:type="dxa"/>
          </w:tcPr>
          <w:p w14:paraId="65B4B21D" w14:textId="1F02C668" w:rsidR="00A00E39" w:rsidRPr="00FC412F" w:rsidRDefault="00D54A52"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Pr>
                <w:bCs/>
              </w:rPr>
              <w:t>+</w:t>
            </w:r>
          </w:p>
        </w:tc>
      </w:tr>
      <w:tr w:rsidR="00D54A52" w:rsidRPr="00B970E7" w14:paraId="20059B98"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481E1223" w14:textId="51D4D0C3" w:rsidR="00D54A52" w:rsidRDefault="001159DB" w:rsidP="00361AF9">
            <w:pPr>
              <w:keepNext/>
              <w:keepLines/>
              <w:widowControl w:val="0"/>
              <w:jc w:val="right"/>
              <w:rPr>
                <w:b w:val="0"/>
              </w:rPr>
            </w:pPr>
            <w:r>
              <w:rPr>
                <w:b w:val="0"/>
              </w:rPr>
              <w:t>Assenza di informazioni strutturate</w:t>
            </w:r>
          </w:p>
        </w:tc>
        <w:tc>
          <w:tcPr>
            <w:tcW w:w="1843" w:type="dxa"/>
          </w:tcPr>
          <w:p w14:paraId="44AAB0CA" w14:textId="1BE5D197" w:rsidR="00D54A52" w:rsidRDefault="005E0E4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w:t>
            </w:r>
          </w:p>
        </w:tc>
        <w:tc>
          <w:tcPr>
            <w:tcW w:w="1701" w:type="dxa"/>
          </w:tcPr>
          <w:p w14:paraId="634D1AAF" w14:textId="3B2FFCFE" w:rsidR="00D54A52" w:rsidRDefault="005E0E4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w:t>
            </w:r>
          </w:p>
        </w:tc>
      </w:tr>
      <w:tr w:rsidR="00A00E39" w:rsidRPr="00B970E7" w14:paraId="50759B6B"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4EC5184C" w14:textId="32072A04" w:rsidR="00A00E39" w:rsidRPr="002D0E57" w:rsidRDefault="00A00E39" w:rsidP="00361AF9">
            <w:pPr>
              <w:keepNext/>
              <w:keepLines/>
              <w:widowControl w:val="0"/>
              <w:jc w:val="left"/>
              <w:rPr>
                <w:b w:val="0"/>
              </w:rPr>
            </w:pPr>
            <w:r>
              <w:t>Presenza di un SIT</w:t>
            </w:r>
          </w:p>
        </w:tc>
        <w:tc>
          <w:tcPr>
            <w:tcW w:w="1843" w:type="dxa"/>
          </w:tcPr>
          <w:p w14:paraId="7A420BEC" w14:textId="62A81F35" w:rsidR="00A00E39" w:rsidRPr="00FC412F" w:rsidRDefault="00FC412F"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FC412F">
              <w:rPr>
                <w:bCs/>
              </w:rPr>
              <w:t>X</w:t>
            </w:r>
          </w:p>
        </w:tc>
        <w:tc>
          <w:tcPr>
            <w:tcW w:w="1701" w:type="dxa"/>
          </w:tcPr>
          <w:p w14:paraId="52D067A7" w14:textId="77777777" w:rsidR="00A00E39" w:rsidRPr="00FC412F" w:rsidRDefault="00A00E39"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p>
        </w:tc>
      </w:tr>
      <w:tr w:rsidR="00A00E39" w:rsidRPr="00B970E7" w14:paraId="3DA0F568" w14:textId="77777777" w:rsidTr="00B30CB7">
        <w:trPr>
          <w:trHeight w:val="269"/>
        </w:trPr>
        <w:tc>
          <w:tcPr>
            <w:cnfStyle w:val="001000000000" w:firstRow="0" w:lastRow="0" w:firstColumn="1" w:lastColumn="0" w:oddVBand="0" w:evenVBand="0" w:oddHBand="0" w:evenHBand="0" w:firstRowFirstColumn="0" w:firstRowLastColumn="0" w:lastRowFirstColumn="0" w:lastRowLastColumn="0"/>
            <w:tcW w:w="5949" w:type="dxa"/>
          </w:tcPr>
          <w:p w14:paraId="4AD82D10" w14:textId="48A9C464" w:rsidR="00A00E39" w:rsidRPr="000F2E78" w:rsidRDefault="00A00E39" w:rsidP="00361AF9">
            <w:pPr>
              <w:keepNext/>
              <w:keepLines/>
              <w:widowControl w:val="0"/>
              <w:jc w:val="right"/>
              <w:rPr>
                <w:b w:val="0"/>
              </w:rPr>
            </w:pPr>
            <w:r>
              <w:rPr>
                <w:b w:val="0"/>
              </w:rPr>
              <w:t>sì</w:t>
            </w:r>
          </w:p>
        </w:tc>
        <w:tc>
          <w:tcPr>
            <w:tcW w:w="1843" w:type="dxa"/>
          </w:tcPr>
          <w:p w14:paraId="6245ACCE" w14:textId="2DD4F317" w:rsidR="00A00E39" w:rsidRPr="00155A74" w:rsidRDefault="005E0E4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26034D8E" w14:textId="573615B2" w:rsidR="00A00E39" w:rsidRPr="00B970E7" w:rsidRDefault="005E0E42" w:rsidP="00DE6378">
            <w:pPr>
              <w:keepNext/>
              <w:keepLines/>
              <w:widowControl w:val="0"/>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A00E39" w:rsidRPr="00B970E7" w14:paraId="59492511" w14:textId="77777777" w:rsidTr="00B30CB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949" w:type="dxa"/>
          </w:tcPr>
          <w:p w14:paraId="62F36E4C" w14:textId="0904AE12" w:rsidR="00A00E39" w:rsidRPr="000F2E78" w:rsidRDefault="00A00E39" w:rsidP="00361AF9">
            <w:pPr>
              <w:keepNext/>
              <w:keepLines/>
              <w:widowControl w:val="0"/>
              <w:jc w:val="right"/>
              <w:rPr>
                <w:b w:val="0"/>
              </w:rPr>
            </w:pPr>
            <w:r>
              <w:rPr>
                <w:b w:val="0"/>
              </w:rPr>
              <w:t>no</w:t>
            </w:r>
          </w:p>
        </w:tc>
        <w:tc>
          <w:tcPr>
            <w:tcW w:w="1843" w:type="dxa"/>
          </w:tcPr>
          <w:p w14:paraId="2FDB3972" w14:textId="6A0C3DE0" w:rsidR="00A00E39" w:rsidRPr="005E0E42" w:rsidRDefault="005E0E42"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5E0E42">
              <w:rPr>
                <w:bCs/>
              </w:rPr>
              <w:t>++</w:t>
            </w:r>
          </w:p>
        </w:tc>
        <w:tc>
          <w:tcPr>
            <w:tcW w:w="1701" w:type="dxa"/>
          </w:tcPr>
          <w:p w14:paraId="08378A1B" w14:textId="324467F1" w:rsidR="00A00E39" w:rsidRPr="005E0E42" w:rsidRDefault="005E0E42" w:rsidP="00DE6378">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5E0E42">
              <w:rPr>
                <w:bCs/>
              </w:rPr>
              <w:t>++</w:t>
            </w:r>
          </w:p>
        </w:tc>
      </w:tr>
    </w:tbl>
    <w:p w14:paraId="1A6ADBEA" w14:textId="77777777" w:rsidR="00122C2C" w:rsidRDefault="00122C2C" w:rsidP="00D93D20"/>
    <w:p w14:paraId="2DEA961A" w14:textId="77777777" w:rsidR="00EC648A" w:rsidRDefault="00EC648A" w:rsidP="00EC648A">
      <w:r>
        <w:t xml:space="preserve">I costi si distinguono in: </w:t>
      </w:r>
    </w:p>
    <w:p w14:paraId="1B8D2DC7" w14:textId="3DDD967A" w:rsidR="00EC648A" w:rsidRDefault="00EC648A" w:rsidP="00EC648A">
      <w:pPr>
        <w:pStyle w:val="Paragrafoelenco"/>
        <w:numPr>
          <w:ilvl w:val="0"/>
          <w:numId w:val="5"/>
        </w:numPr>
      </w:pPr>
      <w:r>
        <w:t>costi del personale interno dedicato alla gestione del processo di trasferimento e di adozione della buona pratica fino alla sua messa regime; è escluso quindi il personale che, prima e dopo l’adozione della buona pratica, ha un ruolo operativo nell’esecuzione dei procedimenti impattati dalla buona pratica</w:t>
      </w:r>
      <w:r w:rsidR="007B741A">
        <w:t>.</w:t>
      </w:r>
      <w:r>
        <w:t xml:space="preserve"> Il costo del personale interno dedicato è indicato sotto forma di giornate uomo (FTE, </w:t>
      </w:r>
      <w:r w:rsidRPr="00394B7C">
        <w:rPr>
          <w:i/>
        </w:rPr>
        <w:t xml:space="preserve">full time </w:t>
      </w:r>
      <w:proofErr w:type="spellStart"/>
      <w:r w:rsidRPr="00394B7C">
        <w:rPr>
          <w:i/>
        </w:rPr>
        <w:t>equivalent</w:t>
      </w:r>
      <w:proofErr w:type="spellEnd"/>
      <w:r w:rsidR="00651300">
        <w:rPr>
          <w:i/>
        </w:rPr>
        <w:t xml:space="preserve">, considerando </w:t>
      </w:r>
      <w:r w:rsidR="002B551E">
        <w:rPr>
          <w:i/>
        </w:rPr>
        <w:t>convenzionalmente</w:t>
      </w:r>
      <w:r w:rsidR="00651300">
        <w:rPr>
          <w:i/>
        </w:rPr>
        <w:t xml:space="preserve"> </w:t>
      </w:r>
      <w:proofErr w:type="gramStart"/>
      <w:r w:rsidR="00845A37">
        <w:rPr>
          <w:i/>
        </w:rPr>
        <w:t>8</w:t>
      </w:r>
      <w:proofErr w:type="gramEnd"/>
      <w:r w:rsidR="00845A37">
        <w:rPr>
          <w:i/>
        </w:rPr>
        <w:t xml:space="preserve"> </w:t>
      </w:r>
      <w:r w:rsidR="00651300">
        <w:rPr>
          <w:i/>
        </w:rPr>
        <w:t>ore/giorno</w:t>
      </w:r>
      <w:r>
        <w:t>)</w:t>
      </w:r>
    </w:p>
    <w:p w14:paraId="1221E5F7" w14:textId="3DA5C671" w:rsidR="00EC648A" w:rsidRDefault="00EC648A" w:rsidP="00EC648A">
      <w:pPr>
        <w:pStyle w:val="Paragrafoelenco"/>
        <w:numPr>
          <w:ilvl w:val="0"/>
          <w:numId w:val="5"/>
        </w:numPr>
      </w:pPr>
      <w:r>
        <w:t>costi esterni (acquisto di beni e servizi)</w:t>
      </w:r>
      <w:r w:rsidR="00F869A2">
        <w:t>.</w:t>
      </w:r>
    </w:p>
    <w:p w14:paraId="1BBAADAD" w14:textId="2723D184" w:rsidR="00F869A2" w:rsidRDefault="00F869A2" w:rsidP="00F869A2"/>
    <w:p w14:paraId="24297492" w14:textId="6569C0AE" w:rsidR="00F869A2" w:rsidRDefault="00F869A2" w:rsidP="00F869A2"/>
    <w:p w14:paraId="2511C388" w14:textId="3586F699" w:rsidR="00F869A2" w:rsidRDefault="00F869A2" w:rsidP="00F869A2"/>
    <w:p w14:paraId="15AF1C48" w14:textId="79DCC1AE" w:rsidR="00F869A2" w:rsidRDefault="00F869A2" w:rsidP="00F869A2"/>
    <w:p w14:paraId="24FF3403" w14:textId="6D7B1E0B" w:rsidR="00F869A2" w:rsidRDefault="00F869A2" w:rsidP="00F869A2"/>
    <w:p w14:paraId="273C8CBA" w14:textId="77777777" w:rsidR="00F869A2" w:rsidRDefault="00F869A2" w:rsidP="00F869A2"/>
    <w:tbl>
      <w:tblPr>
        <w:tblStyle w:val="Tabellagriglia5scura-colore1"/>
        <w:tblW w:w="5000" w:type="pct"/>
        <w:tblLook w:val="04A0" w:firstRow="1" w:lastRow="0" w:firstColumn="1" w:lastColumn="0" w:noHBand="0" w:noVBand="1"/>
      </w:tblPr>
      <w:tblGrid>
        <w:gridCol w:w="2264"/>
        <w:gridCol w:w="1560"/>
        <w:gridCol w:w="1983"/>
        <w:gridCol w:w="1843"/>
        <w:gridCol w:w="1978"/>
      </w:tblGrid>
      <w:tr w:rsidR="00A21EA7" w:rsidRPr="00A21EA7" w14:paraId="33639F2C" w14:textId="77777777" w:rsidTr="002B551E">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5FDB2436" w14:textId="77777777" w:rsidR="00A36F30" w:rsidRPr="00A36F30" w:rsidRDefault="00A36F30" w:rsidP="00A36F30">
            <w:pPr>
              <w:rPr>
                <w:rFonts w:ascii="Calibri Light" w:eastAsia="Times New Roman" w:hAnsi="Calibri Light" w:cs="Calibri Light"/>
                <w:lang w:eastAsia="it-IT"/>
              </w:rPr>
            </w:pPr>
            <w:r w:rsidRPr="00A36F30">
              <w:rPr>
                <w:rFonts w:ascii="Calibri Light" w:eastAsia="Times New Roman" w:hAnsi="Calibri Light" w:cs="Calibri Light"/>
                <w:lang w:eastAsia="it-IT"/>
              </w:rPr>
              <w:lastRenderedPageBreak/>
              <w:t>Ente riusante</w:t>
            </w:r>
          </w:p>
        </w:tc>
        <w:tc>
          <w:tcPr>
            <w:tcW w:w="810" w:type="pct"/>
            <w:vAlign w:val="center"/>
            <w:hideMark/>
          </w:tcPr>
          <w:p w14:paraId="75091B68" w14:textId="2668E507" w:rsidR="00A36F30" w:rsidRPr="00A36F30" w:rsidRDefault="00A36F30" w:rsidP="006F631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A36F30">
              <w:rPr>
                <w:rFonts w:ascii="Calibri Light" w:eastAsia="Times New Roman" w:hAnsi="Calibri Light" w:cs="Calibri Light"/>
                <w:lang w:eastAsia="it-IT"/>
              </w:rPr>
              <w:t>Tempi</w:t>
            </w:r>
          </w:p>
        </w:tc>
        <w:tc>
          <w:tcPr>
            <w:tcW w:w="1030" w:type="pct"/>
            <w:vAlign w:val="center"/>
            <w:hideMark/>
          </w:tcPr>
          <w:p w14:paraId="796D6548" w14:textId="07F49F98" w:rsidR="00A36F30" w:rsidRPr="00A36F30" w:rsidRDefault="00A36F30" w:rsidP="006F631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A36F30">
              <w:rPr>
                <w:rFonts w:ascii="Calibri Light" w:eastAsia="Times New Roman" w:hAnsi="Calibri Light" w:cs="Calibri Light"/>
                <w:lang w:eastAsia="it-IT"/>
              </w:rPr>
              <w:t>Personale (FTE)</w:t>
            </w:r>
          </w:p>
        </w:tc>
        <w:tc>
          <w:tcPr>
            <w:tcW w:w="957" w:type="pct"/>
            <w:vAlign w:val="center"/>
            <w:hideMark/>
          </w:tcPr>
          <w:p w14:paraId="74D368C6" w14:textId="77777777" w:rsidR="00A36F30" w:rsidRPr="00A36F30" w:rsidRDefault="00A36F30" w:rsidP="006F631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A36F30">
              <w:rPr>
                <w:rFonts w:ascii="Calibri Light" w:eastAsia="Times New Roman" w:hAnsi="Calibri Light" w:cs="Calibri Light"/>
                <w:lang w:eastAsia="it-IT"/>
              </w:rPr>
              <w:t>Costi esterni</w:t>
            </w:r>
          </w:p>
        </w:tc>
        <w:tc>
          <w:tcPr>
            <w:tcW w:w="1027" w:type="pct"/>
            <w:vAlign w:val="center"/>
            <w:hideMark/>
          </w:tcPr>
          <w:p w14:paraId="6D676A3D" w14:textId="77777777" w:rsidR="00A36F30" w:rsidRPr="00A36F30" w:rsidRDefault="00A36F30" w:rsidP="006F631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A36F30">
              <w:rPr>
                <w:rFonts w:ascii="Calibri Light" w:eastAsia="Times New Roman" w:hAnsi="Calibri Light" w:cs="Calibri Light"/>
                <w:lang w:eastAsia="it-IT"/>
              </w:rPr>
              <w:t>Note</w:t>
            </w:r>
          </w:p>
        </w:tc>
      </w:tr>
      <w:tr w:rsidR="00A21EA7" w:rsidRPr="00A36F30" w14:paraId="52A90B68" w14:textId="77777777" w:rsidTr="002B5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0FDE1BF3" w14:textId="289F5555" w:rsidR="00A36F30" w:rsidRPr="00A36F30" w:rsidRDefault="00A21EA7" w:rsidP="00A36F30">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 xml:space="preserve">Unione Montana del </w:t>
            </w:r>
            <w:proofErr w:type="spellStart"/>
            <w:r>
              <w:rPr>
                <w:rFonts w:ascii="Calibri Light" w:eastAsia="Times New Roman" w:hAnsi="Calibri Light" w:cs="Calibri Light"/>
                <w:color w:val="FFFFFF"/>
                <w:lang w:eastAsia="it-IT"/>
              </w:rPr>
              <w:t>Catria</w:t>
            </w:r>
            <w:proofErr w:type="spellEnd"/>
            <w:r>
              <w:rPr>
                <w:rFonts w:ascii="Calibri Light" w:eastAsia="Times New Roman" w:hAnsi="Calibri Light" w:cs="Calibri Light"/>
                <w:color w:val="FFFFFF"/>
                <w:lang w:eastAsia="it-IT"/>
              </w:rPr>
              <w:t xml:space="preserve"> e Nerone</w:t>
            </w:r>
          </w:p>
        </w:tc>
        <w:tc>
          <w:tcPr>
            <w:tcW w:w="810" w:type="pct"/>
            <w:vAlign w:val="center"/>
            <w:hideMark/>
          </w:tcPr>
          <w:p w14:paraId="56E2FF42" w14:textId="6A1B698E"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2B551E">
              <w:rPr>
                <w:bCs/>
              </w:rPr>
              <w:t>M7-M21</w:t>
            </w:r>
          </w:p>
        </w:tc>
        <w:tc>
          <w:tcPr>
            <w:tcW w:w="1030" w:type="pct"/>
            <w:vAlign w:val="center"/>
            <w:hideMark/>
          </w:tcPr>
          <w:p w14:paraId="5D6779D7" w14:textId="3F6BA88C" w:rsidR="00A36F30" w:rsidRPr="006375BE" w:rsidRDefault="00AA7465"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Pr>
                <w:bCs/>
              </w:rPr>
              <w:t>55</w:t>
            </w:r>
          </w:p>
        </w:tc>
        <w:tc>
          <w:tcPr>
            <w:tcW w:w="957" w:type="pct"/>
            <w:vAlign w:val="center"/>
            <w:hideMark/>
          </w:tcPr>
          <w:p w14:paraId="65BA1867" w14:textId="10F35CCA"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387378">
              <w:rPr>
                <w:bCs/>
              </w:rPr>
              <w:t>€ 112.674,00</w:t>
            </w:r>
          </w:p>
        </w:tc>
        <w:tc>
          <w:tcPr>
            <w:tcW w:w="1027" w:type="pct"/>
            <w:vAlign w:val="center"/>
            <w:hideMark/>
          </w:tcPr>
          <w:p w14:paraId="2F470574" w14:textId="5F109B3D" w:rsidR="00A36F30" w:rsidRPr="006375BE" w:rsidRDefault="00F869A2"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Pr>
                <w:bCs/>
              </w:rPr>
              <w:t>Come previsto dalle</w:t>
            </w:r>
            <w:r w:rsidRPr="00F869A2">
              <w:rPr>
                <w:bCs/>
              </w:rPr>
              <w:t xml:space="preserve"> linee guida del PON-GOV 2014-2020, </w:t>
            </w:r>
            <w:r>
              <w:rPr>
                <w:bCs/>
              </w:rPr>
              <w:t xml:space="preserve">i costi per l’acquisizione di beni e servizi </w:t>
            </w:r>
            <w:r w:rsidRPr="00F869A2">
              <w:rPr>
                <w:bCs/>
              </w:rPr>
              <w:t>sono stati attribuiti all’Ente Capofila</w:t>
            </w:r>
            <w:r w:rsidR="00A36F30" w:rsidRPr="006375BE">
              <w:rPr>
                <w:bCs/>
              </w:rPr>
              <w:t> </w:t>
            </w:r>
          </w:p>
        </w:tc>
      </w:tr>
      <w:tr w:rsidR="00A21EA7" w:rsidRPr="00A36F30" w14:paraId="42947984" w14:textId="77777777" w:rsidTr="002B551E">
        <w:trPr>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3A276D92" w14:textId="2E3E5CFC" w:rsidR="00A36F30" w:rsidRPr="00A36F30" w:rsidRDefault="00A21EA7" w:rsidP="00A36F30">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Unione Montana dell’Esino Frasassi</w:t>
            </w:r>
          </w:p>
        </w:tc>
        <w:tc>
          <w:tcPr>
            <w:tcW w:w="810" w:type="pct"/>
            <w:vAlign w:val="center"/>
            <w:hideMark/>
          </w:tcPr>
          <w:p w14:paraId="15A35D3F" w14:textId="38AD5DCE" w:rsidR="00A36F30" w:rsidRPr="006375BE" w:rsidRDefault="002B551E"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M7-M21</w:t>
            </w:r>
            <w:r w:rsidR="00A36F30" w:rsidRPr="006375BE">
              <w:rPr>
                <w:bCs/>
              </w:rPr>
              <w:t> </w:t>
            </w:r>
          </w:p>
        </w:tc>
        <w:tc>
          <w:tcPr>
            <w:tcW w:w="1030" w:type="pct"/>
            <w:vAlign w:val="center"/>
            <w:hideMark/>
          </w:tcPr>
          <w:p w14:paraId="373D003F" w14:textId="1C04C789" w:rsidR="00A36F30" w:rsidRPr="006375BE" w:rsidRDefault="00AA7465"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16</w:t>
            </w:r>
          </w:p>
        </w:tc>
        <w:tc>
          <w:tcPr>
            <w:tcW w:w="957" w:type="pct"/>
            <w:vAlign w:val="center"/>
            <w:hideMark/>
          </w:tcPr>
          <w:p w14:paraId="3A3F39DE" w14:textId="77777777"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p>
        </w:tc>
        <w:tc>
          <w:tcPr>
            <w:tcW w:w="1027" w:type="pct"/>
            <w:vAlign w:val="center"/>
            <w:hideMark/>
          </w:tcPr>
          <w:p w14:paraId="269BD058" w14:textId="77777777"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p>
        </w:tc>
      </w:tr>
      <w:tr w:rsidR="00A21EA7" w:rsidRPr="00A36F30" w14:paraId="7C3024C7" w14:textId="77777777" w:rsidTr="002B5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5506839C" w14:textId="44FDCAFF" w:rsidR="00A36F30" w:rsidRPr="00A36F30" w:rsidRDefault="00A21EA7" w:rsidP="00A36F30">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 xml:space="preserve">Comune di </w:t>
            </w:r>
            <w:r w:rsidR="00320321">
              <w:rPr>
                <w:rFonts w:ascii="Calibri Light" w:eastAsia="Times New Roman" w:hAnsi="Calibri Light" w:cs="Calibri Light"/>
                <w:color w:val="FFFFFF"/>
                <w:lang w:eastAsia="it-IT"/>
              </w:rPr>
              <w:t>Castel Madama</w:t>
            </w:r>
          </w:p>
        </w:tc>
        <w:tc>
          <w:tcPr>
            <w:tcW w:w="810" w:type="pct"/>
            <w:vAlign w:val="center"/>
            <w:hideMark/>
          </w:tcPr>
          <w:p w14:paraId="75F3DC86" w14:textId="6DF46CEB"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2B551E">
              <w:rPr>
                <w:bCs/>
              </w:rPr>
              <w:t>M7-M21</w:t>
            </w:r>
          </w:p>
        </w:tc>
        <w:tc>
          <w:tcPr>
            <w:tcW w:w="1030" w:type="pct"/>
            <w:vAlign w:val="center"/>
            <w:hideMark/>
          </w:tcPr>
          <w:p w14:paraId="275FED41" w14:textId="0D9225D9"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E760FD">
              <w:rPr>
                <w:bCs/>
              </w:rPr>
              <w:t>3</w:t>
            </w:r>
          </w:p>
        </w:tc>
        <w:tc>
          <w:tcPr>
            <w:tcW w:w="957" w:type="pct"/>
            <w:vAlign w:val="center"/>
            <w:hideMark/>
          </w:tcPr>
          <w:p w14:paraId="261D91BC"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c>
          <w:tcPr>
            <w:tcW w:w="1027" w:type="pct"/>
            <w:vAlign w:val="center"/>
            <w:hideMark/>
          </w:tcPr>
          <w:p w14:paraId="576C98D6"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r>
      <w:tr w:rsidR="0082189A" w:rsidRPr="00A36F30" w14:paraId="56AA2D31" w14:textId="77777777" w:rsidTr="002B551E">
        <w:trPr>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tcPr>
          <w:p w14:paraId="1A2EF3D3" w14:textId="57498BCB" w:rsidR="0082189A" w:rsidRDefault="0082189A" w:rsidP="00A36F30">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Comune di Marino</w:t>
            </w:r>
          </w:p>
        </w:tc>
        <w:tc>
          <w:tcPr>
            <w:tcW w:w="810" w:type="pct"/>
            <w:vAlign w:val="center"/>
          </w:tcPr>
          <w:p w14:paraId="164CB168" w14:textId="5D39C4D8" w:rsidR="0082189A" w:rsidRPr="006375BE" w:rsidRDefault="002B551E"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M7-M21</w:t>
            </w:r>
          </w:p>
        </w:tc>
        <w:tc>
          <w:tcPr>
            <w:tcW w:w="1030" w:type="pct"/>
            <w:vAlign w:val="center"/>
          </w:tcPr>
          <w:p w14:paraId="173EAEC3" w14:textId="70B75D84" w:rsidR="0082189A" w:rsidRPr="006375BE" w:rsidRDefault="00061EBD"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9</w:t>
            </w:r>
          </w:p>
        </w:tc>
        <w:tc>
          <w:tcPr>
            <w:tcW w:w="957" w:type="pct"/>
            <w:vAlign w:val="center"/>
          </w:tcPr>
          <w:p w14:paraId="5AC3295C" w14:textId="77777777" w:rsidR="0082189A" w:rsidRPr="006375BE" w:rsidRDefault="0082189A"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p>
        </w:tc>
        <w:tc>
          <w:tcPr>
            <w:tcW w:w="1027" w:type="pct"/>
            <w:vAlign w:val="center"/>
          </w:tcPr>
          <w:p w14:paraId="0C1682F2" w14:textId="77777777" w:rsidR="0082189A" w:rsidRPr="006375BE" w:rsidRDefault="0082189A"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p>
        </w:tc>
      </w:tr>
      <w:tr w:rsidR="00A21EA7" w:rsidRPr="00A36F30" w14:paraId="60664301" w14:textId="77777777" w:rsidTr="002B5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5DFFDABB" w14:textId="4992F90B" w:rsidR="00A36F30" w:rsidRPr="00A36F30" w:rsidRDefault="00A21EA7" w:rsidP="00A36F30">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 xml:space="preserve">Comune di </w:t>
            </w:r>
            <w:r w:rsidR="006F6313">
              <w:rPr>
                <w:rFonts w:ascii="Calibri Light" w:eastAsia="Times New Roman" w:hAnsi="Calibri Light" w:cs="Calibri Light"/>
                <w:color w:val="FFFFFF"/>
                <w:lang w:eastAsia="it-IT"/>
              </w:rPr>
              <w:t>Maiolati Spontini</w:t>
            </w:r>
          </w:p>
        </w:tc>
        <w:tc>
          <w:tcPr>
            <w:tcW w:w="810" w:type="pct"/>
            <w:vAlign w:val="center"/>
            <w:hideMark/>
          </w:tcPr>
          <w:p w14:paraId="3B771C43" w14:textId="0C417454"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2B551E">
              <w:rPr>
                <w:bCs/>
              </w:rPr>
              <w:t>M7-M21</w:t>
            </w:r>
          </w:p>
        </w:tc>
        <w:tc>
          <w:tcPr>
            <w:tcW w:w="1030" w:type="pct"/>
            <w:vAlign w:val="center"/>
            <w:hideMark/>
          </w:tcPr>
          <w:p w14:paraId="6384187E" w14:textId="67E66A8A"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E760FD">
              <w:rPr>
                <w:bCs/>
              </w:rPr>
              <w:t>31</w:t>
            </w:r>
          </w:p>
        </w:tc>
        <w:tc>
          <w:tcPr>
            <w:tcW w:w="957" w:type="pct"/>
            <w:vAlign w:val="center"/>
            <w:hideMark/>
          </w:tcPr>
          <w:p w14:paraId="5DAC9807"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c>
          <w:tcPr>
            <w:tcW w:w="1027" w:type="pct"/>
            <w:vAlign w:val="center"/>
            <w:hideMark/>
          </w:tcPr>
          <w:p w14:paraId="415120DB"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r>
      <w:tr w:rsidR="00A21EA7" w:rsidRPr="00A36F30" w14:paraId="4DFD33E8" w14:textId="77777777" w:rsidTr="002B551E">
        <w:trPr>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4E256836" w14:textId="3FD75FB7" w:rsidR="00A36F30" w:rsidRPr="00A36F30" w:rsidRDefault="00A21EA7" w:rsidP="00A36F30">
            <w:pPr>
              <w:rPr>
                <w:rFonts w:ascii="Calibri Light" w:eastAsia="Times New Roman" w:hAnsi="Calibri Light" w:cs="Calibri Light"/>
                <w:lang w:eastAsia="it-IT"/>
              </w:rPr>
            </w:pPr>
            <w:r w:rsidRPr="00A21EA7">
              <w:rPr>
                <w:rFonts w:ascii="Calibri Light" w:eastAsia="Times New Roman" w:hAnsi="Calibri Light" w:cs="Calibri Light"/>
                <w:lang w:eastAsia="it-IT"/>
              </w:rPr>
              <w:t>Comune di Gioia del Colle</w:t>
            </w:r>
          </w:p>
        </w:tc>
        <w:tc>
          <w:tcPr>
            <w:tcW w:w="810" w:type="pct"/>
            <w:vAlign w:val="center"/>
            <w:hideMark/>
          </w:tcPr>
          <w:p w14:paraId="0C1BBA36" w14:textId="46187688"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r w:rsidR="002B551E">
              <w:rPr>
                <w:bCs/>
              </w:rPr>
              <w:t>M7-M21</w:t>
            </w:r>
          </w:p>
        </w:tc>
        <w:tc>
          <w:tcPr>
            <w:tcW w:w="1030" w:type="pct"/>
            <w:vAlign w:val="center"/>
            <w:hideMark/>
          </w:tcPr>
          <w:p w14:paraId="1EC34DE3" w14:textId="1E94C256"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r w:rsidR="001A6A10">
              <w:rPr>
                <w:bCs/>
              </w:rPr>
              <w:t>12</w:t>
            </w:r>
          </w:p>
        </w:tc>
        <w:tc>
          <w:tcPr>
            <w:tcW w:w="957" w:type="pct"/>
            <w:vAlign w:val="center"/>
            <w:hideMark/>
          </w:tcPr>
          <w:p w14:paraId="458FADA5" w14:textId="77777777"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p>
        </w:tc>
        <w:tc>
          <w:tcPr>
            <w:tcW w:w="1027" w:type="pct"/>
            <w:vAlign w:val="center"/>
            <w:hideMark/>
          </w:tcPr>
          <w:p w14:paraId="340564EA" w14:textId="77777777" w:rsidR="00A36F30" w:rsidRPr="006375BE" w:rsidRDefault="00A36F3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sidRPr="006375BE">
              <w:rPr>
                <w:bCs/>
              </w:rPr>
              <w:t> </w:t>
            </w:r>
          </w:p>
        </w:tc>
      </w:tr>
      <w:tr w:rsidR="00A21EA7" w:rsidRPr="00A36F30" w14:paraId="6D85E4E2" w14:textId="77777777" w:rsidTr="002B5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05BD2F64" w14:textId="17E2583A" w:rsidR="00A36F30" w:rsidRPr="00A36F30" w:rsidRDefault="00A21EA7" w:rsidP="00A36F30">
            <w:pPr>
              <w:rPr>
                <w:rFonts w:ascii="Calibri Light" w:eastAsia="Times New Roman" w:hAnsi="Calibri Light" w:cs="Calibri Light"/>
                <w:lang w:eastAsia="it-IT"/>
              </w:rPr>
            </w:pPr>
            <w:r w:rsidRPr="00A21EA7">
              <w:rPr>
                <w:rFonts w:ascii="Calibri Light" w:eastAsia="Times New Roman" w:hAnsi="Calibri Light" w:cs="Calibri Light"/>
                <w:lang w:eastAsia="it-IT"/>
              </w:rPr>
              <w:t>Comune di Castiglione</w:t>
            </w:r>
            <w:r w:rsidR="00256072">
              <w:rPr>
                <w:rFonts w:ascii="Calibri Light" w:eastAsia="Times New Roman" w:hAnsi="Calibri Light" w:cs="Calibri Light"/>
                <w:lang w:eastAsia="it-IT"/>
              </w:rPr>
              <w:t xml:space="preserve"> del Lago</w:t>
            </w:r>
          </w:p>
        </w:tc>
        <w:tc>
          <w:tcPr>
            <w:tcW w:w="810" w:type="pct"/>
            <w:vAlign w:val="center"/>
            <w:hideMark/>
          </w:tcPr>
          <w:p w14:paraId="45CFB637" w14:textId="33882C34"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2B551E">
              <w:rPr>
                <w:bCs/>
              </w:rPr>
              <w:t>M7-M21</w:t>
            </w:r>
          </w:p>
        </w:tc>
        <w:tc>
          <w:tcPr>
            <w:tcW w:w="1030" w:type="pct"/>
            <w:vAlign w:val="center"/>
            <w:hideMark/>
          </w:tcPr>
          <w:p w14:paraId="4C8E403C" w14:textId="0E2A91C5"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r w:rsidR="00344389">
              <w:rPr>
                <w:bCs/>
              </w:rPr>
              <w:t>16</w:t>
            </w:r>
          </w:p>
        </w:tc>
        <w:tc>
          <w:tcPr>
            <w:tcW w:w="957" w:type="pct"/>
            <w:vAlign w:val="center"/>
            <w:hideMark/>
          </w:tcPr>
          <w:p w14:paraId="084318FD"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c>
          <w:tcPr>
            <w:tcW w:w="1027" w:type="pct"/>
            <w:vAlign w:val="center"/>
            <w:hideMark/>
          </w:tcPr>
          <w:p w14:paraId="11225790" w14:textId="77777777" w:rsidR="00A36F30" w:rsidRPr="006375BE" w:rsidRDefault="00A36F30" w:rsidP="006375BE">
            <w:pPr>
              <w:keepNext/>
              <w:keepLines/>
              <w:widowControl w:val="0"/>
              <w:jc w:val="center"/>
              <w:cnfStyle w:val="000000100000" w:firstRow="0" w:lastRow="0" w:firstColumn="0" w:lastColumn="0" w:oddVBand="0" w:evenVBand="0" w:oddHBand="1" w:evenHBand="0" w:firstRowFirstColumn="0" w:firstRowLastColumn="0" w:lastRowFirstColumn="0" w:lastRowLastColumn="0"/>
              <w:rPr>
                <w:bCs/>
              </w:rPr>
            </w:pPr>
            <w:r w:rsidRPr="006375BE">
              <w:rPr>
                <w:bCs/>
              </w:rPr>
              <w:t> </w:t>
            </w:r>
          </w:p>
        </w:tc>
      </w:tr>
      <w:tr w:rsidR="00A21EA7" w:rsidRPr="00A36F30" w14:paraId="2EF07D38" w14:textId="77777777" w:rsidTr="002B551E">
        <w:trPr>
          <w:trHeight w:val="300"/>
        </w:trPr>
        <w:tc>
          <w:tcPr>
            <w:cnfStyle w:val="001000000000" w:firstRow="0" w:lastRow="0" w:firstColumn="1" w:lastColumn="0" w:oddVBand="0" w:evenVBand="0" w:oddHBand="0" w:evenHBand="0" w:firstRowFirstColumn="0" w:firstRowLastColumn="0" w:lastRowFirstColumn="0" w:lastRowLastColumn="0"/>
            <w:tcW w:w="1176" w:type="pct"/>
            <w:vAlign w:val="center"/>
          </w:tcPr>
          <w:p w14:paraId="13712CC7" w14:textId="45A1065B" w:rsidR="00A21EA7" w:rsidRPr="00A21EA7" w:rsidRDefault="00A21EA7" w:rsidP="00A36F30">
            <w:pPr>
              <w:rPr>
                <w:rFonts w:ascii="Calibri Light" w:eastAsia="Times New Roman" w:hAnsi="Calibri Light" w:cs="Calibri Light"/>
                <w:lang w:eastAsia="it-IT"/>
              </w:rPr>
            </w:pPr>
            <w:r w:rsidRPr="00A21EA7">
              <w:rPr>
                <w:rFonts w:ascii="Calibri Light" w:eastAsia="Times New Roman" w:hAnsi="Calibri Light" w:cs="Calibri Light"/>
                <w:lang w:eastAsia="it-IT"/>
              </w:rPr>
              <w:t>Comune di Caserta</w:t>
            </w:r>
          </w:p>
        </w:tc>
        <w:tc>
          <w:tcPr>
            <w:tcW w:w="810" w:type="pct"/>
            <w:vAlign w:val="center"/>
          </w:tcPr>
          <w:p w14:paraId="77CF940C" w14:textId="0A1496D8" w:rsidR="00A21EA7" w:rsidRPr="006375BE" w:rsidRDefault="002B551E"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M7-M21</w:t>
            </w:r>
          </w:p>
        </w:tc>
        <w:tc>
          <w:tcPr>
            <w:tcW w:w="1030" w:type="pct"/>
            <w:vAlign w:val="center"/>
          </w:tcPr>
          <w:p w14:paraId="716F94AE" w14:textId="53C3F442" w:rsidR="00A21EA7" w:rsidRPr="006375BE" w:rsidRDefault="001A6A10"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32</w:t>
            </w:r>
          </w:p>
        </w:tc>
        <w:tc>
          <w:tcPr>
            <w:tcW w:w="957" w:type="pct"/>
            <w:vAlign w:val="center"/>
          </w:tcPr>
          <w:p w14:paraId="60A7CF05" w14:textId="77777777" w:rsidR="00A21EA7" w:rsidRPr="006375BE" w:rsidRDefault="00A21EA7"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p>
        </w:tc>
        <w:tc>
          <w:tcPr>
            <w:tcW w:w="1027" w:type="pct"/>
            <w:vAlign w:val="center"/>
          </w:tcPr>
          <w:p w14:paraId="20BDDDBE" w14:textId="77777777" w:rsidR="00A21EA7" w:rsidRPr="006375BE" w:rsidRDefault="00A21EA7" w:rsidP="006375BE">
            <w:pPr>
              <w:keepNext/>
              <w:keepLines/>
              <w:widowControl w:val="0"/>
              <w:jc w:val="center"/>
              <w:cnfStyle w:val="000000000000" w:firstRow="0" w:lastRow="0" w:firstColumn="0" w:lastColumn="0" w:oddVBand="0" w:evenVBand="0" w:oddHBand="0" w:evenHBand="0" w:firstRowFirstColumn="0" w:firstRowLastColumn="0" w:lastRowFirstColumn="0" w:lastRowLastColumn="0"/>
              <w:rPr>
                <w:bCs/>
              </w:rPr>
            </w:pPr>
          </w:p>
        </w:tc>
      </w:tr>
    </w:tbl>
    <w:p w14:paraId="5131FB99" w14:textId="2EEA5BDF" w:rsidR="00A36F30" w:rsidRDefault="00A36F30" w:rsidP="00D93D20"/>
    <w:p w14:paraId="2B1BE072" w14:textId="77777777" w:rsidR="007101C1" w:rsidRDefault="007101C1" w:rsidP="00D93D20">
      <w:pPr>
        <w:pStyle w:val="Titolo1"/>
      </w:pPr>
      <w:bookmarkStart w:id="5" w:name="_Toc271387"/>
      <w:bookmarkStart w:id="6" w:name="_Toc84339492"/>
      <w:r>
        <w:t>Ambito organizzativo</w:t>
      </w:r>
      <w:bookmarkEnd w:id="5"/>
      <w:bookmarkEnd w:id="6"/>
    </w:p>
    <w:p w14:paraId="677E45E3" w14:textId="710D05A1" w:rsidR="007101C1" w:rsidRDefault="007101C1" w:rsidP="00D93D20">
      <w:pPr>
        <w:pStyle w:val="Titolo2"/>
      </w:pPr>
      <w:bookmarkStart w:id="7" w:name="_Toc271388"/>
      <w:bookmarkStart w:id="8" w:name="_Toc84339493"/>
      <w:r w:rsidRPr="009D38E8">
        <w:t>A2. Elenco dei fattori organizzativi interni ed esterni</w:t>
      </w:r>
      <w:bookmarkEnd w:id="7"/>
      <w:bookmarkEnd w:id="8"/>
    </w:p>
    <w:p w14:paraId="5E051DE7" w14:textId="77777777" w:rsidR="00CF7FCB" w:rsidRDefault="00F46384" w:rsidP="00F46384">
      <w:r>
        <w:t>La seguente tabella riepiloga i fattori critici rilevanti, evidenziando come questi impattano sul processo di riuso, in termini qualitativi e, ove possibile e applicabile, in termini quantitativi (impatti sulla soddisfazione dell’utenza; impatti sull’efficienza dei processi; diminuzione dei tempi o dei costi di progetto, etc.).</w:t>
      </w:r>
    </w:p>
    <w:p w14:paraId="782DE4F2" w14:textId="230C1B9E" w:rsidR="00F46384" w:rsidRDefault="00F46384" w:rsidP="00F46384">
      <w:r>
        <w:t xml:space="preserve">Questa tabella </w:t>
      </w:r>
      <w:r w:rsidR="00A739F3">
        <w:t>sarà</w:t>
      </w:r>
      <w:r w:rsidR="00CF7FCB">
        <w:t xml:space="preserve"> utilizzata nella redazione della Gap Analysis</w:t>
      </w:r>
      <w:r w:rsidR="00A739F3">
        <w:t>, punto di partenza per la predisposizione del Piano di trasferimento della buona pratica</w:t>
      </w:r>
      <w:r>
        <w:t>.</w:t>
      </w:r>
    </w:p>
    <w:p w14:paraId="5AC05770" w14:textId="4745940F" w:rsidR="00A67DCA" w:rsidRDefault="00F46384" w:rsidP="00F46384">
      <w:r>
        <w:t>Per i fattori che costituiscono una potenziale fonte di rallentamento o fallimento nell’adozione della buona pratica, si forniscono suggerimenti o strategie per superarli o almeno compensarli.</w:t>
      </w:r>
    </w:p>
    <w:p w14:paraId="04D159FD" w14:textId="58EF7171" w:rsidR="00A67DCA" w:rsidRDefault="00A67DCA" w:rsidP="00F46384"/>
    <w:p w14:paraId="74DFECE4" w14:textId="4D8FD5CC" w:rsidR="00F869A2" w:rsidRDefault="00F869A2" w:rsidP="00F46384"/>
    <w:p w14:paraId="2209CD66" w14:textId="6D19972C" w:rsidR="00F869A2" w:rsidRDefault="00F869A2" w:rsidP="00F46384"/>
    <w:p w14:paraId="09C95A04" w14:textId="77777777" w:rsidR="00F869A2" w:rsidRPr="00F46384" w:rsidRDefault="00F869A2" w:rsidP="00F46384"/>
    <w:tbl>
      <w:tblPr>
        <w:tblStyle w:val="Tabellagriglia5scura-colore1"/>
        <w:tblW w:w="5000" w:type="pct"/>
        <w:tblLook w:val="04A0" w:firstRow="1" w:lastRow="0" w:firstColumn="1" w:lastColumn="0" w:noHBand="0" w:noVBand="1"/>
      </w:tblPr>
      <w:tblGrid>
        <w:gridCol w:w="2265"/>
        <w:gridCol w:w="1417"/>
        <w:gridCol w:w="3543"/>
        <w:gridCol w:w="2403"/>
      </w:tblGrid>
      <w:tr w:rsidR="001C47B4" w:rsidRPr="00A21EA7" w14:paraId="724A5CDB" w14:textId="0292C3CA" w:rsidTr="007D66A0">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176" w:type="pct"/>
            <w:vAlign w:val="center"/>
            <w:hideMark/>
          </w:tcPr>
          <w:p w14:paraId="53FB4DC3" w14:textId="67800D71" w:rsidR="001C47B4" w:rsidRPr="00A36F30" w:rsidRDefault="001C47B4" w:rsidP="00361AF9">
            <w:pPr>
              <w:rPr>
                <w:rFonts w:ascii="Calibri Light" w:eastAsia="Times New Roman" w:hAnsi="Calibri Light" w:cs="Calibri Light"/>
                <w:lang w:eastAsia="it-IT"/>
              </w:rPr>
            </w:pPr>
            <w:r>
              <w:rPr>
                <w:rFonts w:ascii="Calibri Light" w:eastAsia="Times New Roman" w:hAnsi="Calibri Light" w:cs="Calibri Light"/>
                <w:lang w:eastAsia="it-IT"/>
              </w:rPr>
              <w:lastRenderedPageBreak/>
              <w:t>Fattori</w:t>
            </w:r>
          </w:p>
        </w:tc>
        <w:tc>
          <w:tcPr>
            <w:tcW w:w="736" w:type="pct"/>
            <w:vAlign w:val="center"/>
            <w:hideMark/>
          </w:tcPr>
          <w:p w14:paraId="6AE32035" w14:textId="6689289D" w:rsidR="001C47B4" w:rsidRPr="00A36F30" w:rsidRDefault="001C47B4" w:rsidP="00361AF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Pr>
                <w:rFonts w:ascii="Calibri Light" w:eastAsia="Times New Roman" w:hAnsi="Calibri Light" w:cs="Calibri Light"/>
                <w:lang w:eastAsia="it-IT"/>
              </w:rPr>
              <w:t>Tipologia</w:t>
            </w:r>
          </w:p>
        </w:tc>
        <w:tc>
          <w:tcPr>
            <w:tcW w:w="1840" w:type="pct"/>
            <w:vAlign w:val="center"/>
            <w:hideMark/>
          </w:tcPr>
          <w:p w14:paraId="26578073" w14:textId="18D04DFE" w:rsidR="001C47B4" w:rsidRPr="00A36F30" w:rsidRDefault="001C47B4" w:rsidP="00361AF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Pr>
                <w:rFonts w:ascii="Calibri Light" w:eastAsia="Times New Roman" w:hAnsi="Calibri Light" w:cs="Calibri Light"/>
                <w:lang w:eastAsia="it-IT"/>
              </w:rPr>
              <w:t>Impatto</w:t>
            </w:r>
          </w:p>
        </w:tc>
        <w:tc>
          <w:tcPr>
            <w:tcW w:w="1248" w:type="pct"/>
          </w:tcPr>
          <w:p w14:paraId="1A1404F1" w14:textId="5BEAA2CD" w:rsidR="001C47B4" w:rsidRDefault="001C47B4" w:rsidP="00361AF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Pr>
                <w:rFonts w:ascii="Calibri Light" w:eastAsia="Times New Roman" w:hAnsi="Calibri Light" w:cs="Calibri Light"/>
                <w:lang w:eastAsia="it-IT"/>
              </w:rPr>
              <w:t>Possibili strategie di compensazione</w:t>
            </w:r>
          </w:p>
        </w:tc>
      </w:tr>
      <w:tr w:rsidR="001C47B4" w:rsidRPr="00A36F30" w14:paraId="7E1E82E2" w14:textId="066BE4D7" w:rsidTr="007D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hideMark/>
          </w:tcPr>
          <w:p w14:paraId="29D92975" w14:textId="4821C8E0" w:rsidR="001C47B4" w:rsidRPr="00A36F30" w:rsidRDefault="001C47B4" w:rsidP="00361AF9">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Dimensione Ente</w:t>
            </w:r>
          </w:p>
        </w:tc>
        <w:tc>
          <w:tcPr>
            <w:tcW w:w="736" w:type="pct"/>
            <w:hideMark/>
          </w:tcPr>
          <w:p w14:paraId="0B183690" w14:textId="4582FEA6" w:rsidR="001C47B4" w:rsidRPr="00A36F30" w:rsidRDefault="00415B21" w:rsidP="00415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415B21">
              <w:rPr>
                <w:rFonts w:ascii="Calibri" w:eastAsia="Times New Roman" w:hAnsi="Calibri" w:cs="Calibri"/>
                <w:color w:val="000000"/>
                <w:lang w:eastAsia="it-IT"/>
              </w:rPr>
              <w:t>Interno</w:t>
            </w:r>
          </w:p>
        </w:tc>
        <w:tc>
          <w:tcPr>
            <w:tcW w:w="1840" w:type="pct"/>
            <w:hideMark/>
          </w:tcPr>
          <w:p w14:paraId="3AF1E99C" w14:textId="268D2C45" w:rsidR="001C47B4" w:rsidRPr="00A36F30" w:rsidRDefault="00B442F9"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Incremento tempi e costi (maggiore è la dimensione dell’ente, maggiore è la sua complessità organizzativa)</w:t>
            </w:r>
          </w:p>
        </w:tc>
        <w:tc>
          <w:tcPr>
            <w:tcW w:w="1248" w:type="pct"/>
          </w:tcPr>
          <w:p w14:paraId="5C398A82" w14:textId="70DB4258" w:rsidR="001C47B4" w:rsidRPr="00415B21" w:rsidRDefault="00B442F9"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 xml:space="preserve">Supporto </w:t>
            </w:r>
            <w:r w:rsidR="007D66A0">
              <w:rPr>
                <w:rFonts w:ascii="Calibri" w:eastAsia="Times New Roman" w:hAnsi="Calibri" w:cs="Calibri"/>
                <w:color w:val="000000"/>
                <w:lang w:eastAsia="it-IT"/>
              </w:rPr>
              <w:t>esterno per il recupero delle informazioni</w:t>
            </w:r>
          </w:p>
        </w:tc>
      </w:tr>
      <w:tr w:rsidR="00013AC4" w:rsidRPr="00A36F30" w14:paraId="5006245C" w14:textId="77777777" w:rsidTr="007D66A0">
        <w:trPr>
          <w:trHeight w:val="300"/>
        </w:trPr>
        <w:tc>
          <w:tcPr>
            <w:cnfStyle w:val="001000000000" w:firstRow="0" w:lastRow="0" w:firstColumn="1" w:lastColumn="0" w:oddVBand="0" w:evenVBand="0" w:oddHBand="0" w:evenHBand="0" w:firstRowFirstColumn="0" w:firstRowLastColumn="0" w:lastRowFirstColumn="0" w:lastRowLastColumn="0"/>
            <w:tcW w:w="1176" w:type="pct"/>
          </w:tcPr>
          <w:p w14:paraId="4051A62B" w14:textId="1DA7BA72" w:rsidR="00013AC4" w:rsidRDefault="00013AC4" w:rsidP="00361AF9">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Tipologia di Ente</w:t>
            </w:r>
          </w:p>
        </w:tc>
        <w:tc>
          <w:tcPr>
            <w:tcW w:w="736" w:type="pct"/>
          </w:tcPr>
          <w:p w14:paraId="1760854F" w14:textId="44C1E258" w:rsidR="00013AC4" w:rsidRPr="00415B21" w:rsidRDefault="00013AC4" w:rsidP="00415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415B21">
              <w:rPr>
                <w:rFonts w:ascii="Calibri" w:eastAsia="Times New Roman" w:hAnsi="Calibri" w:cs="Calibri"/>
                <w:color w:val="000000"/>
                <w:lang w:eastAsia="it-IT"/>
              </w:rPr>
              <w:t>Interno</w:t>
            </w:r>
          </w:p>
        </w:tc>
        <w:tc>
          <w:tcPr>
            <w:tcW w:w="1840" w:type="pct"/>
          </w:tcPr>
          <w:p w14:paraId="6CE6D853" w14:textId="02FDC4CA" w:rsidR="00013AC4" w:rsidRDefault="0093693B" w:rsidP="00361A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Incremento di costi e tempi a fronte di una complessità organizzativa maggiore</w:t>
            </w:r>
          </w:p>
        </w:tc>
        <w:tc>
          <w:tcPr>
            <w:tcW w:w="1248" w:type="pct"/>
          </w:tcPr>
          <w:p w14:paraId="6F05E3EE" w14:textId="4838DD8D" w:rsidR="00013AC4" w:rsidRDefault="0093693B" w:rsidP="00361A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Supporto esterno per il recupero delle informazioni</w:t>
            </w:r>
          </w:p>
        </w:tc>
      </w:tr>
      <w:tr w:rsidR="00013AC4" w:rsidRPr="00A36F30" w14:paraId="6B779D62" w14:textId="140D1F1E" w:rsidTr="007D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hideMark/>
          </w:tcPr>
          <w:p w14:paraId="7390166E" w14:textId="1303DCE0" w:rsidR="001C47B4" w:rsidRPr="00A36F30" w:rsidRDefault="001C47B4" w:rsidP="00361AF9">
            <w:pPr>
              <w:rPr>
                <w:rFonts w:ascii="Calibri Light" w:eastAsia="Times New Roman" w:hAnsi="Calibri Light" w:cs="Calibri Light"/>
                <w:color w:val="FFFFFF"/>
                <w:lang w:eastAsia="it-IT"/>
              </w:rPr>
            </w:pPr>
            <w:r w:rsidRPr="001C47B4">
              <w:rPr>
                <w:rFonts w:ascii="Calibri Light" w:eastAsia="Times New Roman" w:hAnsi="Calibri Light" w:cs="Calibri Light"/>
                <w:color w:val="FFFFFF"/>
                <w:lang w:eastAsia="it-IT"/>
              </w:rPr>
              <w:t>Presenza Ufficio Patrimonio</w:t>
            </w:r>
          </w:p>
        </w:tc>
        <w:tc>
          <w:tcPr>
            <w:tcW w:w="736" w:type="pct"/>
            <w:hideMark/>
          </w:tcPr>
          <w:p w14:paraId="79B95D63" w14:textId="5AFA90F7" w:rsidR="001C47B4" w:rsidRPr="00A36F30" w:rsidRDefault="00415B21" w:rsidP="00415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415B21">
              <w:rPr>
                <w:rFonts w:ascii="Calibri" w:eastAsia="Times New Roman" w:hAnsi="Calibri" w:cs="Calibri"/>
                <w:color w:val="000000"/>
                <w:lang w:eastAsia="it-IT"/>
              </w:rPr>
              <w:t>Interno</w:t>
            </w:r>
          </w:p>
        </w:tc>
        <w:tc>
          <w:tcPr>
            <w:tcW w:w="1840" w:type="pct"/>
            <w:hideMark/>
          </w:tcPr>
          <w:p w14:paraId="5740A0AA" w14:textId="5FB6A41C" w:rsidR="001C47B4" w:rsidRPr="00A36F30" w:rsidRDefault="001C47B4"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36F30">
              <w:rPr>
                <w:rFonts w:ascii="Calibri" w:eastAsia="Times New Roman" w:hAnsi="Calibri" w:cs="Calibri"/>
                <w:color w:val="000000"/>
                <w:lang w:eastAsia="it-IT"/>
              </w:rPr>
              <w:t> </w:t>
            </w:r>
            <w:r w:rsidR="00415B21" w:rsidRPr="00415B21">
              <w:rPr>
                <w:rFonts w:ascii="Calibri" w:eastAsia="Times New Roman" w:hAnsi="Calibri" w:cs="Calibri"/>
                <w:color w:val="000000"/>
                <w:lang w:eastAsia="it-IT"/>
              </w:rPr>
              <w:t>Diminuzione tempi e costi</w:t>
            </w:r>
          </w:p>
        </w:tc>
        <w:tc>
          <w:tcPr>
            <w:tcW w:w="1248" w:type="pct"/>
          </w:tcPr>
          <w:p w14:paraId="7BF1AA6A" w14:textId="77777777" w:rsidR="001C47B4" w:rsidRPr="00415B21" w:rsidRDefault="001C47B4"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013AC4" w:rsidRPr="00A36F30" w14:paraId="56CF73FA" w14:textId="1D44E213" w:rsidTr="007D66A0">
        <w:trPr>
          <w:trHeight w:val="300"/>
        </w:trPr>
        <w:tc>
          <w:tcPr>
            <w:cnfStyle w:val="001000000000" w:firstRow="0" w:lastRow="0" w:firstColumn="1" w:lastColumn="0" w:oddVBand="0" w:evenVBand="0" w:oddHBand="0" w:evenHBand="0" w:firstRowFirstColumn="0" w:firstRowLastColumn="0" w:lastRowFirstColumn="0" w:lastRowLastColumn="0"/>
            <w:tcW w:w="1176" w:type="pct"/>
            <w:hideMark/>
          </w:tcPr>
          <w:p w14:paraId="66DDB162" w14:textId="7018C021" w:rsidR="001C47B4" w:rsidRPr="00A36F30" w:rsidRDefault="001620A4" w:rsidP="00361AF9">
            <w:pPr>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Carenza di c</w:t>
            </w:r>
            <w:r w:rsidR="00B61D1C">
              <w:rPr>
                <w:rFonts w:ascii="Calibri Light" w:eastAsia="Times New Roman" w:hAnsi="Calibri Light" w:cs="Calibri Light"/>
                <w:color w:val="FFFFFF"/>
                <w:lang w:eastAsia="it-IT"/>
              </w:rPr>
              <w:t>ompetenze di base</w:t>
            </w:r>
          </w:p>
        </w:tc>
        <w:tc>
          <w:tcPr>
            <w:tcW w:w="736" w:type="pct"/>
            <w:hideMark/>
          </w:tcPr>
          <w:p w14:paraId="61EAF54F" w14:textId="3C43C03C" w:rsidR="001C47B4" w:rsidRPr="00A36F30" w:rsidRDefault="00415B21" w:rsidP="00415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Interno</w:t>
            </w:r>
          </w:p>
        </w:tc>
        <w:tc>
          <w:tcPr>
            <w:tcW w:w="1840" w:type="pct"/>
            <w:hideMark/>
          </w:tcPr>
          <w:p w14:paraId="0DD1C972" w14:textId="076238FA" w:rsidR="001C47B4" w:rsidRPr="00A36F30" w:rsidRDefault="001C47B4" w:rsidP="00361A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36F30">
              <w:rPr>
                <w:rFonts w:ascii="Calibri" w:eastAsia="Times New Roman" w:hAnsi="Calibri" w:cs="Calibri"/>
                <w:color w:val="000000"/>
                <w:lang w:eastAsia="it-IT"/>
              </w:rPr>
              <w:t> </w:t>
            </w:r>
            <w:r w:rsidR="001620A4">
              <w:rPr>
                <w:rFonts w:ascii="Calibri" w:eastAsia="Times New Roman" w:hAnsi="Calibri" w:cs="Calibri"/>
                <w:color w:val="000000"/>
                <w:lang w:eastAsia="it-IT"/>
              </w:rPr>
              <w:t>Incremento tempi e costi</w:t>
            </w:r>
          </w:p>
        </w:tc>
        <w:tc>
          <w:tcPr>
            <w:tcW w:w="1248" w:type="pct"/>
          </w:tcPr>
          <w:p w14:paraId="023B4598" w14:textId="674D9247" w:rsidR="001C47B4" w:rsidRPr="00415B21" w:rsidRDefault="001620A4" w:rsidP="00361A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 xml:space="preserve">Supporto </w:t>
            </w:r>
            <w:r w:rsidR="004553ED">
              <w:rPr>
                <w:rFonts w:ascii="Calibri" w:eastAsia="Times New Roman" w:hAnsi="Calibri" w:cs="Calibri"/>
                <w:color w:val="000000"/>
                <w:lang w:eastAsia="it-IT"/>
              </w:rPr>
              <w:t>esterno in attività di tutoraggio</w:t>
            </w:r>
          </w:p>
        </w:tc>
      </w:tr>
      <w:tr w:rsidR="00013AC4" w:rsidRPr="00A36F30" w14:paraId="238A10EB" w14:textId="707A889E" w:rsidTr="007D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6" w:type="pct"/>
          </w:tcPr>
          <w:p w14:paraId="6FA12512" w14:textId="7CC5FF53" w:rsidR="001C47B4" w:rsidRPr="00A36F30" w:rsidRDefault="00415B21" w:rsidP="00361AF9">
            <w:pPr>
              <w:rPr>
                <w:rFonts w:ascii="Calibri Light" w:eastAsia="Times New Roman" w:hAnsi="Calibri Light" w:cs="Calibri Light"/>
                <w:color w:val="FFFFFF"/>
                <w:lang w:eastAsia="it-IT"/>
              </w:rPr>
            </w:pPr>
            <w:proofErr w:type="gramStart"/>
            <w:r>
              <w:rPr>
                <w:rFonts w:ascii="Calibri Light" w:eastAsia="Times New Roman" w:hAnsi="Calibri Light" w:cs="Calibri Light"/>
                <w:color w:val="FFFFFF"/>
                <w:lang w:eastAsia="it-IT"/>
              </w:rPr>
              <w:t>Team interdisciplinare</w:t>
            </w:r>
            <w:proofErr w:type="gramEnd"/>
          </w:p>
        </w:tc>
        <w:tc>
          <w:tcPr>
            <w:tcW w:w="736" w:type="pct"/>
            <w:hideMark/>
          </w:tcPr>
          <w:p w14:paraId="141808EC" w14:textId="30EDD6A6" w:rsidR="001C47B4" w:rsidRPr="00A36F30" w:rsidRDefault="00415B21" w:rsidP="00415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Interno</w:t>
            </w:r>
          </w:p>
        </w:tc>
        <w:tc>
          <w:tcPr>
            <w:tcW w:w="1840" w:type="pct"/>
            <w:hideMark/>
          </w:tcPr>
          <w:p w14:paraId="791AF011" w14:textId="32D3A0C3" w:rsidR="001C47B4" w:rsidRPr="00A36F30" w:rsidRDefault="001C47B4"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36F30">
              <w:rPr>
                <w:rFonts w:ascii="Calibri" w:eastAsia="Times New Roman" w:hAnsi="Calibri" w:cs="Calibri"/>
                <w:color w:val="000000"/>
                <w:lang w:eastAsia="it-IT"/>
              </w:rPr>
              <w:t> </w:t>
            </w:r>
            <w:r w:rsidR="00502066">
              <w:rPr>
                <w:rFonts w:ascii="Calibri" w:eastAsia="Times New Roman" w:hAnsi="Calibri" w:cs="Calibri"/>
                <w:color w:val="000000"/>
                <w:lang w:eastAsia="it-IT"/>
              </w:rPr>
              <w:t>Diminuzione di tempi e costi</w:t>
            </w:r>
          </w:p>
        </w:tc>
        <w:tc>
          <w:tcPr>
            <w:tcW w:w="1248" w:type="pct"/>
          </w:tcPr>
          <w:p w14:paraId="15E54265" w14:textId="77777777" w:rsidR="001C47B4" w:rsidRPr="00415B21" w:rsidRDefault="001C47B4" w:rsidP="00361A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bl>
    <w:p w14:paraId="546D00A4" w14:textId="77777777" w:rsidR="007632F4" w:rsidRPr="007632F4" w:rsidRDefault="007632F4" w:rsidP="00D93D20"/>
    <w:p w14:paraId="4730C249" w14:textId="7D984140" w:rsidR="007101C1" w:rsidRDefault="007101C1" w:rsidP="00D93D20">
      <w:pPr>
        <w:pStyle w:val="Titolo1"/>
      </w:pPr>
      <w:bookmarkStart w:id="9" w:name="_Toc271389"/>
      <w:bookmarkStart w:id="10" w:name="_Toc84339494"/>
      <w:r>
        <w:t>Ambito tecnologico</w:t>
      </w:r>
      <w:bookmarkEnd w:id="9"/>
      <w:bookmarkEnd w:id="10"/>
    </w:p>
    <w:p w14:paraId="1FBD7877" w14:textId="77777777" w:rsidR="00D93D20" w:rsidRPr="007101C1" w:rsidRDefault="00D93D20" w:rsidP="00D93D20">
      <w:pPr>
        <w:pStyle w:val="Titolo2"/>
      </w:pPr>
      <w:bookmarkStart w:id="11" w:name="_Toc516935888"/>
      <w:bookmarkStart w:id="12" w:name="_Toc271390"/>
      <w:bookmarkStart w:id="13" w:name="_Toc84339495"/>
      <w:r w:rsidRPr="00132612">
        <w:t>A3. Elenco dei fattori tecnologici interni ed esterni</w:t>
      </w:r>
      <w:bookmarkEnd w:id="11"/>
      <w:bookmarkEnd w:id="12"/>
      <w:bookmarkEnd w:id="13"/>
    </w:p>
    <w:p w14:paraId="36F33175" w14:textId="63289922" w:rsidR="00500F10" w:rsidRDefault="00B96BE7" w:rsidP="00500F10">
      <w:r>
        <w:t xml:space="preserve">I principali fattori tecnologici che influiscono sul riuso della soluzione </w:t>
      </w:r>
      <w:proofErr w:type="spellStart"/>
      <w:r>
        <w:t>ProMa</w:t>
      </w:r>
      <w:proofErr w:type="spellEnd"/>
      <w:r>
        <w:t xml:space="preserve"> e </w:t>
      </w:r>
      <w:r w:rsidR="002B3D10">
        <w:t xml:space="preserve">sulla scelta della </w:t>
      </w:r>
      <w:r w:rsidR="00132612">
        <w:t>modalità di riuso possono essere riconducibili ai seguenti requisiti:</w:t>
      </w:r>
    </w:p>
    <w:p w14:paraId="27878F96" w14:textId="2712142B" w:rsidR="00132612" w:rsidRPr="00132612" w:rsidRDefault="00132612" w:rsidP="00132612">
      <w:pPr>
        <w:pStyle w:val="Paragrafoelenco"/>
        <w:numPr>
          <w:ilvl w:val="0"/>
          <w:numId w:val="9"/>
        </w:numPr>
        <w:rPr>
          <w:b/>
          <w:bCs/>
        </w:rPr>
      </w:pPr>
      <w:r w:rsidRPr="00132612">
        <w:rPr>
          <w:b/>
          <w:bCs/>
        </w:rPr>
        <w:t>Requisiti hardware</w:t>
      </w:r>
      <w:r w:rsidR="00174B65">
        <w:rPr>
          <w:b/>
          <w:bCs/>
        </w:rPr>
        <w:t xml:space="preserve">, </w:t>
      </w:r>
      <w:r w:rsidR="00174B65" w:rsidRPr="00E00D01">
        <w:t>ovvero l'insieme di hardware</w:t>
      </w:r>
      <w:r w:rsidR="00E81126">
        <w:t xml:space="preserve"> e</w:t>
      </w:r>
      <w:r w:rsidR="00174B65" w:rsidRPr="00E00D01">
        <w:t xml:space="preserve"> sistema operativo</w:t>
      </w:r>
      <w:r w:rsidR="00E81126">
        <w:t xml:space="preserve"> </w:t>
      </w:r>
      <w:r w:rsidR="00174B65" w:rsidRPr="00E00D01">
        <w:t>necessari per il buon funzionamento</w:t>
      </w:r>
      <w:r w:rsidR="00DC0451" w:rsidRPr="00E00D01">
        <w:t xml:space="preserve"> della soluzione </w:t>
      </w:r>
      <w:proofErr w:type="spellStart"/>
      <w:r w:rsidR="00DC0451" w:rsidRPr="00E00D01">
        <w:t>ProMa</w:t>
      </w:r>
      <w:proofErr w:type="spellEnd"/>
      <w:r w:rsidR="00E00D01" w:rsidRPr="00E00D01">
        <w:t>;</w:t>
      </w:r>
    </w:p>
    <w:p w14:paraId="5CF218DA" w14:textId="21B654AE" w:rsidR="00132612" w:rsidRPr="00132612" w:rsidRDefault="00132612" w:rsidP="00132612">
      <w:pPr>
        <w:pStyle w:val="Paragrafoelenco"/>
        <w:numPr>
          <w:ilvl w:val="0"/>
          <w:numId w:val="9"/>
        </w:numPr>
        <w:rPr>
          <w:b/>
          <w:bCs/>
        </w:rPr>
      </w:pPr>
      <w:r w:rsidRPr="00132612">
        <w:rPr>
          <w:b/>
          <w:bCs/>
        </w:rPr>
        <w:t>Requisiti software</w:t>
      </w:r>
      <w:r w:rsidR="00AC6B69">
        <w:t>, ovvero l’insieme del software</w:t>
      </w:r>
      <w:r w:rsidR="00BA5383">
        <w:t xml:space="preserve"> (Database, </w:t>
      </w:r>
      <w:r w:rsidR="00BF07C6">
        <w:t>Ambiente WEB-GIS, Browser, …)</w:t>
      </w:r>
      <w:r w:rsidR="00AC6B69">
        <w:t xml:space="preserve"> necessario per il buon funzionamento della soluzione </w:t>
      </w:r>
      <w:proofErr w:type="spellStart"/>
      <w:r w:rsidR="00AC6B69">
        <w:t>ProMa</w:t>
      </w:r>
      <w:proofErr w:type="spellEnd"/>
      <w:r w:rsidR="00AC6B69">
        <w:t>;</w:t>
      </w:r>
    </w:p>
    <w:p w14:paraId="5982CDAA" w14:textId="7D7F5910" w:rsidR="00132612" w:rsidRPr="00132612" w:rsidRDefault="00132612" w:rsidP="00132612">
      <w:pPr>
        <w:pStyle w:val="Paragrafoelenco"/>
        <w:numPr>
          <w:ilvl w:val="0"/>
          <w:numId w:val="9"/>
        </w:numPr>
        <w:rPr>
          <w:b/>
          <w:bCs/>
        </w:rPr>
      </w:pPr>
      <w:r w:rsidRPr="00132612">
        <w:rPr>
          <w:b/>
          <w:bCs/>
        </w:rPr>
        <w:t>Requisiti di rete</w:t>
      </w:r>
      <w:r w:rsidR="00BF07C6">
        <w:rPr>
          <w:b/>
          <w:bCs/>
        </w:rPr>
        <w:t xml:space="preserve">, </w:t>
      </w:r>
      <w:r w:rsidR="00BF07C6" w:rsidRPr="00BF2F90">
        <w:t>ovvero i requisiti di rete necessari per la</w:t>
      </w:r>
      <w:r w:rsidR="00BF07C6">
        <w:rPr>
          <w:b/>
          <w:bCs/>
        </w:rPr>
        <w:t xml:space="preserve"> </w:t>
      </w:r>
      <w:r w:rsidR="00937DA1" w:rsidRPr="00937DA1">
        <w:t xml:space="preserve">corretta fruizione della soluzione </w:t>
      </w:r>
      <w:proofErr w:type="spellStart"/>
      <w:r w:rsidR="00937DA1" w:rsidRPr="00937DA1">
        <w:t>ProMa</w:t>
      </w:r>
      <w:proofErr w:type="spellEnd"/>
      <w:r w:rsidR="00937DA1" w:rsidRPr="00937DA1">
        <w:t>.</w:t>
      </w:r>
    </w:p>
    <w:p w14:paraId="03C15642" w14:textId="77777777" w:rsidR="002A65FC" w:rsidRPr="00500F10" w:rsidRDefault="002A65FC" w:rsidP="00500F10"/>
    <w:p w14:paraId="1CD82AF4" w14:textId="06B80A3F" w:rsidR="007101C1" w:rsidRDefault="007101C1" w:rsidP="00D93D20">
      <w:pPr>
        <w:pStyle w:val="Titolo2"/>
      </w:pPr>
      <w:bookmarkStart w:id="14" w:name="_Toc271391"/>
      <w:bookmarkStart w:id="15" w:name="_Toc84339496"/>
      <w:r w:rsidRPr="009D38E8">
        <w:t>A4. Descrizione delle possibili modalità di riuso</w:t>
      </w:r>
      <w:bookmarkEnd w:id="14"/>
      <w:bookmarkEnd w:id="15"/>
    </w:p>
    <w:p w14:paraId="338BFB4A" w14:textId="27AC6D78" w:rsidR="00C24BB8" w:rsidRDefault="00BD574C" w:rsidP="00D93D20">
      <w:r>
        <w:t xml:space="preserve">Le modalità di riuso della soluzione </w:t>
      </w:r>
      <w:proofErr w:type="spellStart"/>
      <w:r>
        <w:t>ProMa</w:t>
      </w:r>
      <w:proofErr w:type="spellEnd"/>
      <w:r>
        <w:t xml:space="preserve"> sono:</w:t>
      </w:r>
    </w:p>
    <w:p w14:paraId="1CF06691" w14:textId="735B5AAF" w:rsidR="00BD574C" w:rsidRDefault="00BD574C" w:rsidP="00BD574C">
      <w:pPr>
        <w:pStyle w:val="Paragrafoelenco"/>
        <w:numPr>
          <w:ilvl w:val="0"/>
          <w:numId w:val="8"/>
        </w:numPr>
      </w:pPr>
      <w:r>
        <w:t>installazione on-pr</w:t>
      </w:r>
      <w:r w:rsidR="00220A3F">
        <w:t>e</w:t>
      </w:r>
      <w:r>
        <w:t>m</w:t>
      </w:r>
      <w:r w:rsidR="00220A3F">
        <w:t>i</w:t>
      </w:r>
      <w:r>
        <w:t>se</w:t>
      </w:r>
      <w:r w:rsidR="00674457">
        <w:t>,</w:t>
      </w:r>
    </w:p>
    <w:p w14:paraId="53452F06" w14:textId="761A36E1" w:rsidR="00BD574C" w:rsidRDefault="00220A3F" w:rsidP="00BD574C">
      <w:pPr>
        <w:pStyle w:val="Paragrafoelenco"/>
        <w:numPr>
          <w:ilvl w:val="0"/>
          <w:numId w:val="8"/>
        </w:numPr>
      </w:pPr>
      <w:r>
        <w:t>fruizione in modalità SaaS</w:t>
      </w:r>
      <w:r w:rsidR="00674457">
        <w:t>.</w:t>
      </w:r>
    </w:p>
    <w:p w14:paraId="66B858B6" w14:textId="1988C402" w:rsidR="00674457" w:rsidRDefault="00674457" w:rsidP="00674457">
      <w:r>
        <w:t xml:space="preserve">Gli Enti riusanti hanno optato di riusare la soluzione in modalità prototipo </w:t>
      </w:r>
      <w:r w:rsidR="00027DCD">
        <w:t>SaaS sul</w:t>
      </w:r>
      <w:r>
        <w:t xml:space="preserve"> datacenter messo a disposizione dal fornitore che si è occupato dell’evoluzione della soluzione stessa (RTI DBCAD</w:t>
      </w:r>
      <w:r w:rsidR="00027DCD">
        <w:t xml:space="preserve"> </w:t>
      </w:r>
      <w:proofErr w:type="spellStart"/>
      <w:r w:rsidR="00027DCD">
        <w:t>srl</w:t>
      </w:r>
      <w:proofErr w:type="spellEnd"/>
      <w:r w:rsidR="00027DCD">
        <w:t xml:space="preserve"> – Filippetti </w:t>
      </w:r>
      <w:r w:rsidR="00373A79">
        <w:t>spa).</w:t>
      </w:r>
    </w:p>
    <w:p w14:paraId="4E1D77A1" w14:textId="62AD6C6C" w:rsidR="009B3C4F" w:rsidRDefault="009B3C4F" w:rsidP="009B3C4F">
      <w:r>
        <w:t xml:space="preserve">Nella tabella seguente sono riepilogati i </w:t>
      </w:r>
      <w:r w:rsidR="00E11952">
        <w:t>fattori tecnologici interni ed esterni precedentemente descritti relazionati alla modalità di riuso</w:t>
      </w:r>
      <w:r>
        <w:t xml:space="preserve"> </w:t>
      </w:r>
      <w:r w:rsidR="00E11952">
        <w:t>prescelta.</w:t>
      </w:r>
    </w:p>
    <w:p w14:paraId="1C85E18A" w14:textId="33C7214D" w:rsidR="00E11952" w:rsidRDefault="00E11952" w:rsidP="00E11952">
      <w:pPr>
        <w:pStyle w:val="Didascalia"/>
        <w:keepNext/>
      </w:pPr>
    </w:p>
    <w:p w14:paraId="79554D1A" w14:textId="77777777" w:rsidR="00F869A2" w:rsidRPr="00F869A2" w:rsidRDefault="00F869A2" w:rsidP="00F869A2"/>
    <w:tbl>
      <w:tblPr>
        <w:tblStyle w:val="Tabellagriglia5scura-colore1"/>
        <w:tblW w:w="5000" w:type="pct"/>
        <w:tblLook w:val="04A0" w:firstRow="1" w:lastRow="0" w:firstColumn="1" w:lastColumn="0" w:noHBand="0" w:noVBand="1"/>
      </w:tblPr>
      <w:tblGrid>
        <w:gridCol w:w="3210"/>
        <w:gridCol w:w="3210"/>
        <w:gridCol w:w="3208"/>
      </w:tblGrid>
      <w:tr w:rsidR="00E1101A" w:rsidRPr="002A65FC" w14:paraId="3A657237" w14:textId="77777777" w:rsidTr="001625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7" w:type="pct"/>
            <w:hideMark/>
          </w:tcPr>
          <w:p w14:paraId="7F56263A" w14:textId="77777777" w:rsidR="00E1101A" w:rsidRPr="002A65FC" w:rsidRDefault="00E1101A" w:rsidP="00162594">
            <w:pPr>
              <w:jc w:val="left"/>
              <w:rPr>
                <w:rFonts w:ascii="Calibri Light" w:eastAsia="Times New Roman" w:hAnsi="Calibri Light" w:cs="Calibri Light"/>
                <w:lang w:eastAsia="it-IT"/>
              </w:rPr>
            </w:pPr>
            <w:r w:rsidRPr="002A65FC">
              <w:rPr>
                <w:rFonts w:ascii="Calibri Light" w:eastAsia="Times New Roman" w:hAnsi="Calibri Light" w:cs="Calibri Light"/>
                <w:lang w:eastAsia="it-IT"/>
              </w:rPr>
              <w:lastRenderedPageBreak/>
              <w:t>Fattori tecnologici</w:t>
            </w:r>
          </w:p>
        </w:tc>
        <w:tc>
          <w:tcPr>
            <w:tcW w:w="1667" w:type="pct"/>
            <w:hideMark/>
          </w:tcPr>
          <w:p w14:paraId="270569C5" w14:textId="77777777" w:rsidR="00E1101A" w:rsidRPr="002A65FC" w:rsidRDefault="00E1101A" w:rsidP="00162594">
            <w:pPr>
              <w:jc w:val="left"/>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2A65FC">
              <w:rPr>
                <w:rFonts w:ascii="Calibri Light" w:eastAsia="Times New Roman" w:hAnsi="Calibri Light" w:cs="Calibri Light"/>
                <w:lang w:eastAsia="it-IT"/>
              </w:rPr>
              <w:t>Modalità di fruizione on-premise</w:t>
            </w:r>
          </w:p>
        </w:tc>
        <w:tc>
          <w:tcPr>
            <w:tcW w:w="1666" w:type="pct"/>
            <w:hideMark/>
          </w:tcPr>
          <w:p w14:paraId="15B77739" w14:textId="77777777" w:rsidR="00E1101A" w:rsidRPr="002A65FC" w:rsidRDefault="00E1101A" w:rsidP="00162594">
            <w:pPr>
              <w:jc w:val="left"/>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lang w:eastAsia="it-IT"/>
              </w:rPr>
            </w:pPr>
            <w:r w:rsidRPr="002A65FC">
              <w:rPr>
                <w:rFonts w:ascii="Calibri Light" w:eastAsia="Times New Roman" w:hAnsi="Calibri Light" w:cs="Calibri Light"/>
                <w:lang w:eastAsia="it-IT"/>
              </w:rPr>
              <w:t>Modalità di fruizione SaaS</w:t>
            </w:r>
          </w:p>
        </w:tc>
      </w:tr>
      <w:tr w:rsidR="00E1101A" w:rsidRPr="002A65FC" w14:paraId="5DDFE9C0" w14:textId="77777777" w:rsidTr="00162594">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667" w:type="pct"/>
            <w:hideMark/>
          </w:tcPr>
          <w:p w14:paraId="60DB7DC6" w14:textId="26294149" w:rsidR="00E1101A" w:rsidRPr="002A65FC" w:rsidRDefault="00E1101A" w:rsidP="00162594">
            <w:pPr>
              <w:jc w:val="right"/>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Requisiti</w:t>
            </w:r>
            <w:r w:rsidRPr="002A65FC">
              <w:rPr>
                <w:rFonts w:ascii="Calibri Light" w:eastAsia="Times New Roman" w:hAnsi="Calibri Light" w:cs="Calibri Light"/>
                <w:color w:val="FFFFFF"/>
                <w:lang w:eastAsia="it-IT"/>
              </w:rPr>
              <w:t xml:space="preserve"> hardware</w:t>
            </w:r>
          </w:p>
        </w:tc>
        <w:tc>
          <w:tcPr>
            <w:tcW w:w="1667" w:type="pct"/>
            <w:hideMark/>
          </w:tcPr>
          <w:p w14:paraId="0F8FE5C2" w14:textId="77777777" w:rsidR="00C60CA1" w:rsidRPr="00C60CA1" w:rsidRDefault="00C60CA1" w:rsidP="00C60CA1">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C60CA1">
              <w:rPr>
                <w:rFonts w:ascii="Calibri Light" w:eastAsia="Times New Roman" w:hAnsi="Calibri Light" w:cs="Calibri Light"/>
                <w:color w:val="000000"/>
                <w:lang w:eastAsia="it-IT"/>
              </w:rPr>
              <w:t>150 GB Disco</w:t>
            </w:r>
          </w:p>
          <w:p w14:paraId="5F74EDF1" w14:textId="7A714E47" w:rsidR="00E1101A" w:rsidRPr="002A65FC" w:rsidRDefault="00C60CA1" w:rsidP="00C60CA1">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C60CA1">
              <w:rPr>
                <w:rFonts w:ascii="Calibri Light" w:eastAsia="Times New Roman" w:hAnsi="Calibri Light" w:cs="Calibri Light"/>
                <w:color w:val="000000"/>
                <w:lang w:eastAsia="it-IT"/>
              </w:rPr>
              <w:t>Almeno 12 GB RAM</w:t>
            </w:r>
          </w:p>
        </w:tc>
        <w:tc>
          <w:tcPr>
            <w:tcW w:w="1666" w:type="pct"/>
            <w:hideMark/>
          </w:tcPr>
          <w:p w14:paraId="23D92EAA" w14:textId="6944B4F1" w:rsidR="00E1101A" w:rsidRPr="002A65FC" w:rsidRDefault="00E1101A" w:rsidP="003716E9">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p>
        </w:tc>
      </w:tr>
      <w:tr w:rsidR="00E1101A" w:rsidRPr="002A65FC" w14:paraId="3EB327C9" w14:textId="77777777" w:rsidTr="00162594">
        <w:trPr>
          <w:trHeight w:val="915"/>
        </w:trPr>
        <w:tc>
          <w:tcPr>
            <w:cnfStyle w:val="001000000000" w:firstRow="0" w:lastRow="0" w:firstColumn="1" w:lastColumn="0" w:oddVBand="0" w:evenVBand="0" w:oddHBand="0" w:evenHBand="0" w:firstRowFirstColumn="0" w:firstRowLastColumn="0" w:lastRowFirstColumn="0" w:lastRowLastColumn="0"/>
            <w:tcW w:w="1667" w:type="pct"/>
            <w:hideMark/>
          </w:tcPr>
          <w:p w14:paraId="72175B37" w14:textId="77777777" w:rsidR="00E1101A" w:rsidRPr="002A65FC" w:rsidRDefault="00E1101A" w:rsidP="00162594">
            <w:pPr>
              <w:jc w:val="right"/>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Requisiti</w:t>
            </w:r>
            <w:r w:rsidRPr="002A65FC">
              <w:rPr>
                <w:rFonts w:ascii="Calibri Light" w:eastAsia="Times New Roman" w:hAnsi="Calibri Light" w:cs="Calibri Light"/>
                <w:color w:val="FFFFFF"/>
                <w:lang w:eastAsia="it-IT"/>
              </w:rPr>
              <w:t xml:space="preserve"> software</w:t>
            </w:r>
          </w:p>
        </w:tc>
        <w:tc>
          <w:tcPr>
            <w:tcW w:w="1667" w:type="pct"/>
            <w:hideMark/>
          </w:tcPr>
          <w:p w14:paraId="43856866" w14:textId="77777777" w:rsidR="00DB1288" w:rsidRPr="00DB1288" w:rsidRDefault="00DB1288" w:rsidP="00DB128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DB1288">
              <w:rPr>
                <w:rFonts w:ascii="Calibri Light" w:eastAsia="Times New Roman" w:hAnsi="Calibri Light" w:cs="Calibri Light"/>
                <w:color w:val="000000"/>
                <w:lang w:eastAsia="it-IT"/>
              </w:rPr>
              <w:t>Web Server IIS</w:t>
            </w:r>
          </w:p>
          <w:p w14:paraId="7002E738" w14:textId="28EF18CD" w:rsidR="00DB1288" w:rsidRPr="00DB1288" w:rsidRDefault="00DB1288" w:rsidP="00DB128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DB1288">
              <w:rPr>
                <w:rFonts w:ascii="Calibri Light" w:eastAsia="Times New Roman" w:hAnsi="Calibri Light" w:cs="Calibri Light"/>
                <w:color w:val="000000"/>
                <w:lang w:eastAsia="it-IT"/>
              </w:rPr>
              <w:t>Application server Tomcat 8.5.16</w:t>
            </w:r>
          </w:p>
          <w:p w14:paraId="3A6D4B33" w14:textId="7E02BF29" w:rsidR="00DB1288" w:rsidRPr="00DB1288" w:rsidRDefault="00DB1288" w:rsidP="00DB128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DB1288">
              <w:rPr>
                <w:rFonts w:ascii="Calibri Light" w:eastAsia="Times New Roman" w:hAnsi="Calibri Light" w:cs="Calibri Light"/>
                <w:color w:val="000000"/>
                <w:lang w:eastAsia="it-IT"/>
              </w:rPr>
              <w:t xml:space="preserve">RDBMS </w:t>
            </w:r>
            <w:proofErr w:type="spellStart"/>
            <w:r w:rsidRPr="00DB1288">
              <w:rPr>
                <w:rFonts w:ascii="Calibri Light" w:eastAsia="Times New Roman" w:hAnsi="Calibri Light" w:cs="Calibri Light"/>
                <w:color w:val="000000"/>
                <w:lang w:eastAsia="it-IT"/>
              </w:rPr>
              <w:t>PostgreSQL</w:t>
            </w:r>
            <w:proofErr w:type="spellEnd"/>
            <w:r w:rsidRPr="00DB1288">
              <w:rPr>
                <w:rFonts w:ascii="Calibri Light" w:eastAsia="Times New Roman" w:hAnsi="Calibri Light" w:cs="Calibri Light"/>
                <w:color w:val="000000"/>
                <w:lang w:eastAsia="it-IT"/>
              </w:rPr>
              <w:t xml:space="preserve"> 9.4</w:t>
            </w:r>
          </w:p>
          <w:p w14:paraId="0DEAC71C" w14:textId="3E1E9651" w:rsidR="00DB1288" w:rsidRPr="00DB1288" w:rsidRDefault="00DB1288" w:rsidP="00DB128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DB1288">
              <w:rPr>
                <w:rFonts w:ascii="Calibri Light" w:eastAsia="Times New Roman" w:hAnsi="Calibri Light" w:cs="Calibri Light"/>
                <w:color w:val="000000"/>
                <w:lang w:eastAsia="it-IT"/>
              </w:rPr>
              <w:t xml:space="preserve">CMS </w:t>
            </w:r>
            <w:proofErr w:type="spellStart"/>
            <w:r w:rsidRPr="00DB1288">
              <w:rPr>
                <w:rFonts w:ascii="Calibri Light" w:eastAsia="Times New Roman" w:hAnsi="Calibri Light" w:cs="Calibri Light"/>
                <w:color w:val="000000"/>
                <w:lang w:eastAsia="it-IT"/>
              </w:rPr>
              <w:t>Alfresco</w:t>
            </w:r>
            <w:proofErr w:type="spellEnd"/>
            <w:r w:rsidRPr="00DB1288">
              <w:rPr>
                <w:rFonts w:ascii="Calibri Light" w:eastAsia="Times New Roman" w:hAnsi="Calibri Light" w:cs="Calibri Light"/>
                <w:color w:val="000000"/>
                <w:lang w:eastAsia="it-IT"/>
              </w:rPr>
              <w:t xml:space="preserve"> </w:t>
            </w:r>
            <w:proofErr w:type="spellStart"/>
            <w:r w:rsidRPr="00DB1288">
              <w:rPr>
                <w:rFonts w:ascii="Calibri Light" w:eastAsia="Times New Roman" w:hAnsi="Calibri Light" w:cs="Calibri Light"/>
                <w:color w:val="000000"/>
                <w:lang w:eastAsia="it-IT"/>
              </w:rPr>
              <w:t>Comunty</w:t>
            </w:r>
            <w:proofErr w:type="spellEnd"/>
            <w:r w:rsidRPr="00DB1288">
              <w:rPr>
                <w:rFonts w:ascii="Calibri Light" w:eastAsia="Times New Roman" w:hAnsi="Calibri Light" w:cs="Calibri Light"/>
                <w:color w:val="000000"/>
                <w:lang w:eastAsia="it-IT"/>
              </w:rPr>
              <w:t xml:space="preserve"> 5.0.a</w:t>
            </w:r>
          </w:p>
          <w:p w14:paraId="05133F7A" w14:textId="6B8967BF" w:rsidR="00E1101A" w:rsidRPr="002A65FC" w:rsidRDefault="00DB1288" w:rsidP="00DB1288">
            <w:pPr>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DB1288">
              <w:rPr>
                <w:rFonts w:ascii="Calibri Light" w:eastAsia="Times New Roman" w:hAnsi="Calibri Light" w:cs="Calibri Light"/>
                <w:color w:val="000000"/>
                <w:lang w:eastAsia="it-IT"/>
              </w:rPr>
              <w:t xml:space="preserve">Servizio </w:t>
            </w:r>
            <w:proofErr w:type="spellStart"/>
            <w:r w:rsidRPr="00DB1288">
              <w:rPr>
                <w:rFonts w:ascii="Calibri Light" w:eastAsia="Times New Roman" w:hAnsi="Calibri Light" w:cs="Calibri Light"/>
                <w:color w:val="000000"/>
                <w:lang w:eastAsia="it-IT"/>
              </w:rPr>
              <w:t>MapGuide</w:t>
            </w:r>
            <w:proofErr w:type="spellEnd"/>
            <w:r w:rsidRPr="00DB1288">
              <w:rPr>
                <w:rFonts w:ascii="Calibri Light" w:eastAsia="Times New Roman" w:hAnsi="Calibri Light" w:cs="Calibri Light"/>
                <w:color w:val="000000"/>
                <w:lang w:eastAsia="it-IT"/>
              </w:rPr>
              <w:t xml:space="preserve"> Open Source 3.1.1 per la gestione dei contenuti grafici</w:t>
            </w:r>
          </w:p>
        </w:tc>
        <w:tc>
          <w:tcPr>
            <w:tcW w:w="1666" w:type="pct"/>
            <w:hideMark/>
          </w:tcPr>
          <w:p w14:paraId="4E76CD6A" w14:textId="1DAB1593" w:rsidR="00E1101A" w:rsidRPr="002A65FC" w:rsidRDefault="005E4F4C" w:rsidP="00162594">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Pr>
                <w:rFonts w:ascii="Calibri Light" w:eastAsia="Times New Roman" w:hAnsi="Calibri Light" w:cs="Calibri Light"/>
                <w:color w:val="000000"/>
                <w:lang w:eastAsia="it-IT"/>
              </w:rPr>
              <w:t>V</w:t>
            </w:r>
            <w:r w:rsidRPr="005E4F4C">
              <w:rPr>
                <w:rFonts w:ascii="Calibri Light" w:eastAsia="Times New Roman" w:hAnsi="Calibri Light" w:cs="Calibri Light"/>
                <w:color w:val="000000"/>
                <w:lang w:eastAsia="it-IT"/>
              </w:rPr>
              <w:t>ersione corrente di Microsoft Edge, Safari, Chrome o Firefox</w:t>
            </w:r>
          </w:p>
        </w:tc>
      </w:tr>
      <w:tr w:rsidR="00E1101A" w:rsidRPr="002A65FC" w14:paraId="6B0165A4" w14:textId="77777777" w:rsidTr="0016259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7" w:type="pct"/>
            <w:hideMark/>
          </w:tcPr>
          <w:p w14:paraId="7A0A2069" w14:textId="55255EED" w:rsidR="00E1101A" w:rsidRPr="002A65FC" w:rsidRDefault="004E66A2" w:rsidP="00162594">
            <w:pPr>
              <w:jc w:val="right"/>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Altro</w:t>
            </w:r>
          </w:p>
        </w:tc>
        <w:tc>
          <w:tcPr>
            <w:tcW w:w="1667" w:type="pct"/>
            <w:hideMark/>
          </w:tcPr>
          <w:p w14:paraId="718A468A" w14:textId="07E58A7F" w:rsidR="00E1101A" w:rsidRPr="002A65FC" w:rsidRDefault="00E1101A" w:rsidP="00162594">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p>
        </w:tc>
        <w:tc>
          <w:tcPr>
            <w:tcW w:w="1666" w:type="pct"/>
            <w:hideMark/>
          </w:tcPr>
          <w:p w14:paraId="60C119A3" w14:textId="23C7703B" w:rsidR="00E1101A" w:rsidRPr="002A65FC" w:rsidRDefault="004E66A2" w:rsidP="00162594">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Pr>
                <w:rFonts w:ascii="Calibri Light" w:eastAsia="Times New Roman" w:hAnsi="Calibri Light" w:cs="Calibri Light"/>
                <w:color w:val="000000"/>
                <w:lang w:eastAsia="it-IT"/>
              </w:rPr>
              <w:t>C</w:t>
            </w:r>
            <w:r w:rsidRPr="004E66A2">
              <w:rPr>
                <w:rFonts w:ascii="Calibri Light" w:eastAsia="Times New Roman" w:hAnsi="Calibri Light" w:cs="Calibri Light"/>
                <w:color w:val="000000"/>
                <w:lang w:eastAsia="it-IT"/>
              </w:rPr>
              <w:t>onnessione Internet.</w:t>
            </w:r>
          </w:p>
        </w:tc>
      </w:tr>
      <w:tr w:rsidR="00CD75B1" w:rsidRPr="002A65FC" w14:paraId="78D0BC56" w14:textId="77777777" w:rsidTr="00CD75B1">
        <w:trPr>
          <w:trHeight w:val="315"/>
        </w:trPr>
        <w:tc>
          <w:tcPr>
            <w:cnfStyle w:val="001000000000" w:firstRow="0" w:lastRow="0" w:firstColumn="1" w:lastColumn="0" w:oddVBand="0" w:evenVBand="0" w:oddHBand="0" w:evenHBand="0" w:firstRowFirstColumn="0" w:firstRowLastColumn="0" w:lastRowFirstColumn="0" w:lastRowLastColumn="0"/>
            <w:tcW w:w="1667" w:type="pct"/>
          </w:tcPr>
          <w:p w14:paraId="3B8E9E68" w14:textId="0F8D19F9" w:rsidR="00CD75B1" w:rsidRPr="002A65FC" w:rsidRDefault="00CD75B1" w:rsidP="00162594">
            <w:pPr>
              <w:jc w:val="right"/>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Banche dati obbligatorie</w:t>
            </w:r>
          </w:p>
        </w:tc>
        <w:tc>
          <w:tcPr>
            <w:tcW w:w="3333" w:type="pct"/>
            <w:gridSpan w:val="2"/>
          </w:tcPr>
          <w:p w14:paraId="459ED99A" w14:textId="77777777" w:rsidR="00CD75B1" w:rsidRPr="00CD75B1" w:rsidRDefault="00CD75B1" w:rsidP="00CD75B1">
            <w:pPr>
              <w:jc w:val="lef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CD75B1">
              <w:rPr>
                <w:rFonts w:ascii="Calibri Light" w:eastAsia="Times New Roman" w:hAnsi="Calibri Light" w:cs="Calibri Light"/>
                <w:color w:val="000000"/>
                <w:lang w:eastAsia="it-IT"/>
              </w:rPr>
              <w:t>Banca dati catastale completa</w:t>
            </w:r>
          </w:p>
          <w:p w14:paraId="1C4E098A" w14:textId="2A545BE3" w:rsidR="00CD75B1" w:rsidRPr="002A65FC" w:rsidRDefault="00CD75B1" w:rsidP="00162594">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lang w:eastAsia="it-IT"/>
              </w:rPr>
            </w:pPr>
            <w:r w:rsidRPr="00CD75B1">
              <w:rPr>
                <w:rFonts w:ascii="Calibri Light" w:eastAsia="Times New Roman" w:hAnsi="Calibri Light" w:cs="Calibri Light"/>
                <w:color w:val="000000"/>
                <w:lang w:eastAsia="it-IT"/>
              </w:rPr>
              <w:t>Soggetti catastali riconducibili all’Ente</w:t>
            </w:r>
          </w:p>
        </w:tc>
      </w:tr>
      <w:tr w:rsidR="00CD75B1" w:rsidRPr="002A65FC" w14:paraId="3CFA11FF" w14:textId="77777777" w:rsidTr="00CD75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7" w:type="pct"/>
          </w:tcPr>
          <w:p w14:paraId="0F7D7D69" w14:textId="4675277B" w:rsidR="00CD75B1" w:rsidRDefault="00CD75B1" w:rsidP="00162594">
            <w:pPr>
              <w:jc w:val="right"/>
              <w:rPr>
                <w:rFonts w:ascii="Calibri Light" w:eastAsia="Times New Roman" w:hAnsi="Calibri Light" w:cs="Calibri Light"/>
                <w:color w:val="FFFFFF"/>
                <w:lang w:eastAsia="it-IT"/>
              </w:rPr>
            </w:pPr>
            <w:r>
              <w:rPr>
                <w:rFonts w:ascii="Calibri Light" w:eastAsia="Times New Roman" w:hAnsi="Calibri Light" w:cs="Calibri Light"/>
                <w:color w:val="FFFFFF"/>
                <w:lang w:eastAsia="it-IT"/>
              </w:rPr>
              <w:t>Banche dati opzionali</w:t>
            </w:r>
          </w:p>
        </w:tc>
        <w:tc>
          <w:tcPr>
            <w:tcW w:w="3333" w:type="pct"/>
            <w:gridSpan w:val="2"/>
          </w:tcPr>
          <w:p w14:paraId="1B42D37D"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Inventario patrimoniale</w:t>
            </w:r>
          </w:p>
          <w:p w14:paraId="6DB80FF7"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Schede descrittive dei beni patrimoniali</w:t>
            </w:r>
          </w:p>
          <w:p w14:paraId="4949615A"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Schede/banca dati del censimento dei beni patrimoniali</w:t>
            </w:r>
          </w:p>
          <w:p w14:paraId="1F28A5D2"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Documentazione fotografica</w:t>
            </w:r>
          </w:p>
          <w:p w14:paraId="756E20E2"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Planimetrie</w:t>
            </w:r>
          </w:p>
          <w:p w14:paraId="1CF075C4" w14:textId="77777777" w:rsidR="005C4F85" w:rsidRPr="005C4F85"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Contratti di locazione o di altro utilizzo dei beni</w:t>
            </w:r>
          </w:p>
          <w:p w14:paraId="5C40CCB5" w14:textId="4FE296D3" w:rsidR="00CD75B1" w:rsidRPr="00CD75B1" w:rsidRDefault="005C4F85" w:rsidP="005C4F85">
            <w:pPr>
              <w:jc w:val="lef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lang w:eastAsia="it-IT"/>
              </w:rPr>
            </w:pPr>
            <w:r w:rsidRPr="005C4F85">
              <w:rPr>
                <w:rFonts w:ascii="Calibri Light" w:eastAsia="Times New Roman" w:hAnsi="Calibri Light" w:cs="Calibri Light"/>
                <w:color w:val="000000"/>
                <w:lang w:eastAsia="it-IT"/>
              </w:rPr>
              <w:t>Report delle manutenzioni sugli immobili</w:t>
            </w:r>
          </w:p>
        </w:tc>
      </w:tr>
    </w:tbl>
    <w:p w14:paraId="05316F60" w14:textId="77777777" w:rsidR="00E1101A" w:rsidRPr="00E116BE" w:rsidRDefault="00E1101A" w:rsidP="00674457"/>
    <w:p w14:paraId="1E03AB07" w14:textId="77777777" w:rsidR="00D93D20" w:rsidRDefault="00D93D20" w:rsidP="00D93D20">
      <w:pPr>
        <w:pStyle w:val="Titolo1"/>
      </w:pPr>
      <w:bookmarkStart w:id="16" w:name="_Toc516935890"/>
      <w:bookmarkStart w:id="17" w:name="_Toc271392"/>
      <w:bookmarkStart w:id="18" w:name="_Toc84339497"/>
      <w:r>
        <w:t>Ambito amministrativo</w:t>
      </w:r>
      <w:bookmarkEnd w:id="16"/>
      <w:bookmarkEnd w:id="17"/>
      <w:bookmarkEnd w:id="18"/>
    </w:p>
    <w:p w14:paraId="0DC4E52B" w14:textId="77777777" w:rsidR="00D93D20" w:rsidRDefault="00D93D20" w:rsidP="00D93D20">
      <w:pPr>
        <w:pStyle w:val="Titolo2"/>
      </w:pPr>
      <w:bookmarkStart w:id="19" w:name="_Toc516935891"/>
      <w:bookmarkStart w:id="20" w:name="_Toc271393"/>
      <w:bookmarkStart w:id="21" w:name="_Toc84339498"/>
      <w:r>
        <w:t>A5. Elenco dei fattori amministrativi, normativi o regolamentari interni ed esterni</w:t>
      </w:r>
      <w:bookmarkEnd w:id="19"/>
      <w:bookmarkEnd w:id="20"/>
      <w:bookmarkEnd w:id="21"/>
    </w:p>
    <w:p w14:paraId="29C7D9EB" w14:textId="4DE176BD" w:rsidR="009A21C7" w:rsidRDefault="00705BED" w:rsidP="009A21C7">
      <w:r>
        <w:t xml:space="preserve">I </w:t>
      </w:r>
      <w:r w:rsidR="003D5D4E">
        <w:t>principali</w:t>
      </w:r>
      <w:r>
        <w:t xml:space="preserve"> </w:t>
      </w:r>
      <w:r w:rsidR="00D51B30">
        <w:t xml:space="preserve">fattori </w:t>
      </w:r>
      <w:r w:rsidR="00D51B30" w:rsidRPr="00D51B30">
        <w:t>amministrativi, normativi o regolamentari interni ed esterni</w:t>
      </w:r>
      <w:r w:rsidR="009A21C7">
        <w:t xml:space="preserve"> che hanno un impatto sull’adozione della buona pratica sono</w:t>
      </w:r>
      <w:r w:rsidR="00D51B30">
        <w:t>:</w:t>
      </w:r>
    </w:p>
    <w:p w14:paraId="305327BA" w14:textId="77777777" w:rsidR="00B97E74" w:rsidRDefault="00B97E74" w:rsidP="00BB4C2F">
      <w:pPr>
        <w:pStyle w:val="Paragrafoelenco"/>
        <w:numPr>
          <w:ilvl w:val="0"/>
          <w:numId w:val="10"/>
        </w:numPr>
      </w:pPr>
      <w:r>
        <w:t>Art. 68 e 69 Codice dell’Amministrazione Digitale (CAD)</w:t>
      </w:r>
    </w:p>
    <w:p w14:paraId="0127C5FE" w14:textId="77777777" w:rsidR="00B97E74" w:rsidRDefault="00B97E74" w:rsidP="00BB4C2F">
      <w:pPr>
        <w:pStyle w:val="Paragrafoelenco"/>
        <w:numPr>
          <w:ilvl w:val="0"/>
          <w:numId w:val="10"/>
        </w:numPr>
      </w:pPr>
      <w:r>
        <w:t xml:space="preserve">Decreto Legislativo 14/03/2013, n°33 Aggiornato al </w:t>
      </w:r>
      <w:proofErr w:type="spellStart"/>
      <w:r>
        <w:t>D.Lgs.</w:t>
      </w:r>
      <w:proofErr w:type="spellEnd"/>
      <w:r>
        <w:t xml:space="preserve"> 97/2016</w:t>
      </w:r>
    </w:p>
    <w:p w14:paraId="6DE35652" w14:textId="77777777" w:rsidR="00B97E74" w:rsidRDefault="00B97E74" w:rsidP="00BB4C2F">
      <w:pPr>
        <w:pStyle w:val="Paragrafoelenco"/>
        <w:numPr>
          <w:ilvl w:val="0"/>
          <w:numId w:val="10"/>
        </w:numPr>
      </w:pPr>
      <w:r>
        <w:t>Determinazione AGID N. 115/2018 “Adozione delle Linee Guida su acquisizione e riuso di software per le pubbliche Amministrazioni”</w:t>
      </w:r>
    </w:p>
    <w:p w14:paraId="457378B5" w14:textId="55267738" w:rsidR="00B97E74" w:rsidRDefault="00B97E74" w:rsidP="00BB4C2F">
      <w:pPr>
        <w:pStyle w:val="Paragrafoelenco"/>
        <w:numPr>
          <w:ilvl w:val="0"/>
          <w:numId w:val="10"/>
        </w:numPr>
      </w:pPr>
      <w:r>
        <w:t>Linee guida AGID su acquisizione e riuso di software per le pubbliche amministrazioni</w:t>
      </w:r>
    </w:p>
    <w:p w14:paraId="22F1130B" w14:textId="7E64E47C" w:rsidR="00B97E74" w:rsidRDefault="00B97E74" w:rsidP="00BB4C2F">
      <w:pPr>
        <w:pStyle w:val="Paragrafoelenco"/>
        <w:numPr>
          <w:ilvl w:val="0"/>
          <w:numId w:val="10"/>
        </w:numPr>
      </w:pPr>
      <w:r>
        <w:t xml:space="preserve">Convenzione </w:t>
      </w:r>
      <w:r w:rsidR="00767A47">
        <w:t xml:space="preserve">con </w:t>
      </w:r>
      <w:r>
        <w:t xml:space="preserve">Agenzia delle Entrate per </w:t>
      </w:r>
      <w:r w:rsidR="00BB4C2F">
        <w:t>l’</w:t>
      </w:r>
      <w:r>
        <w:t>acquisizione dati catastali</w:t>
      </w:r>
    </w:p>
    <w:p w14:paraId="58209E95" w14:textId="19D31E43" w:rsidR="00981696" w:rsidRPr="00C265F0" w:rsidRDefault="00BB4C2F" w:rsidP="00B97E74">
      <w:pPr>
        <w:rPr>
          <w:i/>
          <w:iCs/>
        </w:rPr>
      </w:pPr>
      <w:r w:rsidRPr="00C265F0">
        <w:rPr>
          <w:i/>
          <w:iCs/>
        </w:rPr>
        <w:t xml:space="preserve">La soluzione </w:t>
      </w:r>
      <w:proofErr w:type="spellStart"/>
      <w:r w:rsidRPr="00C265F0">
        <w:rPr>
          <w:i/>
          <w:iCs/>
        </w:rPr>
        <w:t>ProMa</w:t>
      </w:r>
      <w:proofErr w:type="spellEnd"/>
      <w:r w:rsidRPr="00C265F0">
        <w:rPr>
          <w:i/>
          <w:iCs/>
        </w:rPr>
        <w:t xml:space="preserve"> è stata pubblicata sul </w:t>
      </w:r>
      <w:proofErr w:type="spellStart"/>
      <w:r w:rsidR="00981696" w:rsidRPr="00C265F0">
        <w:rPr>
          <w:i/>
          <w:iCs/>
        </w:rPr>
        <w:t>cataologo</w:t>
      </w:r>
      <w:proofErr w:type="spellEnd"/>
      <w:r w:rsidR="00981696" w:rsidRPr="00C265F0">
        <w:rPr>
          <w:i/>
          <w:iCs/>
        </w:rPr>
        <w:t xml:space="preserve"> del software a</w:t>
      </w:r>
      <w:r w:rsidRPr="00C265F0">
        <w:rPr>
          <w:i/>
          <w:iCs/>
        </w:rPr>
        <w:t xml:space="preserve"> del riuso </w:t>
      </w:r>
      <w:r w:rsidR="00C265F0" w:rsidRPr="00C265F0">
        <w:rPr>
          <w:i/>
          <w:iCs/>
        </w:rPr>
        <w:t xml:space="preserve">a disposizione della </w:t>
      </w:r>
      <w:r w:rsidR="00981696" w:rsidRPr="00C265F0">
        <w:rPr>
          <w:i/>
          <w:iCs/>
        </w:rPr>
        <w:t>Pubblic</w:t>
      </w:r>
      <w:r w:rsidR="00C265F0" w:rsidRPr="00C265F0">
        <w:rPr>
          <w:i/>
          <w:iCs/>
        </w:rPr>
        <w:t xml:space="preserve">a </w:t>
      </w:r>
      <w:r w:rsidR="00981696" w:rsidRPr="00C265F0">
        <w:rPr>
          <w:i/>
          <w:iCs/>
        </w:rPr>
        <w:t>Amministrazion</w:t>
      </w:r>
      <w:r w:rsidR="00C265F0" w:rsidRPr="00C265F0">
        <w:rPr>
          <w:i/>
          <w:iCs/>
        </w:rPr>
        <w:t>e al seguente link:</w:t>
      </w:r>
    </w:p>
    <w:p w14:paraId="7E4B1E01" w14:textId="522DC171" w:rsidR="003D5D4E" w:rsidRDefault="00502CC7" w:rsidP="009A21C7">
      <w:hyperlink r:id="rId8" w:history="1">
        <w:r w:rsidR="00C265F0" w:rsidRPr="00CC61E3">
          <w:rPr>
            <w:rStyle w:val="Collegamentoipertestuale"/>
          </w:rPr>
          <w:t>https://developers.italia.it/it/software/umcn-unionemontanacatrianerone-proma.html</w:t>
        </w:r>
      </w:hyperlink>
    </w:p>
    <w:p w14:paraId="5C5EECD1" w14:textId="77777777" w:rsidR="00C265F0" w:rsidRDefault="00C265F0" w:rsidP="009A21C7"/>
    <w:p w14:paraId="4F35CB9D" w14:textId="77777777" w:rsidR="002F4EC1" w:rsidRDefault="002F4EC1" w:rsidP="00D93D20">
      <w:pPr>
        <w:pStyle w:val="Titolo1"/>
      </w:pPr>
      <w:bookmarkStart w:id="22" w:name="_Toc271394"/>
      <w:bookmarkStart w:id="23" w:name="_Toc84339499"/>
      <w:r>
        <w:lastRenderedPageBreak/>
        <w:t>Ambito informativo/formativo</w:t>
      </w:r>
      <w:bookmarkEnd w:id="22"/>
      <w:bookmarkEnd w:id="23"/>
    </w:p>
    <w:p w14:paraId="4466D851" w14:textId="1FAD0FB4" w:rsidR="00E62C77" w:rsidRDefault="002F4EC1" w:rsidP="00D93D20">
      <w:pPr>
        <w:pStyle w:val="Titolo2"/>
      </w:pPr>
      <w:bookmarkStart w:id="24" w:name="_Toc271395"/>
      <w:bookmarkStart w:id="25" w:name="_Toc84339500"/>
      <w:r w:rsidRPr="009D38E8">
        <w:t>A6. Sintesi della buona pratica</w:t>
      </w:r>
      <w:bookmarkEnd w:id="24"/>
      <w:bookmarkEnd w:id="25"/>
    </w:p>
    <w:p w14:paraId="3156F564" w14:textId="0BCA5192" w:rsidR="007E6B8D" w:rsidRDefault="007E6B8D" w:rsidP="007E6B8D">
      <w:pPr>
        <w:pStyle w:val="Titolo3"/>
      </w:pPr>
      <w:bookmarkStart w:id="26" w:name="_Toc84339501"/>
      <w:r>
        <w:t>Premessa</w:t>
      </w:r>
      <w:bookmarkEnd w:id="26"/>
    </w:p>
    <w:p w14:paraId="18AC0CD7" w14:textId="0B7562AB" w:rsidR="00FA1CA7" w:rsidRPr="00E54C4E" w:rsidRDefault="00FA1CA7" w:rsidP="00FA1CA7">
      <w:r w:rsidRPr="00E54C4E">
        <w:t xml:space="preserve">Il Progetto </w:t>
      </w:r>
      <w:proofErr w:type="spellStart"/>
      <w:r w:rsidRPr="00E54C4E">
        <w:t>ProMa</w:t>
      </w:r>
      <w:proofErr w:type="spellEnd"/>
      <w:r w:rsidRPr="00E54C4E">
        <w:t xml:space="preserve"> riguarda il riuso della buona pratica del Comune di Perugia relativa ai processi di gestione e valorizzazione del patrimonio immobiliare pubblico, supportati da una piattaforma informatica di</w:t>
      </w:r>
      <w:r>
        <w:t xml:space="preserve"> </w:t>
      </w:r>
      <w:r w:rsidRPr="00E54C4E">
        <w:t>raccolta, fascicolazione e gestione di tutte le informazioni relative agli immobili di proprietà o in gestione e coinvolge nove enti di varia dimensione e distribuzione geografica.</w:t>
      </w:r>
    </w:p>
    <w:p w14:paraId="1B754E7A" w14:textId="77777777" w:rsidR="00FA1CA7" w:rsidRDefault="00FA1CA7" w:rsidP="00FA1CA7">
      <w:r>
        <w:t>Il patrimonio immobiliare pubblico, infatti, è da alcuni anni al centro dell’attenzione del mondo politico, delle istituzioni, degli operatori e dei cittadini, da molteplici punti di vista: tutti gli enti del territorio si trovano, da un lato, a fronteggiare la sfida dell’efficientamento, della razionalizzazione, della riqualificazione energetica e ambientale per la riduzione e la ristrutturazione dei costi di gestione degli edifici destinati ai servizi pubblici, in un’ottica di spending review e, dall’altro, a contribuire attraverso la valorizzazione degli edifici pubblici agli interventi di riqualificazione urbana e del territorio.</w:t>
      </w:r>
    </w:p>
    <w:p w14:paraId="7E5064E6" w14:textId="77777777" w:rsidR="00FA1CA7" w:rsidRDefault="00FA1CA7" w:rsidP="00FA1CA7">
      <w:r>
        <w:t>In tale contesto, la conoscenza puntuale del patrimonio immobiliare costituisce la necessaria premessa per impostare e avviare qualsiasi politica di gestione e valorizzazione dello stesso. Tuttavia, generalmente, le amministrazioni pubbliche dispongono di informazioni incomplete, custodite in forma cartacea, spesso non integrata con le altre banche dati (catasto, edilizia, anagrafe, contabilità ecc.) e, quindi, di difficile gestione e di scarso valore.</w:t>
      </w:r>
    </w:p>
    <w:p w14:paraId="6D3BCFCD" w14:textId="77777777" w:rsidR="00FA1CA7" w:rsidRDefault="00FA1CA7" w:rsidP="00FA1CA7">
      <w:r>
        <w:t>Il progetto intende fornire una risposta alle esigenze e agli attuali limiti della tradizionale modalità di gestione del patrimonio immobiliare pubblico, mettendo a sistema l’esperienza, i modelli organizzativi, le metodologie di raccolta e di classificazione dei dati e le soluzioni software realizzate del Comune di Perugia per replicarle anche presso gli enti riusanti del partenariato.</w:t>
      </w:r>
    </w:p>
    <w:p w14:paraId="2A9FDC3E" w14:textId="77777777" w:rsidR="00FA1CA7" w:rsidRDefault="00FA1CA7" w:rsidP="00FA1CA7">
      <w:r>
        <w:t>La soluzione software, in particolare, fornisce in modalità integrata e complementare una duplice visione del patrimonio: patrimoniale (valore catastale e venale del bene), fondamentale per efficienti politiche di valorizzazione, e tecnica (conoscenza architettonica, strutturale ed impiantistica dell’immobile), per una gestione efficiente del suo mantenimento nel tempo, dei progetti e degli interventi. In tale contesto, il miglioramento dell’efficacia e dell’efficienza delle procedure amministrative sarà reso possibile da modelli di gestione e controllo che consentono l’aggiornamento dell’inventario con localizzazione in cartografia e il monitoraggio delle scadenze e degli adempimenti di carattere legale e assicurativo, recuperando il materiale documentale di un immobile e le informazioni utili per il bilancio del patrimonio immobiliare.</w:t>
      </w:r>
    </w:p>
    <w:p w14:paraId="51D0F83C" w14:textId="77777777" w:rsidR="00FA1CA7" w:rsidRDefault="00FA1CA7" w:rsidP="00FA1CA7">
      <w:r>
        <w:t xml:space="preserve">D’altra parte, la gestione sostenibile del patrimonio pubblico assume valore strategico anche per migliorare la capacità di attuare politiche e investimenti a forte impatto sociale, in quanto gli interventi edilizi e urbanistici incidono anche sulla localizzazione dei servizi, sulle tematiche dell’accessibilità, della mobilità e del trasporto pubblico locale, con potenziale effetto di riqualificazione del contesto urbano e periurbano. La condivisione di piattaforme interoperabili, di metodi e processi di crescita culturale condivisa faciliterà, quindi, la costruzione di una visione politica e gestionale professionalizzata, capace di mettere a sistema i patrimoni immobiliari, i soggetti decisori e il quadro di riferimento amministrativo e legislativo. Ciò è inoltre presupposto per aprire la riflessione su nuovi modelli di business nelle logiche della open </w:t>
      </w:r>
      <w:proofErr w:type="spellStart"/>
      <w:r>
        <w:t>innovation</w:t>
      </w:r>
      <w:proofErr w:type="spellEnd"/>
      <w:r>
        <w:t>, per far scaturire nuove forme di collaborazione pubblico-privata e con il mondo della ricerca.</w:t>
      </w:r>
    </w:p>
    <w:p w14:paraId="39AD23CD" w14:textId="3108E7BC" w:rsidR="0049115B" w:rsidRDefault="00686573" w:rsidP="00686573">
      <w:pPr>
        <w:pStyle w:val="Titolo3"/>
      </w:pPr>
      <w:bookmarkStart w:id="27" w:name="_Toc84339502"/>
      <w:r>
        <w:lastRenderedPageBreak/>
        <w:t>Funzionalità</w:t>
      </w:r>
      <w:bookmarkEnd w:id="27"/>
    </w:p>
    <w:p w14:paraId="77F04537" w14:textId="2403AC31" w:rsidR="00686573" w:rsidRDefault="00E6413A" w:rsidP="00686573">
      <w:r>
        <w:t>La soluzione</w:t>
      </w:r>
      <w:r w:rsidR="00686573">
        <w:t xml:space="preserve"> </w:t>
      </w:r>
      <w:proofErr w:type="spellStart"/>
      <w:r w:rsidR="00686573">
        <w:t>ProMa</w:t>
      </w:r>
      <w:proofErr w:type="spellEnd"/>
      <w:r w:rsidR="00686573">
        <w:t xml:space="preserve"> consente la gestione e la navigazione anche cartografica della banca dati relativa agli oggetti patrimoniali, quali Aggregati, Fabbricati, Terreni ed Unità Edilizie.</w:t>
      </w:r>
    </w:p>
    <w:p w14:paraId="579C5207" w14:textId="77777777" w:rsidR="00686573" w:rsidRDefault="00686573" w:rsidP="00686573">
      <w:r>
        <w:t>Le informazioni che possono essere gestite riguardano:</w:t>
      </w:r>
    </w:p>
    <w:p w14:paraId="2303CAE9" w14:textId="77777777" w:rsidR="00686573" w:rsidRDefault="00686573" w:rsidP="00686573">
      <w:pPr>
        <w:pStyle w:val="Paragrafoelenco"/>
        <w:numPr>
          <w:ilvl w:val="0"/>
          <w:numId w:val="11"/>
        </w:numPr>
        <w:spacing w:after="0" w:line="360" w:lineRule="auto"/>
      </w:pPr>
      <w:r>
        <w:t>Dati sulla consistenza (superfici e volumi),</w:t>
      </w:r>
    </w:p>
    <w:p w14:paraId="638C037D" w14:textId="77777777" w:rsidR="00686573" w:rsidRDefault="00686573" w:rsidP="00686573">
      <w:pPr>
        <w:pStyle w:val="Paragrafoelenco"/>
        <w:numPr>
          <w:ilvl w:val="0"/>
          <w:numId w:val="11"/>
        </w:numPr>
        <w:spacing w:after="0" w:line="360" w:lineRule="auto"/>
      </w:pPr>
      <w:r>
        <w:t>Dati conoscitivi (dati urbanistici, storici, infrastrutturali),</w:t>
      </w:r>
    </w:p>
    <w:p w14:paraId="0D6ED11E" w14:textId="77777777" w:rsidR="00686573" w:rsidRDefault="00686573" w:rsidP="00686573">
      <w:pPr>
        <w:pStyle w:val="Paragrafoelenco"/>
        <w:numPr>
          <w:ilvl w:val="0"/>
          <w:numId w:val="11"/>
        </w:numPr>
        <w:spacing w:after="0" w:line="360" w:lineRule="auto"/>
      </w:pPr>
      <w:r>
        <w:t>Dati gestionali (utenze, locazioni, tributi),</w:t>
      </w:r>
    </w:p>
    <w:p w14:paraId="6F59254A" w14:textId="77777777" w:rsidR="00686573" w:rsidRDefault="00686573" w:rsidP="00686573">
      <w:pPr>
        <w:pStyle w:val="Paragrafoelenco"/>
        <w:numPr>
          <w:ilvl w:val="0"/>
          <w:numId w:val="11"/>
        </w:numPr>
        <w:spacing w:after="0" w:line="360" w:lineRule="auto"/>
      </w:pPr>
      <w:r>
        <w:t>Dati immobiliari (destinazioni d’uso, ipoteche),</w:t>
      </w:r>
    </w:p>
    <w:p w14:paraId="49F88D54" w14:textId="77777777" w:rsidR="00686573" w:rsidRDefault="00686573" w:rsidP="00686573">
      <w:pPr>
        <w:pStyle w:val="Paragrafoelenco"/>
        <w:numPr>
          <w:ilvl w:val="0"/>
          <w:numId w:val="11"/>
        </w:numPr>
        <w:spacing w:after="0" w:line="360" w:lineRule="auto"/>
      </w:pPr>
      <w:r>
        <w:t>Dati tecnici (conformità, autorizzazioni),</w:t>
      </w:r>
    </w:p>
    <w:p w14:paraId="5F52BCAF" w14:textId="77777777" w:rsidR="00686573" w:rsidRDefault="00686573" w:rsidP="00686573">
      <w:pPr>
        <w:pStyle w:val="Paragrafoelenco"/>
        <w:numPr>
          <w:ilvl w:val="0"/>
          <w:numId w:val="11"/>
        </w:numPr>
        <w:spacing w:after="0" w:line="360" w:lineRule="auto"/>
      </w:pPr>
      <w:r>
        <w:t>Dati manutentivi (conservazione, elenco interventi),</w:t>
      </w:r>
    </w:p>
    <w:p w14:paraId="041D785E" w14:textId="77777777" w:rsidR="00686573" w:rsidRDefault="00686573" w:rsidP="00686573">
      <w:pPr>
        <w:pStyle w:val="Paragrafoelenco"/>
        <w:numPr>
          <w:ilvl w:val="0"/>
          <w:numId w:val="11"/>
        </w:numPr>
        <w:spacing w:after="0" w:line="360" w:lineRule="auto"/>
      </w:pPr>
      <w:r>
        <w:t>Raccolta documentale (foto, relazioni, grafici).</w:t>
      </w:r>
    </w:p>
    <w:p w14:paraId="799F6C1C" w14:textId="77777777" w:rsidR="00686573" w:rsidRDefault="00686573" w:rsidP="00686573">
      <w:r>
        <w:t>Le varie tipologie di dati sono raccolte nel sistema attraverso un modello di schede che ne consentono una catalogazione ed un’associazione alla tipologia patrimoniale di riferimento. La scheda di dettaglio contiene la visualizzazione di tutti i campi del record selezionato oltre che i collegamenti a classi dello stesso tema ed eventuali collegamenti a classi appartenenti ad altri temi.</w:t>
      </w:r>
    </w:p>
    <w:p w14:paraId="740376B0" w14:textId="77777777" w:rsidR="00686573" w:rsidRDefault="00686573" w:rsidP="00686573">
      <w:r>
        <w:t>In particolare, la consultazione di tutte le informazioni contenute nel sistema è resa possibile da semplici interfacce WEB.</w:t>
      </w:r>
    </w:p>
    <w:p w14:paraId="43ED3C57" w14:textId="77777777" w:rsidR="00686573" w:rsidRDefault="00686573" w:rsidP="00686573">
      <w:r>
        <w:t xml:space="preserve">Sono disponibili due tipologie ti interfaccia: la </w:t>
      </w:r>
      <w:r w:rsidRPr="004D2EF0">
        <w:rPr>
          <w:b/>
        </w:rPr>
        <w:t>consultazione dei dati</w:t>
      </w:r>
      <w:r>
        <w:t xml:space="preserve">, che mette in primo piano le funzionalità di filtro e navigazione della banca dati offrendo all’utente la possibilità di visualizzare il risultato della consultazione anche in mappa, e la </w:t>
      </w:r>
      <w:r w:rsidRPr="004D2EF0">
        <w:rPr>
          <w:b/>
        </w:rPr>
        <w:t>pagina mappa</w:t>
      </w:r>
      <w:r>
        <w:t xml:space="preserve"> che consente, invece, la navigazione cartografica (attraverso gli strumenti di zoom, pan, interrogazione, gestione </w:t>
      </w:r>
      <w:proofErr w:type="spellStart"/>
      <w:r>
        <w:t>layers</w:t>
      </w:r>
      <w:proofErr w:type="spellEnd"/>
      <w:r>
        <w:t>, …), l’analisi di tipo spaziale (buffer ed overlay) e la gestione della geometria con la visualizzazione dei dati associati.</w:t>
      </w:r>
    </w:p>
    <w:p w14:paraId="7F30BFED" w14:textId="77777777" w:rsidR="00686573" w:rsidRDefault="00686573" w:rsidP="00686573">
      <w:r>
        <w:t>Attraverso la funzione di filtro, l’utente può restringere il campo di selezione inserendo valori di tipo carattere o numerico.</w:t>
      </w:r>
    </w:p>
    <w:p w14:paraId="0C3FDDA3" w14:textId="77777777" w:rsidR="00686573" w:rsidRDefault="00686573" w:rsidP="00686573">
      <w:r>
        <w:t xml:space="preserve">Sono possibili diverse modalità di </w:t>
      </w:r>
      <w:r w:rsidRPr="005A7385">
        <w:rPr>
          <w:b/>
        </w:rPr>
        <w:t>reportistica e di esportazione dei dati</w:t>
      </w:r>
      <w:r>
        <w:t>: i report personalizzati dell’utente sono presentati sia in formato HTML che PDF ed è possibile esportare i dati nei più comuni formati tabellari (XLS, CSV, …) o grafici (DXF, SHP, …). Il sistema è inoltre in grado di creare file Excel personalizzabili con formule, grafici e sistemi di aggregazione dei dati.</w:t>
      </w:r>
    </w:p>
    <w:p w14:paraId="0926777B" w14:textId="77777777" w:rsidR="00686573" w:rsidRDefault="00686573" w:rsidP="00686573">
      <w:r>
        <w:t xml:space="preserve">L’utente ha inoltre a disposizione </w:t>
      </w:r>
      <w:r w:rsidRPr="005A7385">
        <w:rPr>
          <w:b/>
        </w:rPr>
        <w:t>funzionalità di statistica</w:t>
      </w:r>
      <w:r>
        <w:t xml:space="preserve"> che consentono di ottenere le statistiche di popolamento dei record (percentuali di campi con valori non nulli), le statistiche di uno specifico campo (valore minimo, valore massimo, valore medio, deviazione standard, somma) e, per i campi di tipo alfanumerico, le occorrenze di ciascun valore nel </w:t>
      </w:r>
      <w:proofErr w:type="spellStart"/>
      <w:r>
        <w:t>recordset</w:t>
      </w:r>
      <w:proofErr w:type="spellEnd"/>
      <w:r>
        <w:t>.</w:t>
      </w:r>
    </w:p>
    <w:p w14:paraId="23C2652E" w14:textId="77777777" w:rsidR="00686573" w:rsidRDefault="00686573" w:rsidP="00686573">
      <w:r>
        <w:t xml:space="preserve">L’accesso al sistema è regolato da un </w:t>
      </w:r>
      <w:r w:rsidRPr="005A7385">
        <w:rPr>
          <w:b/>
        </w:rPr>
        <w:t>sistema di autenticazione</w:t>
      </w:r>
      <w:r>
        <w:t xml:space="preserve"> che lega i Gruppi di Utenti a particolari ambiti territoriali e/o a particolari funzioni e/o a particolari gruppi di temi.</w:t>
      </w:r>
    </w:p>
    <w:p w14:paraId="73B051BA" w14:textId="77777777" w:rsidR="00686573" w:rsidRDefault="00686573" w:rsidP="00686573">
      <w:r>
        <w:t>L’illustrazione dettagliata delle funzionalità del Sistema Patrimonio, fornita dal Comune di Perugia, potrà essere presa in visione presso lo stesso Comune di Perugia, come di seguito specificato.</w:t>
      </w:r>
    </w:p>
    <w:p w14:paraId="4E3C395E" w14:textId="1D3C0A44" w:rsidR="00686573" w:rsidRDefault="00686573" w:rsidP="00686573">
      <w:r>
        <w:lastRenderedPageBreak/>
        <w:t xml:space="preserve">Di seguito sono descritti i principali moduli </w:t>
      </w:r>
      <w:r w:rsidR="00E6413A">
        <w:t xml:space="preserve">della soluzione </w:t>
      </w:r>
      <w:proofErr w:type="spellStart"/>
      <w:r w:rsidR="00E6413A">
        <w:t>ProMa</w:t>
      </w:r>
      <w:proofErr w:type="spellEnd"/>
      <w:r w:rsidR="00E6413A">
        <w:t>.</w:t>
      </w:r>
    </w:p>
    <w:p w14:paraId="39047832" w14:textId="77777777" w:rsidR="005B793F" w:rsidRPr="00D112C5" w:rsidRDefault="005B793F" w:rsidP="00860B0E">
      <w:pPr>
        <w:pStyle w:val="Titolo4"/>
      </w:pPr>
      <w:r w:rsidRPr="00D112C5">
        <w:t>Verifica inventario</w:t>
      </w:r>
    </w:p>
    <w:p w14:paraId="7B83EA01" w14:textId="77777777" w:rsidR="005B793F" w:rsidRPr="00E850F5" w:rsidRDefault="005B793F" w:rsidP="005B793F">
      <w:r w:rsidRPr="00E850F5">
        <w:t xml:space="preserve">Il modulo si occupa di individuare cartograficamente tutte le proprietà catastali che risultano in possesso </w:t>
      </w:r>
      <w:r>
        <w:t xml:space="preserve">di uno specifico Ente </w:t>
      </w:r>
      <w:r w:rsidRPr="00E850F5">
        <w:t xml:space="preserve">e di effettuare controlli incrociati con l’inventario o con altri archivi </w:t>
      </w:r>
      <w:r>
        <w:t>disponibili relativi a</w:t>
      </w:r>
      <w:r w:rsidRPr="00E850F5">
        <w:t>l patrimonio</w:t>
      </w:r>
      <w:r>
        <w:t xml:space="preserve"> dell’Ente stesso</w:t>
      </w:r>
      <w:r w:rsidRPr="00E850F5">
        <w:t>.</w:t>
      </w:r>
    </w:p>
    <w:p w14:paraId="0EB53262" w14:textId="77777777" w:rsidR="005B793F" w:rsidRDefault="005B793F" w:rsidP="005B793F">
      <w:r>
        <w:t>Sono,</w:t>
      </w:r>
      <w:r w:rsidRPr="00E850F5">
        <w:t xml:space="preserve"> quindi</w:t>
      </w:r>
      <w:r>
        <w:t>,</w:t>
      </w:r>
      <w:r w:rsidRPr="00E850F5">
        <w:t xml:space="preserve"> prodotte tutte le analisi e le cartografie che derivano dal confronto continuo di tali archivi</w:t>
      </w:r>
      <w:r>
        <w:t>.</w:t>
      </w:r>
    </w:p>
    <w:p w14:paraId="28416324" w14:textId="77777777" w:rsidR="005B793F" w:rsidRPr="008D6B00" w:rsidRDefault="005B793F" w:rsidP="00860B0E">
      <w:pPr>
        <w:pStyle w:val="Titolo4"/>
      </w:pPr>
      <w:r w:rsidRPr="008D6B00">
        <w:t>Gestione della consistenza immobiliare</w:t>
      </w:r>
    </w:p>
    <w:p w14:paraId="6F852CC6" w14:textId="77777777" w:rsidR="005B793F" w:rsidRDefault="005B793F" w:rsidP="005B793F">
      <w:r>
        <w:t>Il modulo consente di dettagliare il patrimonio immobiliare dal punto di vista quantitativo delle singole entità patrimoniali. In particolare, esso consente di:</w:t>
      </w:r>
    </w:p>
    <w:p w14:paraId="631399D2" w14:textId="77777777" w:rsidR="005B793F" w:rsidRDefault="005B793F" w:rsidP="005B793F">
      <w:pPr>
        <w:pStyle w:val="Paragrafoelenco"/>
        <w:numPr>
          <w:ilvl w:val="0"/>
          <w:numId w:val="12"/>
        </w:numPr>
        <w:spacing w:after="0" w:line="360" w:lineRule="auto"/>
      </w:pPr>
      <w:r>
        <w:t>Gestire la consistenza degli edifici in termini di identificativi catastali, di posizione, di dotazioni tecnologiche, del numero di unità immobiliari, delle caratteristiche costruttive, dell’elenco delle unità tecnologiche, della presenza di spazi ad uso comune, …</w:t>
      </w:r>
    </w:p>
    <w:p w14:paraId="0200EABB" w14:textId="77777777" w:rsidR="005B793F" w:rsidRDefault="005B793F" w:rsidP="005B793F">
      <w:pPr>
        <w:pStyle w:val="Paragrafoelenco"/>
        <w:numPr>
          <w:ilvl w:val="0"/>
          <w:numId w:val="12"/>
        </w:numPr>
        <w:spacing w:after="0" w:line="360" w:lineRule="auto"/>
      </w:pPr>
      <w:r>
        <w:t>Gestire la consistenza delle unità immobiliari, in termini di identificativi catastali, dotazioni tecnologiche, dati metrici, pavimentazioni, finiture, …</w:t>
      </w:r>
    </w:p>
    <w:p w14:paraId="7839A873" w14:textId="77777777" w:rsidR="005B793F" w:rsidRPr="00757D37" w:rsidRDefault="005B793F" w:rsidP="005B793F">
      <w:pPr>
        <w:pStyle w:val="Paragrafoelenco"/>
        <w:numPr>
          <w:ilvl w:val="0"/>
          <w:numId w:val="12"/>
        </w:numPr>
        <w:spacing w:after="0" w:line="360" w:lineRule="auto"/>
      </w:pPr>
      <w:r>
        <w:t>Gestire la consistenza dei terreni, con la possibilità distinguere i vari appezzamenti per coltura con indicazione della superficie, data inizio e fine per tipologia di coltura, azienda gestore del terreno, ….</w:t>
      </w:r>
    </w:p>
    <w:p w14:paraId="3F45A7FB" w14:textId="77777777" w:rsidR="005B793F" w:rsidRDefault="005B793F" w:rsidP="00860B0E">
      <w:pPr>
        <w:pStyle w:val="Titolo4"/>
      </w:pPr>
      <w:r w:rsidRPr="00E850F5">
        <w:t>Definizione dei valori di mercato</w:t>
      </w:r>
    </w:p>
    <w:p w14:paraId="2CF9B280" w14:textId="24406BFA" w:rsidR="005B793F" w:rsidRDefault="005B793F" w:rsidP="005B793F">
      <w:r>
        <w:t>Il modulo c</w:t>
      </w:r>
      <w:r w:rsidRPr="00757D37">
        <w:t>onsente il caricamento massivo di fonti dati recuperabili da soggetti esterni (</w:t>
      </w:r>
      <w:r w:rsidRPr="00EF2F28">
        <w:t>Catasto</w:t>
      </w:r>
      <w:r w:rsidRPr="00757D37">
        <w:t>, Piani Regolatori Comunali, Valori medi di mercato, Valori agricoli) collegabili in maniera diretta all’immobile con lo scopo di confrontarne i valori conosciuti.</w:t>
      </w:r>
    </w:p>
    <w:p w14:paraId="0241A036" w14:textId="77777777" w:rsidR="005B793F" w:rsidRDefault="005B793F" w:rsidP="00860B0E">
      <w:pPr>
        <w:pStyle w:val="Titolo4"/>
      </w:pPr>
      <w:r>
        <w:t>Gestione del fascicolo immobiliare</w:t>
      </w:r>
    </w:p>
    <w:p w14:paraId="2AABE493" w14:textId="77777777" w:rsidR="005B793F" w:rsidRDefault="005B793F" w:rsidP="005B793F">
      <w:r>
        <w:t xml:space="preserve">Il modulo consente la classificazione in conformità </w:t>
      </w:r>
      <w:r w:rsidRPr="00F72B92">
        <w:t xml:space="preserve">a quanto previsto dal </w:t>
      </w:r>
      <w:proofErr w:type="spellStart"/>
      <w:r w:rsidRPr="00F72B92">
        <w:t>D.Lgs</w:t>
      </w:r>
      <w:proofErr w:type="spellEnd"/>
      <w:r w:rsidRPr="00F72B92">
        <w:t xml:space="preserve"> 118-2001.</w:t>
      </w:r>
      <w:r>
        <w:t>e l’aggiornamento dell’inventario dei beni immobiliari (sia patrimoniali che strumentali) gestendo l’archiviazione dei beni sia di proprietà che in locazione con distinzione del titolo di possesso.</w:t>
      </w:r>
    </w:p>
    <w:p w14:paraId="1F6CB4A6" w14:textId="77777777" w:rsidR="005B793F" w:rsidRDefault="005B793F" w:rsidP="005B793F">
      <w:r>
        <w:t>In particolare, esso consente di:</w:t>
      </w:r>
    </w:p>
    <w:p w14:paraId="285AF53C" w14:textId="77777777" w:rsidR="005B793F" w:rsidRDefault="005B793F" w:rsidP="005B793F">
      <w:pPr>
        <w:pStyle w:val="Paragrafoelenco"/>
        <w:numPr>
          <w:ilvl w:val="0"/>
          <w:numId w:val="13"/>
        </w:numPr>
        <w:spacing w:after="0" w:line="360" w:lineRule="auto"/>
      </w:pPr>
      <w:r>
        <w:t>Compilare e visualizzare le schede relative alle varie tipologie di bene (fabbricati, terreni, infrastrutture) comprensive delle informazioni che caratterizzano e distinguono le varie forme di bene immobile (dati sulle utenze, dati sugli interventi, contratti attivi/passivi, certificazioni, …),</w:t>
      </w:r>
    </w:p>
    <w:p w14:paraId="447EC9BA" w14:textId="77777777" w:rsidR="005B793F" w:rsidRDefault="005B793F" w:rsidP="005B793F">
      <w:pPr>
        <w:pStyle w:val="Paragrafoelenco"/>
        <w:numPr>
          <w:ilvl w:val="0"/>
          <w:numId w:val="13"/>
        </w:numPr>
        <w:spacing w:after="0" w:line="360" w:lineRule="auto"/>
      </w:pPr>
      <w:r>
        <w:t>Gestire i dati catastali, sia relativi al catasto urbano che al catasto terreni, anche su singole schede,</w:t>
      </w:r>
    </w:p>
    <w:p w14:paraId="4F0DB09F" w14:textId="343A7C53" w:rsidR="005B793F" w:rsidRDefault="005B793F" w:rsidP="005B793F">
      <w:pPr>
        <w:pStyle w:val="Paragrafoelenco"/>
        <w:numPr>
          <w:ilvl w:val="0"/>
          <w:numId w:val="13"/>
        </w:numPr>
        <w:spacing w:after="0" w:line="360" w:lineRule="auto"/>
      </w:pPr>
      <w:r>
        <w:t>Gestire gli e</w:t>
      </w:r>
      <w:r w:rsidRPr="00631745">
        <w:t>laborati planimetrici (</w:t>
      </w:r>
      <w:proofErr w:type="spellStart"/>
      <w:r w:rsidRPr="00631745">
        <w:t>As-Built</w:t>
      </w:r>
      <w:proofErr w:type="spellEnd"/>
      <w:r w:rsidRPr="00631745">
        <w:t xml:space="preserve">): le planimetrie ed i layout degli immobili strumentali sono centralizzati e resi gestibili attraverso il browser WEB. L’aggiornamento di tali elaborati grafici </w:t>
      </w:r>
      <w:r w:rsidR="00F869A2" w:rsidRPr="00631745">
        <w:t>è reso agevole</w:t>
      </w:r>
      <w:r w:rsidRPr="00631745">
        <w:t xml:space="preserve"> dall’in</w:t>
      </w:r>
      <w:r>
        <w:t>terazione con gli strumenti CAD,</w:t>
      </w:r>
    </w:p>
    <w:p w14:paraId="5B3DAB9C" w14:textId="77777777" w:rsidR="005B793F" w:rsidRDefault="005B793F" w:rsidP="005B793F">
      <w:pPr>
        <w:pStyle w:val="Paragrafoelenco"/>
        <w:numPr>
          <w:ilvl w:val="0"/>
          <w:numId w:val="13"/>
        </w:numPr>
        <w:spacing w:after="0" w:line="360" w:lineRule="auto"/>
      </w:pPr>
      <w:r>
        <w:t>Gestire la destinazione urbanistica delle aree,</w:t>
      </w:r>
    </w:p>
    <w:p w14:paraId="67ED766E" w14:textId="77777777" w:rsidR="005B793F" w:rsidRDefault="005B793F" w:rsidP="005B793F">
      <w:pPr>
        <w:pStyle w:val="Paragrafoelenco"/>
        <w:numPr>
          <w:ilvl w:val="0"/>
          <w:numId w:val="13"/>
        </w:numPr>
        <w:spacing w:after="0" w:line="360" w:lineRule="auto"/>
      </w:pPr>
      <w:r>
        <w:t>Geolocalizzare i siti e le entità patrimoniali,</w:t>
      </w:r>
    </w:p>
    <w:p w14:paraId="1BE55658" w14:textId="77777777" w:rsidR="005B793F" w:rsidRDefault="005B793F" w:rsidP="005B793F">
      <w:pPr>
        <w:pStyle w:val="Paragrafoelenco"/>
        <w:numPr>
          <w:ilvl w:val="0"/>
          <w:numId w:val="13"/>
        </w:numPr>
        <w:spacing w:after="0" w:line="360" w:lineRule="auto"/>
      </w:pPr>
      <w:r>
        <w:lastRenderedPageBreak/>
        <w:t>Gestire la galleria fotografica,</w:t>
      </w:r>
    </w:p>
    <w:p w14:paraId="482E3586" w14:textId="77777777" w:rsidR="005B793F" w:rsidRDefault="005B793F" w:rsidP="005B793F">
      <w:pPr>
        <w:pStyle w:val="Paragrafoelenco"/>
        <w:numPr>
          <w:ilvl w:val="0"/>
          <w:numId w:val="13"/>
        </w:numPr>
        <w:spacing w:after="0" w:line="360" w:lineRule="auto"/>
      </w:pPr>
      <w:r>
        <w:t>Gestire la conformità tecnica, ovvero gli adempimenti a cui sono sottoposti e diversi beni patrimoniali, in termini di scadenziario, tipologia e stato dell’adempimento e professionisti incaricati del rinnovo.</w:t>
      </w:r>
    </w:p>
    <w:p w14:paraId="2FC8416E" w14:textId="77777777" w:rsidR="005B793F" w:rsidRDefault="005B793F" w:rsidP="005B793F">
      <w:pPr>
        <w:pStyle w:val="Paragrafoelenco"/>
        <w:numPr>
          <w:ilvl w:val="0"/>
          <w:numId w:val="13"/>
        </w:numPr>
        <w:spacing w:after="0" w:line="360" w:lineRule="auto"/>
      </w:pPr>
      <w:r>
        <w:t>Elaborare report relativi al conto patrimoniale aggregato dell’Ente, al dettaglio del conto patrimoniale, al dettaglio della consistenza patrimoniale, alla consistenza patrimoniale aggregata, alla scheda dell’entità patrimoniale. Tali report possono essere visualizzati nell’applicativo oppure essere estratti in formato pdf.</w:t>
      </w:r>
    </w:p>
    <w:p w14:paraId="3082D415" w14:textId="77777777" w:rsidR="005B793F" w:rsidRDefault="005B793F" w:rsidP="005B793F">
      <w:r>
        <w:t>I documenti sono archiviati in qualsiasi formato in un sistema di gestione documentale strutturato. Attraverso le interfacce messe a disposizione l’utente può creare nuovi livelli di cartelle in subordine al percorso stabilito, aggiornare la versione del documento (</w:t>
      </w:r>
      <w:proofErr w:type="spellStart"/>
      <w:r>
        <w:t>versioning</w:t>
      </w:r>
      <w:proofErr w:type="spellEnd"/>
      <w:r>
        <w:t xml:space="preserve">) ed effettuare ricerche nei contenuti (Full Text </w:t>
      </w:r>
      <w:proofErr w:type="spellStart"/>
      <w:r>
        <w:t>Search</w:t>
      </w:r>
      <w:proofErr w:type="spellEnd"/>
      <w:r>
        <w:t>).</w:t>
      </w:r>
    </w:p>
    <w:p w14:paraId="260EE92C" w14:textId="77777777" w:rsidR="005B793F" w:rsidRDefault="005B793F" w:rsidP="005B793F">
      <w:r>
        <w:t>Di seguito sono descritte le schede attualmente gestite dal Sistema Patrimonio.</w:t>
      </w:r>
    </w:p>
    <w:p w14:paraId="092AAE79" w14:textId="77777777" w:rsidR="005B793F" w:rsidRPr="00860B0E" w:rsidRDefault="005B793F" w:rsidP="00860B0E">
      <w:pPr>
        <w:rPr>
          <w:b/>
          <w:bCs/>
        </w:rPr>
      </w:pPr>
      <w:r w:rsidRPr="00860B0E">
        <w:rPr>
          <w:b/>
          <w:bCs/>
        </w:rPr>
        <w:t>Scheda complesso</w:t>
      </w:r>
    </w:p>
    <w:p w14:paraId="457415C6" w14:textId="77777777" w:rsidR="005B793F" w:rsidRDefault="005B793F" w:rsidP="005B793F">
      <w:r>
        <w:t>Per complesso immobiliare si intende un gruppo riconoscibile di terreni e/o fabbricati che costituiscono un insieme aggregato per ubicazione, affinità, uso, funzioni o per altre caratteristiche individuabili in modo univoco. Un complesso di immobili può, quindi, risultare composto da più fabbricati, ciascuno dei quali può essere costituito da una o più unità edilizie.</w:t>
      </w:r>
    </w:p>
    <w:p w14:paraId="11742127" w14:textId="77777777" w:rsidR="005B793F" w:rsidRDefault="005B793F" w:rsidP="005B793F">
      <w:r>
        <w:t>La scheda complesso ha la funzione di scheda principale e ad essa sono collegate direttamente o indirettamente tutte le altre schede di immissione dati, che possono quindi essere definite come “</w:t>
      </w:r>
      <w:proofErr w:type="spellStart"/>
      <w:r>
        <w:t>sottoschede</w:t>
      </w:r>
      <w:proofErr w:type="spellEnd"/>
      <w:r>
        <w:t>” o “schede derivate”.</w:t>
      </w:r>
    </w:p>
    <w:p w14:paraId="2F288EF0" w14:textId="77777777" w:rsidR="005B793F" w:rsidRDefault="005B793F" w:rsidP="005B793F">
      <w:r>
        <w:t>La scheda ha come obiettivo l’identificazione delle caratteristiche del raggruppamento di fabbricati e/o terreni, lasciando la descrizione dei singoli fabbricati del complesso alle schede derivate relative a ciascuno di essi.</w:t>
      </w:r>
    </w:p>
    <w:p w14:paraId="420068C0" w14:textId="77777777" w:rsidR="005B793F" w:rsidRDefault="005B793F" w:rsidP="005B793F">
      <w:r>
        <w:t xml:space="preserve">La struttura della scheda complesso è costituita da una serie di pagine visualizzate come maschere sovrapposte ciascuna delle quali è dotata di campi di immissione dati. Ogni maschera di immissione è organizzata per guidare l’operatore durante l’immissione delle informazioni all’interno della base di dati. </w:t>
      </w:r>
    </w:p>
    <w:p w14:paraId="24BF663E" w14:textId="77777777" w:rsidR="005B793F" w:rsidRDefault="005B793F" w:rsidP="005B793F">
      <w:r>
        <w:t xml:space="preserve">Le maschere di immissione della scheda complesso prevedono l’immissione delle informazioni di base essenziali per la gestione del complesso immobiliare. Oltre ai dati di identificazione del complesso all’interno del sistema (codice di riferimento, data di compilazione, denominazione) la scheda prevede l’immissione di diversi dati di ubicazione, consistenza e valore. </w:t>
      </w:r>
    </w:p>
    <w:p w14:paraId="5DC21FDB" w14:textId="77777777" w:rsidR="005B793F" w:rsidRDefault="005B793F" w:rsidP="005B793F">
      <w:r>
        <w:t xml:space="preserve">I dati di ubicazione del complesso comprendono la localizzazione amministrativa, l’individuazione degli ambiti territoriali in cui il complesso ricade (ASL, Comunità Montana, AATO, </w:t>
      </w:r>
      <w:proofErr w:type="spellStart"/>
      <w:r>
        <w:t>etc</w:t>
      </w:r>
      <w:proofErr w:type="spellEnd"/>
      <w:r>
        <w:t>), il toponimo di località di riferimento e l’indirizzo completo.</w:t>
      </w:r>
    </w:p>
    <w:p w14:paraId="7B4CEB66" w14:textId="77777777" w:rsidR="005B793F" w:rsidRDefault="005B793F" w:rsidP="005B793F">
      <w:r>
        <w:t>I dati di consistenza comprendono il numero di fabbricati che costituiscono il complesso, la loro tipologia, le superfici pavimentate e i terreni di competenza.</w:t>
      </w:r>
    </w:p>
    <w:p w14:paraId="50EF95E6" w14:textId="77777777" w:rsidR="005B793F" w:rsidRDefault="005B793F" w:rsidP="005B793F">
      <w:r>
        <w:lastRenderedPageBreak/>
        <w:t>I dati di valore comprendono una quantificazione monetaria del valore del complesso e i dati di riferimento per tale quantificazione (data della stima o valutazione, annotazioni sui criteri di valutazione e annotazioni generali).</w:t>
      </w:r>
    </w:p>
    <w:p w14:paraId="1B18CB3A" w14:textId="77777777" w:rsidR="005B793F" w:rsidRPr="00860B0E" w:rsidRDefault="005B793F" w:rsidP="00860B0E">
      <w:pPr>
        <w:rPr>
          <w:b/>
          <w:bCs/>
        </w:rPr>
      </w:pPr>
      <w:r w:rsidRPr="00860B0E">
        <w:rPr>
          <w:b/>
          <w:bCs/>
        </w:rPr>
        <w:t>Scheda dati catastali</w:t>
      </w:r>
    </w:p>
    <w:p w14:paraId="213926FF" w14:textId="77777777" w:rsidR="005B793F" w:rsidRDefault="005B793F" w:rsidP="005B793F">
      <w:r>
        <w:t>La scheda dati catastali raccoglie i dati censuari del catasto terreni e fabbricati che compongono il complesso patrimoniale.</w:t>
      </w:r>
    </w:p>
    <w:p w14:paraId="2899BD95" w14:textId="77777777" w:rsidR="005B793F" w:rsidRDefault="005B793F" w:rsidP="005B793F">
      <w:r>
        <w:t>I dati catastali sono gestiti secondo il formato ed il modello fornito dall’Agenzia del Territorio in modo da consentire un rapido aggiornamento della loro consistenza.</w:t>
      </w:r>
    </w:p>
    <w:p w14:paraId="2D0AD8C5" w14:textId="77777777" w:rsidR="005B793F" w:rsidRDefault="005B793F" w:rsidP="005B793F">
      <w:r>
        <w:t>Le iscrizioni al Catasto terreni che appartengono al complesso daranno origine ad una o più schede di terreni, mentre uno o più subalterni urbani daranno origine alle schede dei fabbricati.</w:t>
      </w:r>
    </w:p>
    <w:p w14:paraId="142AB6AA" w14:textId="77777777" w:rsidR="005B793F" w:rsidRDefault="005B793F" w:rsidP="005B793F">
      <w:r>
        <w:t>Dai dati censuari è possibile passare a consultare le mappe catastali attraverso il modulo GIS (se implementato) che si posizionerà automaticamente sulla particella selezionata.</w:t>
      </w:r>
    </w:p>
    <w:p w14:paraId="4CE4B34F" w14:textId="77777777" w:rsidR="005B793F" w:rsidRPr="00860B0E" w:rsidRDefault="005B793F" w:rsidP="00860B0E">
      <w:pPr>
        <w:rPr>
          <w:b/>
          <w:bCs/>
        </w:rPr>
      </w:pPr>
      <w:r w:rsidRPr="00860B0E">
        <w:rPr>
          <w:b/>
          <w:bCs/>
        </w:rPr>
        <w:t>Scheda fabbricato</w:t>
      </w:r>
    </w:p>
    <w:p w14:paraId="7CBFC805" w14:textId="77777777" w:rsidR="005B793F" w:rsidRDefault="005B793F" w:rsidP="005B793F">
      <w:r>
        <w:t>Un fabbricato è costituito da un edificio, manufatto o opera edilizia isolato o facente parte di un complesso. A sua volta, può essere composto da una o più unità immobiliari o unità edilizie. Gli attributi generali e le caratteristiche costruttive non sono immessi nella scheda fabbricato ma vengono gestiti mediante schede specifiche.</w:t>
      </w:r>
    </w:p>
    <w:p w14:paraId="64695E5A" w14:textId="77777777" w:rsidR="005B793F" w:rsidRDefault="005B793F" w:rsidP="005B793F">
      <w:r>
        <w:t>La scheda fabbricato ha la funzione di scheda derivata ma ad essa sono collegate direttamente o indirettamente altre schede di immissione dati (ex. scheda unità edilizia, scheda complesso).</w:t>
      </w:r>
    </w:p>
    <w:p w14:paraId="39558A52" w14:textId="77777777" w:rsidR="005B793F" w:rsidRDefault="005B793F" w:rsidP="005B793F">
      <w:r>
        <w:t>Essa identifica gli attributi generali e di gestione del fabbricato in termini di funzione, destinazione urbanistica, caratteri e valori ambientali, presenza di vincoli, ecc...</w:t>
      </w:r>
    </w:p>
    <w:p w14:paraId="21A84DA6" w14:textId="77777777" w:rsidR="005B793F" w:rsidRDefault="005B793F" w:rsidP="005B793F">
      <w:r>
        <w:t xml:space="preserve">La struttura della scheda fabbricato è costituita da una serie di pagine visualizzate come maschere sovrapposte ciascuna delle quali è dotata di campi di immissione dati. Ogni maschera di immissione è organizzata per guidare l’operatore durante l’immissione delle informazioni all’interno della base di dati. </w:t>
      </w:r>
    </w:p>
    <w:p w14:paraId="50B79552" w14:textId="77777777" w:rsidR="005B793F" w:rsidRDefault="005B793F" w:rsidP="005B793F">
      <w:r>
        <w:t xml:space="preserve">Le maschere di immissione della scheda fabbricato prevedono l’immissione delle caratteristiche di base del fabbricato. Oltre ai dati di identificazione del fabbricato all’interno del sistema (codice di riferimento, data di compilazione, denominazione) la scheda prevede l’immissione di diversi dati di ubicazione, accessibilità, reti tecnologiche connesse, caratteristiche ambientali, vincoli e destinazioni urbanistiche. </w:t>
      </w:r>
    </w:p>
    <w:p w14:paraId="2DE85796" w14:textId="77777777" w:rsidR="005B793F" w:rsidRDefault="005B793F" w:rsidP="005B793F">
      <w:r>
        <w:t xml:space="preserve">I dati di ubicazione del fabbricato comprendono la localizzazione amministrativa, l’individuazione degli ambiti territoriali in cui il complesso ricade (ASL, Comunità Montana, AATO, </w:t>
      </w:r>
      <w:proofErr w:type="spellStart"/>
      <w:r>
        <w:t>etc</w:t>
      </w:r>
      <w:proofErr w:type="spellEnd"/>
      <w:r>
        <w:t>), il toponimo di località di riferimento e l’indirizzo completo.</w:t>
      </w:r>
    </w:p>
    <w:p w14:paraId="4574E571" w14:textId="77777777" w:rsidR="005B793F" w:rsidRDefault="005B793F" w:rsidP="005B793F">
      <w:r>
        <w:t xml:space="preserve">I dati di accessibilità comprendono il tipo di viabilità di accesso esistente, un giudizio qualitativo su di essa e la quantificazione della distanza dalla viabilità principale. </w:t>
      </w:r>
    </w:p>
    <w:p w14:paraId="3092F29F" w14:textId="77777777" w:rsidR="005B793F" w:rsidRDefault="005B793F" w:rsidP="005B793F">
      <w:r>
        <w:t xml:space="preserve">I dati sulle reti tecnologiche comprendono la segnalazione dell’esistenza di connessioni a reti o di utenze di servizi (Acquedotto, Energia elettrica) in favore del fabbricato. </w:t>
      </w:r>
    </w:p>
    <w:p w14:paraId="10729E0C" w14:textId="77777777" w:rsidR="005B793F" w:rsidRDefault="005B793F" w:rsidP="005B793F">
      <w:r>
        <w:lastRenderedPageBreak/>
        <w:t xml:space="preserve">Le caratteristiche ambientali e il valore architettonico vengono descritte mediante una classificazione qualitativa. La presenza di vincoli viene descritta mediante segnalazione della presenza dei vincoli principali a carico del fabbricato. </w:t>
      </w:r>
    </w:p>
    <w:p w14:paraId="1825F57F" w14:textId="77777777" w:rsidR="005B793F" w:rsidRDefault="005B793F" w:rsidP="005B793F">
      <w:r>
        <w:t xml:space="preserve">Vengono, infine, riportati in appositi campi il codice di destinazione urbanistica corrispondente al fabbricato così come individuato dalle norme o sistemi di pianificazione vigenti e le informazioni relative all’anno di costruzione e di ristrutturazione, oltre a valutazioni qualitative sulla natura delle informazioni stesse.  </w:t>
      </w:r>
    </w:p>
    <w:p w14:paraId="0347D964" w14:textId="77777777" w:rsidR="005B793F" w:rsidRPr="005F4836" w:rsidRDefault="005B793F" w:rsidP="005B793F">
      <w:r>
        <w:t>Altre maschere di immissione dati successive comprendono il collegamento a una serie di dati, attributi e documentazione rilevante (Immagini, fotografie, documenti progettuali e normativi, atti, etc.) ed inoltre i riepiloghi delle informazioni di varia natura relative all’entità censita accumulate nei diversi contenitori di dati del sistema.</w:t>
      </w:r>
    </w:p>
    <w:p w14:paraId="1329632A" w14:textId="77777777" w:rsidR="005B793F" w:rsidRPr="00860B0E" w:rsidRDefault="005B793F" w:rsidP="00860B0E">
      <w:pPr>
        <w:rPr>
          <w:b/>
          <w:bCs/>
        </w:rPr>
      </w:pPr>
      <w:r w:rsidRPr="00860B0E">
        <w:rPr>
          <w:b/>
          <w:bCs/>
        </w:rPr>
        <w:t>Scheda caratteristiche costruttive fabbricato</w:t>
      </w:r>
    </w:p>
    <w:p w14:paraId="35CDF788" w14:textId="77777777" w:rsidR="005B793F" w:rsidRDefault="005B793F" w:rsidP="005B793F">
      <w:r>
        <w:t>Le caratteristiche costruttive del fabbricato sono attributi relativi alla struttura architettonica, ai materiali utilizzati e al livello di finiture presenti.</w:t>
      </w:r>
    </w:p>
    <w:p w14:paraId="399DFBDE" w14:textId="77777777" w:rsidR="005B793F" w:rsidRDefault="005B793F" w:rsidP="005B793F">
      <w:r>
        <w:t xml:space="preserve">La scheda caratteristiche costruttive del fabbricato ha la funzione di scheda derivata ma ad essa sono collegate direttamente o indirettamente altre schede di immissione dati (ex. Scheda fabbricato, scheda unità edilizia, scheda complesso).  </w:t>
      </w:r>
    </w:p>
    <w:p w14:paraId="7CD436DB" w14:textId="77777777" w:rsidR="005B793F" w:rsidRDefault="005B793F" w:rsidP="005B793F">
      <w:r>
        <w:t>Essa identifica gli attributi costruttivi di base del fabbricato in termini di materiali impiegati.</w:t>
      </w:r>
    </w:p>
    <w:p w14:paraId="74496D23" w14:textId="77777777" w:rsidR="005B793F" w:rsidRDefault="005B793F" w:rsidP="005B793F">
      <w:r>
        <w:t xml:space="preserve">La struttura della scheda caratteristiche costruttive fabbricato è costituita da una serie di pagine visualizzate come maschere sovrapposte ciascuna delle quali dotata di campi di immissione dati. Ogni maschera di immissione è organizzata per guidare l’operatore durante l’immissione delle informazioni all’interno della base di dati. </w:t>
      </w:r>
    </w:p>
    <w:p w14:paraId="3FECC20A" w14:textId="77777777" w:rsidR="005B793F" w:rsidRDefault="005B793F" w:rsidP="005B793F">
      <w:r>
        <w:t xml:space="preserve">Le maschere di immissione della scheda prevedono l’immissione delle caratteristiche della struttura. Oltre ai dati di identificazione del fabbricato all’interno del sistema (codice di riferimento, denominazione) la scheda prevede l’immissione di diversi dati di conformazione della struttura, come il tipo di costruzione, le coperture, i tamponamenti, gli infissi esterni, le scale e le finiture esterne. Per ciascuno dei parametri viene selezionata (ed eventualmente aggiunta) una opzione di classificazione qualitativa, integrata da un campo accessorio di valutazione dello stato dell’elemento strutturale. </w:t>
      </w:r>
    </w:p>
    <w:p w14:paraId="78DCC9E1" w14:textId="77777777" w:rsidR="005B793F" w:rsidRDefault="005B793F" w:rsidP="005B793F">
      <w:r>
        <w:t>I campi dati di caratteristiche costruttive del fabbricato comprendono nel dettaglio: il tipo di struttura portante verticale, il tipo di strutture orizzontali, le coperture, i tamponamenti, i serramenti e i sistemi di oscuramento esterni, le scale comuni, i balconi, le finiture esterne. Ciascuno dei campi citati è integrato da un campo associato di valutazione qualitativa. Un campo finale di annotazione generica conclude la pagina.</w:t>
      </w:r>
    </w:p>
    <w:p w14:paraId="4468FA06" w14:textId="77777777" w:rsidR="005B793F" w:rsidRPr="00860B0E" w:rsidRDefault="005B793F" w:rsidP="00860B0E">
      <w:pPr>
        <w:rPr>
          <w:b/>
          <w:bCs/>
        </w:rPr>
      </w:pPr>
      <w:r w:rsidRPr="00860B0E">
        <w:rPr>
          <w:b/>
          <w:bCs/>
        </w:rPr>
        <w:t>Scheda informazioni varie fabbricato</w:t>
      </w:r>
    </w:p>
    <w:p w14:paraId="0A4C8AC1" w14:textId="77777777" w:rsidR="005B793F" w:rsidRDefault="005B793F" w:rsidP="005B793F">
      <w:r>
        <w:t xml:space="preserve">Le informazioni varie del fabbricato sono attributi riguardanti la struttura del fabbricato in termini morfologici, qualitativi e quantitativi, comprendenti ad esempio il numero di piani o il numero di abitazioni presenti.  </w:t>
      </w:r>
    </w:p>
    <w:p w14:paraId="3573C809" w14:textId="77777777" w:rsidR="005B793F" w:rsidRDefault="005B793F" w:rsidP="005B793F">
      <w:r>
        <w:lastRenderedPageBreak/>
        <w:t>La scheda informazioni varie del fabbricato ha la funzione di scheda derivata ma ad essa sono collegate direttamente o indirettamente altre schede di immissione dati (ex. Scheda fabbricato, scheda caratteristiche strutturali, ecc.).</w:t>
      </w:r>
    </w:p>
    <w:p w14:paraId="35CDC468" w14:textId="77777777" w:rsidR="005B793F" w:rsidRDefault="005B793F" w:rsidP="005B793F">
      <w:r>
        <w:t>Essa consente di completare la raccolta di attributi riguardanti la morfologia del fabbricato in termini funzionali.</w:t>
      </w:r>
    </w:p>
    <w:p w14:paraId="31F49A08" w14:textId="77777777" w:rsidR="005B793F" w:rsidRDefault="005B793F" w:rsidP="005B793F">
      <w:r>
        <w:t>La struttura della scheda informazioni varie è costituita da una serie di pagine visualizzate come maschere sovrapposte ciascuna delle quali è dotata di campi di immissione dati. Ogni maschera di immissione è organizzata per guidare l’operatore durante l’input dei dati.</w:t>
      </w:r>
    </w:p>
    <w:p w14:paraId="0FC5ECFE" w14:textId="77777777" w:rsidR="005B793F" w:rsidRDefault="005B793F" w:rsidP="005B793F">
      <w:r>
        <w:t>Le maschere di immissione della scheda prevedono, oltre ai codici di identificazione (codice di riferimento, denominazione) di uso normale, l’immissione delle caratteristiche di consistenza e morfologia del fabbricato come il tipo e numero di accessi, il numero piani fuori terra, la presenza e il numero di unità funzionali o di uso rilevabili, oltre ad eventuali corpi di fabbrica accessori.</w:t>
      </w:r>
    </w:p>
    <w:p w14:paraId="372175B6" w14:textId="77777777" w:rsidR="005B793F" w:rsidRDefault="005B793F" w:rsidP="005B793F">
      <w:r>
        <w:t>I campi dati di consistenza e morfologia del fabbricato comprendono nel dettaglio: il numero di scale, la presenza di cortile interno, il numero di accessi e di piani fuori terra e interrati, per ciascuno e in caso di accessi multipli viene registrata la eventuale difformità nel numero di piani accessibili. Di seguito sono registrate presenza e numero di unità funzionali presenti nel fabbricato, classificate in base a un numero rilevante di usi prevalenti già individuati nella scheda. Due campi finali di annotazione della presenza e del numero di altri corpi di fabbrica concludono la pagina.</w:t>
      </w:r>
    </w:p>
    <w:p w14:paraId="31D72D47" w14:textId="77777777" w:rsidR="005B793F" w:rsidRPr="00860B0E" w:rsidRDefault="005B793F" w:rsidP="00860B0E">
      <w:pPr>
        <w:rPr>
          <w:b/>
          <w:bCs/>
        </w:rPr>
      </w:pPr>
      <w:r w:rsidRPr="00860B0E">
        <w:rPr>
          <w:b/>
          <w:bCs/>
        </w:rPr>
        <w:t>Scheda entità edilizia</w:t>
      </w:r>
    </w:p>
    <w:p w14:paraId="26F0BF2E" w14:textId="77777777" w:rsidR="005B793F" w:rsidRDefault="005B793F" w:rsidP="005B793F">
      <w:r>
        <w:t>Per entità edilizia si intende una porzione di fabbricato suscettibile di individuazione, che costituisca una sub-unità funzionale di un fabbricato censito.</w:t>
      </w:r>
    </w:p>
    <w:p w14:paraId="7CE31F00" w14:textId="77777777" w:rsidR="005B793F" w:rsidRDefault="005B793F" w:rsidP="005B793F">
      <w:r>
        <w:t>La scheda entità edilizia ha il ruolo di scheda derivata ma ad essa sono collegate direttamente o indirettamente altre schede di immissione dati (ex. Scheda fabbricato).</w:t>
      </w:r>
    </w:p>
    <w:p w14:paraId="3029344B" w14:textId="77777777" w:rsidR="005B793F" w:rsidRDefault="005B793F" w:rsidP="005B793F">
      <w:r>
        <w:t xml:space="preserve">La sua utilità consiste nel definire una porzione di fabbricato e le pertinenze relative come entità edilizia, raccogliendo le informazioni e gli attributi della stessa in termini essenzialmente amministrativi e gestionali. </w:t>
      </w:r>
    </w:p>
    <w:p w14:paraId="37C7ED4D" w14:textId="77777777" w:rsidR="005B793F" w:rsidRDefault="005B793F" w:rsidP="005B793F">
      <w:r>
        <w:t>La struttura della scheda entità edilizia è costituita da una serie di pagine visualizzate come maschere sovrapposte ciascuna delle quali è dotata di campi di immissione dati. Ogni maschera di immissione è organizzata per guidare l’operatore durante l’input dei dati.</w:t>
      </w:r>
    </w:p>
    <w:p w14:paraId="0BE76477" w14:textId="77777777" w:rsidR="005B793F" w:rsidRDefault="005B793F" w:rsidP="005B793F">
      <w:r>
        <w:t xml:space="preserve">Le maschere di immissione della scheda prevedono, oltre ai codici di identificazione (codice di riferimento, denominazione) di uso normale, l’immissione degli attributi di tipologia del bene immobile, di ubicazione e classificazione funzionale in relazione all’uso in atto e ai titoli relativi. </w:t>
      </w:r>
    </w:p>
    <w:p w14:paraId="4705D344" w14:textId="77777777" w:rsidR="005B793F" w:rsidRDefault="005B793F" w:rsidP="005B793F">
      <w:r>
        <w:t xml:space="preserve">I dati di tipologia e localizzazione dell’entità edilizia comprendono nel dettaglio: </w:t>
      </w:r>
    </w:p>
    <w:p w14:paraId="4586ADB9" w14:textId="77777777" w:rsidR="005B793F" w:rsidRDefault="005B793F" w:rsidP="005B793F">
      <w:r>
        <w:t xml:space="preserve">la tipologia dell’entità edilizia, l’ubicazione, la localizzazione amministrativa, l’individuazione degli ambiti territoriali in cui il complesso ricade (ASL, Comunità Montana, AATO, </w:t>
      </w:r>
      <w:proofErr w:type="spellStart"/>
      <w:r>
        <w:t>etc</w:t>
      </w:r>
      <w:proofErr w:type="spellEnd"/>
      <w:r>
        <w:t xml:space="preserve">), il toponimo di località di riferimento e l’indirizzo completo compresa l’indicazione della scala, del piano e dell’interno ove presenti. </w:t>
      </w:r>
    </w:p>
    <w:p w14:paraId="5AC359C3" w14:textId="77777777" w:rsidR="005B793F" w:rsidRDefault="005B793F" w:rsidP="005B793F">
      <w:r>
        <w:lastRenderedPageBreak/>
        <w:t>I dati di stato dell’unità edilizia comprendono la classificazione della vetustà dell’oggetto, dello stato qualitativo, gli usi previsti e in atto, i titoli di uso presenti e la loro scadenza. Un campo finale di annotazione generale conclude la pagina.</w:t>
      </w:r>
    </w:p>
    <w:p w14:paraId="1DE050FA" w14:textId="77777777" w:rsidR="005B793F" w:rsidRPr="008E54EC" w:rsidRDefault="005B793F" w:rsidP="008E54EC">
      <w:pPr>
        <w:rPr>
          <w:b/>
          <w:bCs/>
        </w:rPr>
      </w:pPr>
      <w:r w:rsidRPr="008E54EC">
        <w:rPr>
          <w:b/>
          <w:bCs/>
        </w:rPr>
        <w:t>Scheda consistenza entità edilizia</w:t>
      </w:r>
    </w:p>
    <w:p w14:paraId="418F465C" w14:textId="77777777" w:rsidR="005B793F" w:rsidRDefault="005B793F" w:rsidP="005B793F">
      <w:r>
        <w:t>La consistenza dell’entità edilizia rileva l’insieme delle consistenze delle strutture e delle pertinenze accessorie di un determinato fabbricato o di una porzione di esso individuati come singola entità edilizia.</w:t>
      </w:r>
    </w:p>
    <w:p w14:paraId="308B1276" w14:textId="77777777" w:rsidR="005B793F" w:rsidRDefault="005B793F" w:rsidP="005B793F">
      <w:r>
        <w:t>La scheda consistenza entità edilizia ha il ruolo di scheda derivata ma ad essa sono collegate direttamente o indirettamente altre schede di immissione dati (ex. scheda entità edilizia, scheda fabbricato).</w:t>
      </w:r>
    </w:p>
    <w:p w14:paraId="625006F1" w14:textId="77777777" w:rsidR="005B793F" w:rsidRDefault="005B793F" w:rsidP="005B793F">
      <w:r>
        <w:t xml:space="preserve">Essa consente di definire la consistenza e morfologia di una porzione di fabbricato individuato e censito come entità edilizia, raccogliendo le informazioni e gli attributi della stessa in termini essenzialmente volumetrici e morfologici. </w:t>
      </w:r>
    </w:p>
    <w:p w14:paraId="33272FBB" w14:textId="77777777" w:rsidR="005B793F" w:rsidRDefault="005B793F" w:rsidP="005B793F">
      <w:r>
        <w:t>La struttura della scheda consistenza entità edilizia è costituita da una serie di pagine visualizzate come maschere sovrapposte ciascuna delle quali è dotata di campi di immissione dati. Ogni maschera di immissione è organizzata per guidare l’operatore durante l’input dei dati.</w:t>
      </w:r>
    </w:p>
    <w:p w14:paraId="015EED28" w14:textId="77777777" w:rsidR="005B793F" w:rsidRDefault="005B793F" w:rsidP="005B793F">
      <w:r>
        <w:t xml:space="preserve">Le maschere di immissione della scheda prevedono, oltre ai codici di identificazione (codice di riferimento, denominazione) di uso normale, l’immissione degli attributi consistenza in termini di superficie e volumetria del bene immobile. </w:t>
      </w:r>
    </w:p>
    <w:p w14:paraId="31BCD14D" w14:textId="77777777" w:rsidR="005B793F" w:rsidRDefault="005B793F" w:rsidP="005B793F">
      <w:r>
        <w:t>I dati di consistenza dell’entità edilizia comprendono nel dettaglio: la superficie complessiva e disaggregata dei piani interrati e fuori terra, l’altezza totale e quella utile, i volumi dei piani interrati e fuori terra, la presenza di pertinenze, cortili e balconi, la loro superficie e conformità alle cartografie catastali. Un campo finale di annotazione generale conclude la pagina.</w:t>
      </w:r>
    </w:p>
    <w:p w14:paraId="748935C2" w14:textId="77777777" w:rsidR="005B793F" w:rsidRPr="00F6138A" w:rsidRDefault="005B793F" w:rsidP="00F6138A">
      <w:pPr>
        <w:rPr>
          <w:b/>
          <w:bCs/>
        </w:rPr>
      </w:pPr>
      <w:r w:rsidRPr="00F6138A">
        <w:rPr>
          <w:b/>
          <w:bCs/>
        </w:rPr>
        <w:t>Scheda riepilogo entità edilizia</w:t>
      </w:r>
    </w:p>
    <w:p w14:paraId="4EE04FD2" w14:textId="77777777" w:rsidR="005B793F" w:rsidRDefault="005B793F" w:rsidP="005B793F">
      <w:r>
        <w:t xml:space="preserve">Il riepilogo degli attributi di una entità edilizia è costituito dall’insieme aggregato delle informazioni di funzione, uso e consistenza di una o più porzioni di fabbricati individuati e definiti come entità edilizie nella scheda opportunamente prevista a tale scopo. </w:t>
      </w:r>
    </w:p>
    <w:p w14:paraId="0E630295" w14:textId="77777777" w:rsidR="005B793F" w:rsidRDefault="005B793F" w:rsidP="005B793F">
      <w:r>
        <w:t>La scheda riepilogo entità edilizia ha il ruolo di scheda derivata ma ad essa sono collegate direttamente o indirettamente altre schede di immissione dati (ex. scheda entità edilizia).</w:t>
      </w:r>
    </w:p>
    <w:p w14:paraId="0766D910" w14:textId="77777777" w:rsidR="005B793F" w:rsidRDefault="005B793F" w:rsidP="005B793F">
      <w:r>
        <w:t xml:space="preserve">Essa aggrega a scopo riepilogativo i dati strutturali e funzionali classificandoli in base alla destinazione d’uso e fornendo valori quantitativi delle superfici, strutture e impianti destinati agli usi previsti. </w:t>
      </w:r>
    </w:p>
    <w:p w14:paraId="0FA1E081" w14:textId="77777777" w:rsidR="005B793F" w:rsidRDefault="005B793F" w:rsidP="005B793F">
      <w:r>
        <w:t>La struttura della scheda riepilogo entità edilizia è costituita da una serie di pagine visualizzate come maschere sovrapposte ciascuna delle quali è dotata di campi di immissione dati. Ogni maschera di immissione è organizzata per guidare l’operatore durante l’input o la revisione dei dati.</w:t>
      </w:r>
    </w:p>
    <w:p w14:paraId="502E765A" w14:textId="77777777" w:rsidR="005B793F" w:rsidRDefault="005B793F" w:rsidP="005B793F">
      <w:r>
        <w:t xml:space="preserve">Le maschere di immissione della scheda prevedono, oltre ai codici di identificazione (codice di riferimento, denominazione) di uso normale, l’immissione degli attributi di classificazione funzionale associati a campi di descrizione quantitativa in termini di superficie destinata ad ogni uso funzionale. </w:t>
      </w:r>
    </w:p>
    <w:p w14:paraId="217F2B18" w14:textId="77777777" w:rsidR="005B793F" w:rsidRDefault="005B793F" w:rsidP="005B793F">
      <w:r>
        <w:lastRenderedPageBreak/>
        <w:t xml:space="preserve">Gli attributi previsti comprendono nel dettaglio: la descrizione breve della consistenza di ogni unità funzionale presente (tipologie di vani destinati a ciascun uso, camere, servizi, corridoi, etc.) e l’indicazione della consistenza di superficie di ciascuna tipologia descritta. </w:t>
      </w:r>
    </w:p>
    <w:p w14:paraId="26A50DBD" w14:textId="77777777" w:rsidR="005B793F" w:rsidRDefault="005B793F" w:rsidP="005B793F">
      <w:r>
        <w:t>Concludono la pagina di riepilogo alcuni campi finali di annotazione della presenza di funzioni accessorie non riconducibili alla classificazione predefinita, e i campi di somma delle consistenze totali (numero di vani classificati e superfici nette, lorde e calpestabili) dell’entità edilizia.</w:t>
      </w:r>
    </w:p>
    <w:p w14:paraId="1D412369" w14:textId="0A130C65" w:rsidR="000D1E01" w:rsidRDefault="000D1E01" w:rsidP="000D1E01">
      <w:pPr>
        <w:pStyle w:val="Titolo4"/>
        <w:rPr>
          <w:rFonts w:eastAsia="Times New Roman"/>
          <w:lang w:eastAsia="it-IT"/>
        </w:rPr>
      </w:pPr>
      <w:r>
        <w:rPr>
          <w:rFonts w:eastAsia="Times New Roman"/>
          <w:lang w:eastAsia="it-IT"/>
        </w:rPr>
        <w:t>ETL per il Catasto</w:t>
      </w:r>
    </w:p>
    <w:p w14:paraId="66F829EA" w14:textId="468E9207" w:rsidR="000D1E01" w:rsidRDefault="00724808" w:rsidP="000D1E01">
      <w:r>
        <w:t>Il modulo</w:t>
      </w:r>
      <w:r w:rsidR="000D1E01">
        <w:t xml:space="preserve"> ETL </w:t>
      </w:r>
      <w:r>
        <w:t>consente</w:t>
      </w:r>
      <w:r w:rsidR="000D1E01">
        <w:t xml:space="preserve"> il caricamento automatico della banca dati catastale (dati grafici e censuari del catasto terreni e del catasto urbano) nel database del Sistema Patrimonio a partire dai dati forniti dall’Agenzia delle Entrate attraverso il portale dei servizi on-line.</w:t>
      </w:r>
    </w:p>
    <w:p w14:paraId="596CEDBE" w14:textId="4748D2C9" w:rsidR="000D1E01" w:rsidRDefault="000D1E01" w:rsidP="000D1E01">
      <w:r>
        <w:t xml:space="preserve">In particolare, il modulo </w:t>
      </w:r>
      <w:r w:rsidR="00724808">
        <w:t>consente</w:t>
      </w:r>
      <w:r>
        <w:t xml:space="preserve"> il caricamento del primo impianto dei dati che contiene le informazioni in possesso all’Agenzia delle Entrate ad una determinata data. A seguito del primo caricamento esso consent</w:t>
      </w:r>
      <w:r w:rsidR="00724808">
        <w:t>e</w:t>
      </w:r>
      <w:r>
        <w:t xml:space="preserve"> il caricamento de</w:t>
      </w:r>
      <w:r w:rsidR="00CB35FE">
        <w:t>gli</w:t>
      </w:r>
      <w:r>
        <w:t xml:space="preserve"> aggiornamenti della banca dati catastale, che comprendono solo le variazioni intercorse in un certo range di date indicate dall’utente in fase di prenotazione dati presso il portale dell’Agenzia.</w:t>
      </w:r>
    </w:p>
    <w:p w14:paraId="42E975E7" w14:textId="77777777" w:rsidR="000D1E01" w:rsidRDefault="000D1E01" w:rsidP="000D1E01">
      <w:r>
        <w:t>I dati oggetto di caricamento sono:</w:t>
      </w:r>
    </w:p>
    <w:p w14:paraId="115CFDA1" w14:textId="77777777" w:rsidR="000D1E01" w:rsidRDefault="000D1E01" w:rsidP="000D1E01">
      <w:pPr>
        <w:pStyle w:val="Paragrafoelenco"/>
        <w:numPr>
          <w:ilvl w:val="0"/>
          <w:numId w:val="15"/>
        </w:numPr>
        <w:spacing w:after="0" w:line="360" w:lineRule="auto"/>
      </w:pPr>
      <w:r>
        <w:t>Dati censuari catasto terreni ed urbano,</w:t>
      </w:r>
    </w:p>
    <w:p w14:paraId="377AD3BE" w14:textId="77777777" w:rsidR="000D1E01" w:rsidRDefault="000D1E01" w:rsidP="000D1E01">
      <w:pPr>
        <w:pStyle w:val="Paragrafoelenco"/>
        <w:numPr>
          <w:ilvl w:val="0"/>
          <w:numId w:val="15"/>
        </w:numPr>
        <w:spacing w:after="0" w:line="360" w:lineRule="auto"/>
      </w:pPr>
      <w:r>
        <w:t>Dati DOCFA,</w:t>
      </w:r>
    </w:p>
    <w:p w14:paraId="7E19FA15" w14:textId="77777777" w:rsidR="000D1E01" w:rsidRDefault="000D1E01" w:rsidP="000D1E01">
      <w:pPr>
        <w:pStyle w:val="Paragrafoelenco"/>
        <w:numPr>
          <w:ilvl w:val="0"/>
          <w:numId w:val="15"/>
        </w:numPr>
        <w:spacing w:after="0" w:line="360" w:lineRule="auto"/>
      </w:pPr>
      <w:r>
        <w:t>Planimetrie ante-DOCFA,</w:t>
      </w:r>
    </w:p>
    <w:p w14:paraId="459C0492" w14:textId="77777777" w:rsidR="000D1E01" w:rsidRDefault="000D1E01" w:rsidP="000D1E01">
      <w:pPr>
        <w:pStyle w:val="Paragrafoelenco"/>
        <w:numPr>
          <w:ilvl w:val="0"/>
          <w:numId w:val="15"/>
        </w:numPr>
        <w:spacing w:after="0" w:line="360" w:lineRule="auto"/>
      </w:pPr>
      <w:r>
        <w:t>Dati per Calcolo delle superfici degli immobili su base TARSU.</w:t>
      </w:r>
    </w:p>
    <w:p w14:paraId="6EF29565" w14:textId="4843DAF4" w:rsidR="000D1E01" w:rsidRDefault="000D1E01" w:rsidP="00724808">
      <w:pPr>
        <w:pStyle w:val="Titolo4"/>
        <w:rPr>
          <w:rFonts w:eastAsia="Times New Roman"/>
          <w:lang w:eastAsia="it-IT"/>
        </w:rPr>
      </w:pPr>
      <w:r>
        <w:rPr>
          <w:rFonts w:eastAsia="Times New Roman"/>
          <w:lang w:eastAsia="it-IT"/>
        </w:rPr>
        <w:t>WEBAPP</w:t>
      </w:r>
    </w:p>
    <w:p w14:paraId="6B5A271E" w14:textId="121DC309" w:rsidR="000D1E01" w:rsidRPr="00421373" w:rsidRDefault="00CB35FE" w:rsidP="000D1E01">
      <w:r>
        <w:t>La</w:t>
      </w:r>
      <w:r w:rsidR="000D1E01">
        <w:t xml:space="preserve"> </w:t>
      </w:r>
      <w:proofErr w:type="spellStart"/>
      <w:r w:rsidR="000D1E01">
        <w:t>webapp</w:t>
      </w:r>
      <w:proofErr w:type="spellEnd"/>
      <w:r>
        <w:t xml:space="preserve"> </w:t>
      </w:r>
      <w:r w:rsidR="000D1E01">
        <w:t>consent</w:t>
      </w:r>
      <w:r>
        <w:t>e</w:t>
      </w:r>
      <w:r w:rsidR="000D1E01">
        <w:t xml:space="preserve"> agli utenti di</w:t>
      </w:r>
      <w:r w:rsidR="000D1E01" w:rsidRPr="00421373">
        <w:t xml:space="preserve">: </w:t>
      </w:r>
    </w:p>
    <w:p w14:paraId="7C9BAB99" w14:textId="77777777" w:rsidR="000D1E01" w:rsidRPr="00421373" w:rsidRDefault="000D1E01" w:rsidP="000D1E01">
      <w:pPr>
        <w:pStyle w:val="Paragrafoelenco"/>
        <w:numPr>
          <w:ilvl w:val="0"/>
          <w:numId w:val="14"/>
        </w:numPr>
        <w:spacing w:after="0" w:line="360" w:lineRule="auto"/>
        <w:jc w:val="left"/>
      </w:pPr>
      <w:r>
        <w:t>Navigare la cartografia ed i tematismi del patrimonio</w:t>
      </w:r>
      <w:r w:rsidRPr="00421373">
        <w:t>,</w:t>
      </w:r>
      <w:r>
        <w:t xml:space="preserve"> mettendo a disposizioni le funzionalità di zoom, pan, attivazione/disattivazione </w:t>
      </w:r>
      <w:proofErr w:type="spellStart"/>
      <w:r>
        <w:t>layers</w:t>
      </w:r>
      <w:proofErr w:type="spellEnd"/>
      <w:r>
        <w:t>, …</w:t>
      </w:r>
    </w:p>
    <w:p w14:paraId="7B12F69A" w14:textId="77777777" w:rsidR="000D1E01" w:rsidRDefault="000D1E01" w:rsidP="000D1E01">
      <w:pPr>
        <w:pStyle w:val="Paragrafoelenco"/>
        <w:numPr>
          <w:ilvl w:val="0"/>
          <w:numId w:val="14"/>
        </w:numPr>
        <w:spacing w:after="0" w:line="360" w:lineRule="auto"/>
        <w:jc w:val="left"/>
      </w:pPr>
      <w:r>
        <w:t>Interrogare i tematismi visualizzati in mappa,</w:t>
      </w:r>
    </w:p>
    <w:p w14:paraId="218B730D" w14:textId="77777777" w:rsidR="000D1E01" w:rsidRPr="00421373" w:rsidRDefault="000D1E01" w:rsidP="000D1E01">
      <w:pPr>
        <w:pStyle w:val="Paragrafoelenco"/>
        <w:numPr>
          <w:ilvl w:val="0"/>
          <w:numId w:val="14"/>
        </w:numPr>
        <w:spacing w:after="0" w:line="360" w:lineRule="auto"/>
        <w:jc w:val="left"/>
      </w:pPr>
      <w:r>
        <w:t>Ricercare gli oggetti presenti in mappa attraverso appositi criteri di ricerca,</w:t>
      </w:r>
    </w:p>
    <w:p w14:paraId="7DC96BFF" w14:textId="77777777" w:rsidR="000D1E01" w:rsidRDefault="000D1E01" w:rsidP="000D1E01">
      <w:pPr>
        <w:pStyle w:val="Paragrafoelenco"/>
        <w:numPr>
          <w:ilvl w:val="0"/>
          <w:numId w:val="14"/>
        </w:numPr>
        <w:spacing w:after="0" w:line="360" w:lineRule="auto"/>
        <w:jc w:val="left"/>
      </w:pPr>
      <w:r>
        <w:t>Misurare distanze e superfici.</w:t>
      </w:r>
    </w:p>
    <w:p w14:paraId="33411145" w14:textId="31DF4ECC" w:rsidR="000D1E01" w:rsidRDefault="000D1E01" w:rsidP="000D1E01">
      <w:r w:rsidRPr="00237222">
        <w:t xml:space="preserve">La </w:t>
      </w:r>
      <w:proofErr w:type="spellStart"/>
      <w:r w:rsidRPr="00237222">
        <w:t>webapp</w:t>
      </w:r>
      <w:proofErr w:type="spellEnd"/>
      <w:r w:rsidRPr="00237222">
        <w:t xml:space="preserve"> </w:t>
      </w:r>
      <w:r w:rsidR="00CB35FE">
        <w:t>è compatibile</w:t>
      </w:r>
      <w:r>
        <w:t xml:space="preserve"> con S.O. Android e con i browser più diffusi.</w:t>
      </w:r>
    </w:p>
    <w:p w14:paraId="3DAEDA0F" w14:textId="587BDF3F" w:rsidR="00686573" w:rsidRDefault="00686573" w:rsidP="00D93D20"/>
    <w:p w14:paraId="23305705" w14:textId="10871A35" w:rsidR="00F869A2" w:rsidRDefault="00F869A2" w:rsidP="00D93D20"/>
    <w:p w14:paraId="2A05305B" w14:textId="0A1CEA9A" w:rsidR="00F869A2" w:rsidRDefault="00F869A2" w:rsidP="00D93D20"/>
    <w:p w14:paraId="1260D291" w14:textId="77777777" w:rsidR="00F869A2" w:rsidRPr="0049115B" w:rsidRDefault="00F869A2" w:rsidP="00D93D20"/>
    <w:p w14:paraId="7F61B3A0" w14:textId="77777777" w:rsidR="002F4EC1" w:rsidRDefault="002F4EC1" w:rsidP="00D93D20">
      <w:pPr>
        <w:pStyle w:val="Titolo2"/>
      </w:pPr>
      <w:bookmarkStart w:id="28" w:name="_Toc271396"/>
      <w:bookmarkStart w:id="29" w:name="_Toc84339503"/>
      <w:r w:rsidRPr="009D38E8">
        <w:lastRenderedPageBreak/>
        <w:t>A7. Elenco delle Amministrazioni che hanno riusato la buona pratica</w:t>
      </w:r>
      <w:bookmarkEnd w:id="28"/>
      <w:bookmarkEnd w:id="29"/>
    </w:p>
    <w:tbl>
      <w:tblPr>
        <w:tblStyle w:val="Tabellagriglia4-colore1"/>
        <w:tblW w:w="0" w:type="auto"/>
        <w:tblLook w:val="04A0" w:firstRow="1" w:lastRow="0" w:firstColumn="1" w:lastColumn="0" w:noHBand="0" w:noVBand="1"/>
      </w:tblPr>
      <w:tblGrid>
        <w:gridCol w:w="3681"/>
        <w:gridCol w:w="2737"/>
        <w:gridCol w:w="3210"/>
      </w:tblGrid>
      <w:tr w:rsidR="008D4370" w14:paraId="0CC5C177" w14:textId="77777777" w:rsidTr="00DB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98251C" w14:textId="22040E90" w:rsidR="008D4370" w:rsidRDefault="008D4370" w:rsidP="008D4370">
            <w:r>
              <w:t>Ente</w:t>
            </w:r>
          </w:p>
        </w:tc>
        <w:tc>
          <w:tcPr>
            <w:tcW w:w="2737" w:type="dxa"/>
          </w:tcPr>
          <w:p w14:paraId="64D457D8" w14:textId="4430F25F" w:rsidR="008D4370" w:rsidRDefault="008D4370" w:rsidP="008D4370">
            <w:pPr>
              <w:cnfStyle w:val="100000000000" w:firstRow="1" w:lastRow="0" w:firstColumn="0" w:lastColumn="0" w:oddVBand="0" w:evenVBand="0" w:oddHBand="0" w:evenHBand="0" w:firstRowFirstColumn="0" w:firstRowLastColumn="0" w:lastRowFirstColumn="0" w:lastRowLastColumn="0"/>
            </w:pPr>
            <w:r>
              <w:t>Livello di implementazione</w:t>
            </w:r>
            <w:r w:rsidR="00DB767D">
              <w:t xml:space="preserve"> (*)</w:t>
            </w:r>
          </w:p>
        </w:tc>
        <w:tc>
          <w:tcPr>
            <w:tcW w:w="3210" w:type="dxa"/>
          </w:tcPr>
          <w:p w14:paraId="413AEDE8" w14:textId="452F5375" w:rsidR="008D4370" w:rsidRDefault="008D4370" w:rsidP="008D4370">
            <w:pPr>
              <w:cnfStyle w:val="100000000000" w:firstRow="1" w:lastRow="0" w:firstColumn="0" w:lastColumn="0" w:oddVBand="0" w:evenVBand="0" w:oddHBand="0" w:evenHBand="0" w:firstRowFirstColumn="0" w:firstRowLastColumn="0" w:lastRowFirstColumn="0" w:lastRowLastColumn="0"/>
            </w:pPr>
            <w:r>
              <w:t>Referente</w:t>
            </w:r>
          </w:p>
        </w:tc>
      </w:tr>
      <w:tr w:rsidR="008D4370" w14:paraId="088060EF" w14:textId="77777777" w:rsidTr="00DB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9BA017" w14:textId="299CAAFA" w:rsidR="008D4370" w:rsidRPr="008D4370" w:rsidRDefault="008D4370" w:rsidP="008D4370">
            <w:pPr>
              <w:rPr>
                <w:b w:val="0"/>
                <w:bCs w:val="0"/>
              </w:rPr>
            </w:pPr>
            <w:r w:rsidRPr="008D4370">
              <w:rPr>
                <w:b w:val="0"/>
                <w:bCs w:val="0"/>
              </w:rPr>
              <w:t xml:space="preserve">Unione Montana del </w:t>
            </w:r>
            <w:proofErr w:type="spellStart"/>
            <w:r w:rsidRPr="008D4370">
              <w:rPr>
                <w:b w:val="0"/>
                <w:bCs w:val="0"/>
              </w:rPr>
              <w:t>Catria</w:t>
            </w:r>
            <w:proofErr w:type="spellEnd"/>
            <w:r w:rsidRPr="008D4370">
              <w:rPr>
                <w:b w:val="0"/>
                <w:bCs w:val="0"/>
              </w:rPr>
              <w:t xml:space="preserve"> e Nerone</w:t>
            </w:r>
          </w:p>
        </w:tc>
        <w:tc>
          <w:tcPr>
            <w:tcW w:w="2737" w:type="dxa"/>
          </w:tcPr>
          <w:p w14:paraId="02594C21" w14:textId="0B12197B" w:rsidR="008D4370" w:rsidRPr="008D4370" w:rsidRDefault="00245A5B" w:rsidP="008D4370">
            <w:pPr>
              <w:cnfStyle w:val="000000100000" w:firstRow="0" w:lastRow="0" w:firstColumn="0" w:lastColumn="0" w:oddVBand="0" w:evenVBand="0" w:oddHBand="1" w:evenHBand="0" w:firstRowFirstColumn="0" w:firstRowLastColumn="0" w:lastRowFirstColumn="0" w:lastRowLastColumn="0"/>
            </w:pPr>
            <w:r>
              <w:t>Base</w:t>
            </w:r>
          </w:p>
        </w:tc>
        <w:tc>
          <w:tcPr>
            <w:tcW w:w="3210" w:type="dxa"/>
          </w:tcPr>
          <w:p w14:paraId="36CA4330" w14:textId="01B81CF2" w:rsidR="008D4370" w:rsidRPr="008D4370" w:rsidRDefault="00803B28" w:rsidP="008D4370">
            <w:pPr>
              <w:cnfStyle w:val="000000100000" w:firstRow="0" w:lastRow="0" w:firstColumn="0" w:lastColumn="0" w:oddVBand="0" w:evenVBand="0" w:oddHBand="1" w:evenHBand="0" w:firstRowFirstColumn="0" w:firstRowLastColumn="0" w:lastRowFirstColumn="0" w:lastRowLastColumn="0"/>
            </w:pPr>
            <w:r>
              <w:t>Gianluca Cespuglio</w:t>
            </w:r>
          </w:p>
        </w:tc>
      </w:tr>
      <w:tr w:rsidR="008D4370" w14:paraId="4A442545" w14:textId="77777777" w:rsidTr="00DB767D">
        <w:tc>
          <w:tcPr>
            <w:cnfStyle w:val="001000000000" w:firstRow="0" w:lastRow="0" w:firstColumn="1" w:lastColumn="0" w:oddVBand="0" w:evenVBand="0" w:oddHBand="0" w:evenHBand="0" w:firstRowFirstColumn="0" w:firstRowLastColumn="0" w:lastRowFirstColumn="0" w:lastRowLastColumn="0"/>
            <w:tcW w:w="3681" w:type="dxa"/>
          </w:tcPr>
          <w:p w14:paraId="401368CC" w14:textId="53E2FCEE" w:rsidR="008D4370" w:rsidRPr="008D4370" w:rsidRDefault="00803B28" w:rsidP="008D4370">
            <w:pPr>
              <w:rPr>
                <w:b w:val="0"/>
                <w:bCs w:val="0"/>
              </w:rPr>
            </w:pPr>
            <w:r>
              <w:rPr>
                <w:b w:val="0"/>
                <w:bCs w:val="0"/>
              </w:rPr>
              <w:t>Unione Montana dell’Esino Frasassi</w:t>
            </w:r>
          </w:p>
        </w:tc>
        <w:tc>
          <w:tcPr>
            <w:tcW w:w="2737" w:type="dxa"/>
          </w:tcPr>
          <w:p w14:paraId="43A827E3" w14:textId="2DC4BCEA" w:rsidR="008D4370" w:rsidRPr="008D4370" w:rsidRDefault="00DB767D" w:rsidP="008D4370">
            <w:pPr>
              <w:cnfStyle w:val="000000000000" w:firstRow="0" w:lastRow="0" w:firstColumn="0" w:lastColumn="0" w:oddVBand="0" w:evenVBand="0" w:oddHBand="0" w:evenHBand="0" w:firstRowFirstColumn="0" w:firstRowLastColumn="0" w:lastRowFirstColumn="0" w:lastRowLastColumn="0"/>
            </w:pPr>
            <w:r>
              <w:t>Base</w:t>
            </w:r>
          </w:p>
        </w:tc>
        <w:tc>
          <w:tcPr>
            <w:tcW w:w="3210" w:type="dxa"/>
          </w:tcPr>
          <w:p w14:paraId="250EF7C6" w14:textId="3C89623D" w:rsidR="008D4370" w:rsidRPr="008D4370" w:rsidRDefault="00237FD5" w:rsidP="008D4370">
            <w:pPr>
              <w:cnfStyle w:val="000000000000" w:firstRow="0" w:lastRow="0" w:firstColumn="0" w:lastColumn="0" w:oddVBand="0" w:evenVBand="0" w:oddHBand="0" w:evenHBand="0" w:firstRowFirstColumn="0" w:firstRowLastColumn="0" w:lastRowFirstColumn="0" w:lastRowLastColumn="0"/>
            </w:pPr>
            <w:r w:rsidRPr="00237FD5">
              <w:t>Massimiliano Scotti</w:t>
            </w:r>
          </w:p>
        </w:tc>
      </w:tr>
      <w:tr w:rsidR="008D4370" w14:paraId="2AA7B21C" w14:textId="77777777" w:rsidTr="00DB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56A6B4" w14:textId="4B57A7DD" w:rsidR="008D4370" w:rsidRPr="008D4370" w:rsidRDefault="00803B28" w:rsidP="008D4370">
            <w:pPr>
              <w:rPr>
                <w:b w:val="0"/>
                <w:bCs w:val="0"/>
              </w:rPr>
            </w:pPr>
            <w:r>
              <w:rPr>
                <w:b w:val="0"/>
                <w:bCs w:val="0"/>
              </w:rPr>
              <w:t>Comune di Maiolati Spontini</w:t>
            </w:r>
          </w:p>
        </w:tc>
        <w:tc>
          <w:tcPr>
            <w:tcW w:w="2737" w:type="dxa"/>
          </w:tcPr>
          <w:p w14:paraId="1E460AAE" w14:textId="50682F4B" w:rsidR="008D4370" w:rsidRPr="008D4370" w:rsidRDefault="00245A5B" w:rsidP="008D4370">
            <w:pPr>
              <w:cnfStyle w:val="000000100000" w:firstRow="0" w:lastRow="0" w:firstColumn="0" w:lastColumn="0" w:oddVBand="0" w:evenVBand="0" w:oddHBand="1" w:evenHBand="0" w:firstRowFirstColumn="0" w:firstRowLastColumn="0" w:lastRowFirstColumn="0" w:lastRowLastColumn="0"/>
            </w:pPr>
            <w:r>
              <w:t>Base</w:t>
            </w:r>
          </w:p>
        </w:tc>
        <w:tc>
          <w:tcPr>
            <w:tcW w:w="3210" w:type="dxa"/>
          </w:tcPr>
          <w:p w14:paraId="00146D09" w14:textId="64EC2DB2" w:rsidR="008D4370" w:rsidRPr="008D4370" w:rsidRDefault="00E30BBF" w:rsidP="008D4370">
            <w:pPr>
              <w:cnfStyle w:val="000000100000" w:firstRow="0" w:lastRow="0" w:firstColumn="0" w:lastColumn="0" w:oddVBand="0" w:evenVBand="0" w:oddHBand="1" w:evenHBand="0" w:firstRowFirstColumn="0" w:firstRowLastColumn="0" w:lastRowFirstColumn="0" w:lastRowLastColumn="0"/>
            </w:pPr>
            <w:r w:rsidRPr="00E30BBF">
              <w:t>Alessandro Testadiferro</w:t>
            </w:r>
          </w:p>
        </w:tc>
      </w:tr>
      <w:tr w:rsidR="008D4370" w14:paraId="11FC909F" w14:textId="77777777" w:rsidTr="00DB767D">
        <w:tc>
          <w:tcPr>
            <w:cnfStyle w:val="001000000000" w:firstRow="0" w:lastRow="0" w:firstColumn="1" w:lastColumn="0" w:oddVBand="0" w:evenVBand="0" w:oddHBand="0" w:evenHBand="0" w:firstRowFirstColumn="0" w:firstRowLastColumn="0" w:lastRowFirstColumn="0" w:lastRowLastColumn="0"/>
            <w:tcW w:w="3681" w:type="dxa"/>
          </w:tcPr>
          <w:p w14:paraId="7E68ACB8" w14:textId="69866586" w:rsidR="008D4370" w:rsidRPr="008D4370" w:rsidRDefault="00803B28" w:rsidP="008D4370">
            <w:pPr>
              <w:rPr>
                <w:b w:val="0"/>
                <w:bCs w:val="0"/>
              </w:rPr>
            </w:pPr>
            <w:r>
              <w:rPr>
                <w:b w:val="0"/>
                <w:bCs w:val="0"/>
              </w:rPr>
              <w:t xml:space="preserve">Comune di </w:t>
            </w:r>
            <w:r w:rsidR="005626DB">
              <w:rPr>
                <w:b w:val="0"/>
                <w:bCs w:val="0"/>
              </w:rPr>
              <w:t>Gioia del Colle</w:t>
            </w:r>
          </w:p>
        </w:tc>
        <w:tc>
          <w:tcPr>
            <w:tcW w:w="2737" w:type="dxa"/>
          </w:tcPr>
          <w:p w14:paraId="10B70070" w14:textId="47EB1F25" w:rsidR="008D4370" w:rsidRPr="008D4370" w:rsidRDefault="00245A5B" w:rsidP="008D4370">
            <w:pPr>
              <w:cnfStyle w:val="000000000000" w:firstRow="0" w:lastRow="0" w:firstColumn="0" w:lastColumn="0" w:oddVBand="0" w:evenVBand="0" w:oddHBand="0" w:evenHBand="0" w:firstRowFirstColumn="0" w:firstRowLastColumn="0" w:lastRowFirstColumn="0" w:lastRowLastColumn="0"/>
            </w:pPr>
            <w:r>
              <w:t>Base</w:t>
            </w:r>
          </w:p>
        </w:tc>
        <w:tc>
          <w:tcPr>
            <w:tcW w:w="3210" w:type="dxa"/>
          </w:tcPr>
          <w:p w14:paraId="57988A40" w14:textId="47937D57" w:rsidR="008D4370" w:rsidRPr="008D4370" w:rsidRDefault="005537E8" w:rsidP="008D4370">
            <w:pPr>
              <w:cnfStyle w:val="000000000000" w:firstRow="0" w:lastRow="0" w:firstColumn="0" w:lastColumn="0" w:oddVBand="0" w:evenVBand="0" w:oddHBand="0" w:evenHBand="0" w:firstRowFirstColumn="0" w:firstRowLastColumn="0" w:lastRowFirstColumn="0" w:lastRowLastColumn="0"/>
            </w:pPr>
            <w:r w:rsidRPr="005537E8">
              <w:t>Nicola Gemmato</w:t>
            </w:r>
          </w:p>
        </w:tc>
      </w:tr>
      <w:tr w:rsidR="008D4370" w14:paraId="2A5AE24D" w14:textId="77777777" w:rsidTr="00DB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4CF4C" w14:textId="4E840076" w:rsidR="008D4370" w:rsidRPr="008D4370" w:rsidRDefault="005626DB" w:rsidP="008D4370">
            <w:pPr>
              <w:rPr>
                <w:b w:val="0"/>
                <w:bCs w:val="0"/>
              </w:rPr>
            </w:pPr>
            <w:r>
              <w:rPr>
                <w:b w:val="0"/>
                <w:bCs w:val="0"/>
              </w:rPr>
              <w:t>Comune di Castel Madama</w:t>
            </w:r>
          </w:p>
        </w:tc>
        <w:tc>
          <w:tcPr>
            <w:tcW w:w="2737" w:type="dxa"/>
          </w:tcPr>
          <w:p w14:paraId="67D15E8A" w14:textId="2216B28C" w:rsidR="008D4370" w:rsidRPr="008D4370" w:rsidRDefault="00245A5B" w:rsidP="008D4370">
            <w:pPr>
              <w:cnfStyle w:val="000000100000" w:firstRow="0" w:lastRow="0" w:firstColumn="0" w:lastColumn="0" w:oddVBand="0" w:evenVBand="0" w:oddHBand="1" w:evenHBand="0" w:firstRowFirstColumn="0" w:firstRowLastColumn="0" w:lastRowFirstColumn="0" w:lastRowLastColumn="0"/>
            </w:pPr>
            <w:r>
              <w:t>Base</w:t>
            </w:r>
          </w:p>
        </w:tc>
        <w:tc>
          <w:tcPr>
            <w:tcW w:w="3210" w:type="dxa"/>
          </w:tcPr>
          <w:p w14:paraId="6624BC5B" w14:textId="056D4960" w:rsidR="008D4370" w:rsidRPr="008D4370" w:rsidRDefault="00A7280C" w:rsidP="008D4370">
            <w:pPr>
              <w:cnfStyle w:val="000000100000" w:firstRow="0" w:lastRow="0" w:firstColumn="0" w:lastColumn="0" w:oddVBand="0" w:evenVBand="0" w:oddHBand="1" w:evenHBand="0" w:firstRowFirstColumn="0" w:firstRowLastColumn="0" w:lastRowFirstColumn="0" w:lastRowLastColumn="0"/>
            </w:pPr>
            <w:r w:rsidRPr="00A7280C">
              <w:t>Katia Amabili</w:t>
            </w:r>
          </w:p>
        </w:tc>
      </w:tr>
      <w:tr w:rsidR="00630CFC" w14:paraId="783DB642" w14:textId="77777777" w:rsidTr="00DB767D">
        <w:tc>
          <w:tcPr>
            <w:cnfStyle w:val="001000000000" w:firstRow="0" w:lastRow="0" w:firstColumn="1" w:lastColumn="0" w:oddVBand="0" w:evenVBand="0" w:oddHBand="0" w:evenHBand="0" w:firstRowFirstColumn="0" w:firstRowLastColumn="0" w:lastRowFirstColumn="0" w:lastRowLastColumn="0"/>
            <w:tcW w:w="3681" w:type="dxa"/>
          </w:tcPr>
          <w:p w14:paraId="53D9A4CD" w14:textId="146908D9" w:rsidR="00630CFC" w:rsidRDefault="00630CFC" w:rsidP="008D4370">
            <w:pPr>
              <w:rPr>
                <w:b w:val="0"/>
                <w:bCs w:val="0"/>
              </w:rPr>
            </w:pPr>
            <w:r>
              <w:rPr>
                <w:b w:val="0"/>
                <w:bCs w:val="0"/>
              </w:rPr>
              <w:t>Comune di Marino</w:t>
            </w:r>
          </w:p>
        </w:tc>
        <w:tc>
          <w:tcPr>
            <w:tcW w:w="2737" w:type="dxa"/>
          </w:tcPr>
          <w:p w14:paraId="5F943E96" w14:textId="03CE8DAF" w:rsidR="00630CFC" w:rsidRDefault="00630CFC" w:rsidP="008D4370">
            <w:pPr>
              <w:cnfStyle w:val="000000000000" w:firstRow="0" w:lastRow="0" w:firstColumn="0" w:lastColumn="0" w:oddVBand="0" w:evenVBand="0" w:oddHBand="0" w:evenHBand="0" w:firstRowFirstColumn="0" w:firstRowLastColumn="0" w:lastRowFirstColumn="0" w:lastRowLastColumn="0"/>
            </w:pPr>
            <w:r>
              <w:t>Base</w:t>
            </w:r>
          </w:p>
        </w:tc>
        <w:tc>
          <w:tcPr>
            <w:tcW w:w="3210" w:type="dxa"/>
          </w:tcPr>
          <w:p w14:paraId="5531F2D5" w14:textId="1C852315" w:rsidR="00630CFC" w:rsidRPr="008D4370" w:rsidRDefault="00630CFC" w:rsidP="008D4370">
            <w:pPr>
              <w:cnfStyle w:val="000000000000" w:firstRow="0" w:lastRow="0" w:firstColumn="0" w:lastColumn="0" w:oddVBand="0" w:evenVBand="0" w:oddHBand="0" w:evenHBand="0" w:firstRowFirstColumn="0" w:firstRowLastColumn="0" w:lastRowFirstColumn="0" w:lastRowLastColumn="0"/>
            </w:pPr>
            <w:r>
              <w:t>Dino Menghini</w:t>
            </w:r>
          </w:p>
        </w:tc>
      </w:tr>
      <w:tr w:rsidR="005626DB" w14:paraId="376DDC9B" w14:textId="77777777" w:rsidTr="00DB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E643D53" w14:textId="13530FAF" w:rsidR="005626DB" w:rsidRDefault="005626DB" w:rsidP="008D4370">
            <w:pPr>
              <w:rPr>
                <w:b w:val="0"/>
                <w:bCs w:val="0"/>
              </w:rPr>
            </w:pPr>
            <w:r>
              <w:rPr>
                <w:b w:val="0"/>
                <w:bCs w:val="0"/>
              </w:rPr>
              <w:t>Comune di Castiglione del Lago</w:t>
            </w:r>
          </w:p>
        </w:tc>
        <w:tc>
          <w:tcPr>
            <w:tcW w:w="2737" w:type="dxa"/>
          </w:tcPr>
          <w:p w14:paraId="6691A14C" w14:textId="1446CC71" w:rsidR="005626DB" w:rsidRPr="008D4370" w:rsidRDefault="00245A5B" w:rsidP="008D4370">
            <w:pPr>
              <w:cnfStyle w:val="000000100000" w:firstRow="0" w:lastRow="0" w:firstColumn="0" w:lastColumn="0" w:oddVBand="0" w:evenVBand="0" w:oddHBand="1" w:evenHBand="0" w:firstRowFirstColumn="0" w:firstRowLastColumn="0" w:lastRowFirstColumn="0" w:lastRowLastColumn="0"/>
            </w:pPr>
            <w:r>
              <w:t>Base</w:t>
            </w:r>
          </w:p>
        </w:tc>
        <w:tc>
          <w:tcPr>
            <w:tcW w:w="3210" w:type="dxa"/>
          </w:tcPr>
          <w:p w14:paraId="7BE5BC18" w14:textId="2274797F" w:rsidR="005626DB" w:rsidRPr="008D4370" w:rsidRDefault="00CD476C" w:rsidP="008D4370">
            <w:pPr>
              <w:cnfStyle w:val="000000100000" w:firstRow="0" w:lastRow="0" w:firstColumn="0" w:lastColumn="0" w:oddVBand="0" w:evenVBand="0" w:oddHBand="1" w:evenHBand="0" w:firstRowFirstColumn="0" w:firstRowLastColumn="0" w:lastRowFirstColumn="0" w:lastRowLastColumn="0"/>
            </w:pPr>
            <w:r>
              <w:t xml:space="preserve">Claudio </w:t>
            </w:r>
            <w:proofErr w:type="spellStart"/>
            <w:r>
              <w:t>Mondovecchio</w:t>
            </w:r>
            <w:proofErr w:type="spellEnd"/>
          </w:p>
        </w:tc>
      </w:tr>
      <w:tr w:rsidR="005626DB" w14:paraId="5889B467" w14:textId="77777777" w:rsidTr="00DB767D">
        <w:tc>
          <w:tcPr>
            <w:cnfStyle w:val="001000000000" w:firstRow="0" w:lastRow="0" w:firstColumn="1" w:lastColumn="0" w:oddVBand="0" w:evenVBand="0" w:oddHBand="0" w:evenHBand="0" w:firstRowFirstColumn="0" w:firstRowLastColumn="0" w:lastRowFirstColumn="0" w:lastRowLastColumn="0"/>
            <w:tcW w:w="3681" w:type="dxa"/>
          </w:tcPr>
          <w:p w14:paraId="0F8E07F3" w14:textId="72383F62" w:rsidR="005626DB" w:rsidRDefault="005626DB" w:rsidP="008D4370">
            <w:pPr>
              <w:rPr>
                <w:b w:val="0"/>
                <w:bCs w:val="0"/>
              </w:rPr>
            </w:pPr>
            <w:r>
              <w:rPr>
                <w:b w:val="0"/>
                <w:bCs w:val="0"/>
              </w:rPr>
              <w:t xml:space="preserve">Comune di </w:t>
            </w:r>
            <w:r w:rsidR="00DB767D">
              <w:rPr>
                <w:b w:val="0"/>
                <w:bCs w:val="0"/>
              </w:rPr>
              <w:t>Caserta</w:t>
            </w:r>
          </w:p>
        </w:tc>
        <w:tc>
          <w:tcPr>
            <w:tcW w:w="2737" w:type="dxa"/>
          </w:tcPr>
          <w:p w14:paraId="56D3BB42" w14:textId="0B9BEB09" w:rsidR="005626DB" w:rsidRPr="008D4370" w:rsidRDefault="00245A5B" w:rsidP="008D4370">
            <w:pPr>
              <w:cnfStyle w:val="000000000000" w:firstRow="0" w:lastRow="0" w:firstColumn="0" w:lastColumn="0" w:oddVBand="0" w:evenVBand="0" w:oddHBand="0" w:evenHBand="0" w:firstRowFirstColumn="0" w:firstRowLastColumn="0" w:lastRowFirstColumn="0" w:lastRowLastColumn="0"/>
            </w:pPr>
            <w:r>
              <w:t>Base</w:t>
            </w:r>
          </w:p>
        </w:tc>
        <w:tc>
          <w:tcPr>
            <w:tcW w:w="3210" w:type="dxa"/>
          </w:tcPr>
          <w:p w14:paraId="13C3C5D8" w14:textId="629D18DE" w:rsidR="005626DB" w:rsidRPr="008D4370" w:rsidRDefault="00815481" w:rsidP="008D4370">
            <w:pPr>
              <w:cnfStyle w:val="000000000000" w:firstRow="0" w:lastRow="0" w:firstColumn="0" w:lastColumn="0" w:oddVBand="0" w:evenVBand="0" w:oddHBand="0" w:evenHBand="0" w:firstRowFirstColumn="0" w:firstRowLastColumn="0" w:lastRowFirstColumn="0" w:lastRowLastColumn="0"/>
            </w:pPr>
            <w:r w:rsidRPr="00815481">
              <w:t>Giovanni Natale</w:t>
            </w:r>
          </w:p>
        </w:tc>
      </w:tr>
    </w:tbl>
    <w:p w14:paraId="5420BDA0" w14:textId="24CF0A18" w:rsidR="00500F10" w:rsidRDefault="00500F10" w:rsidP="008D437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pPr>
    </w:p>
    <w:p w14:paraId="2FF7FF35" w14:textId="0CA33408" w:rsidR="000639EF" w:rsidRDefault="00DB767D" w:rsidP="008D437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pPr>
      <w:r>
        <w:t xml:space="preserve">(*) </w:t>
      </w:r>
      <w:r w:rsidR="000639EF">
        <w:t>Sono definiti i seguenti livelli:</w:t>
      </w:r>
    </w:p>
    <w:p w14:paraId="35C2FD8E" w14:textId="3F39D5C7" w:rsidR="00DB767D" w:rsidRDefault="00DB767D" w:rsidP="008D437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pPr>
      <w:r w:rsidRPr="000639EF">
        <w:rPr>
          <w:b/>
          <w:bCs/>
        </w:rPr>
        <w:t>Livello base</w:t>
      </w:r>
      <w:r>
        <w:t xml:space="preserve">: l’Ente ha adottato il sistema </w:t>
      </w:r>
      <w:proofErr w:type="spellStart"/>
      <w:r>
        <w:t>ProMa</w:t>
      </w:r>
      <w:proofErr w:type="spellEnd"/>
      <w:r>
        <w:t xml:space="preserve"> e l’implementazione della banca dati </w:t>
      </w:r>
      <w:r w:rsidR="00245A5B">
        <w:t>limitatamente alle informazioni minime</w:t>
      </w:r>
    </w:p>
    <w:p w14:paraId="160DA8B8" w14:textId="4C8844E4" w:rsidR="000639EF" w:rsidRDefault="000639EF" w:rsidP="008D437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pPr>
      <w:r w:rsidRPr="000639EF">
        <w:rPr>
          <w:b/>
          <w:bCs/>
        </w:rPr>
        <w:t>Livello avanzato</w:t>
      </w:r>
      <w:r>
        <w:t xml:space="preserve">: l’Ente ha adottato il sistema </w:t>
      </w:r>
      <w:proofErr w:type="spellStart"/>
      <w:r>
        <w:t>ProMa</w:t>
      </w:r>
      <w:proofErr w:type="spellEnd"/>
      <w:r>
        <w:t xml:space="preserve"> ed ha proceduto con proprie risorse al reperimento delle informazioni </w:t>
      </w:r>
      <w:r w:rsidR="00245A5B">
        <w:t>dettagliate dei beni</w:t>
      </w:r>
    </w:p>
    <w:p w14:paraId="28FF1ADD" w14:textId="1FC31B6F" w:rsidR="00584F5D" w:rsidRPr="00584F5D" w:rsidRDefault="00584F5D" w:rsidP="00500F10"/>
    <w:sectPr w:rsidR="00584F5D" w:rsidRPr="00584F5D">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71C9" w14:textId="77777777" w:rsidR="008D1681" w:rsidRDefault="008D1681" w:rsidP="00D93D20">
      <w:r>
        <w:separator/>
      </w:r>
    </w:p>
  </w:endnote>
  <w:endnote w:type="continuationSeparator" w:id="0">
    <w:p w14:paraId="514A9251" w14:textId="77777777" w:rsidR="008D1681" w:rsidRDefault="008D1681" w:rsidP="00D9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907515"/>
      <w:docPartObj>
        <w:docPartGallery w:val="Page Numbers (Bottom of Page)"/>
        <w:docPartUnique/>
      </w:docPartObj>
    </w:sdtPr>
    <w:sdtEndPr/>
    <w:sdtContent>
      <w:sdt>
        <w:sdtPr>
          <w:id w:val="1728636285"/>
          <w:docPartObj>
            <w:docPartGallery w:val="Page Numbers (Top of Page)"/>
            <w:docPartUnique/>
          </w:docPartObj>
        </w:sdtPr>
        <w:sdtEndPr/>
        <w:sdtContent>
          <w:p w14:paraId="7FD104FF" w14:textId="1F7886C0" w:rsidR="00113293" w:rsidRDefault="00113293" w:rsidP="000903DA">
            <w:pPr>
              <w:pStyle w:val="Pidipagina"/>
              <w:jc w:val="center"/>
            </w:pPr>
            <w:r>
              <w:t xml:space="preserve">Pag. </w:t>
            </w:r>
            <w:r>
              <w:rPr>
                <w:sz w:val="24"/>
                <w:szCs w:val="24"/>
              </w:rPr>
              <w:fldChar w:fldCharType="begin"/>
            </w:r>
            <w:r>
              <w:instrText>PAGE</w:instrText>
            </w:r>
            <w:r>
              <w:rPr>
                <w:sz w:val="24"/>
                <w:szCs w:val="24"/>
              </w:rPr>
              <w:fldChar w:fldCharType="separate"/>
            </w:r>
            <w:r w:rsidR="00500F10">
              <w:rPr>
                <w:noProof/>
              </w:rPr>
              <w:t>6</w:t>
            </w:r>
            <w:r>
              <w:rPr>
                <w:sz w:val="24"/>
                <w:szCs w:val="24"/>
              </w:rPr>
              <w:fldChar w:fldCharType="end"/>
            </w:r>
            <w:r>
              <w:t xml:space="preserve"> a </w:t>
            </w:r>
            <w:r>
              <w:rPr>
                <w:sz w:val="24"/>
                <w:szCs w:val="24"/>
              </w:rPr>
              <w:fldChar w:fldCharType="begin"/>
            </w:r>
            <w:r>
              <w:instrText>NUMPAGES</w:instrText>
            </w:r>
            <w:r>
              <w:rPr>
                <w:sz w:val="24"/>
                <w:szCs w:val="24"/>
              </w:rPr>
              <w:fldChar w:fldCharType="separate"/>
            </w:r>
            <w:r w:rsidR="00500F10">
              <w:rPr>
                <w:noProof/>
              </w:rPr>
              <w:t>6</w:t>
            </w:r>
            <w:r>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CA33" w14:textId="77777777" w:rsidR="008D1681" w:rsidRDefault="008D1681" w:rsidP="00D93D20">
      <w:r>
        <w:separator/>
      </w:r>
    </w:p>
  </w:footnote>
  <w:footnote w:type="continuationSeparator" w:id="0">
    <w:p w14:paraId="315D0247" w14:textId="77777777" w:rsidR="008D1681" w:rsidRDefault="008D1681" w:rsidP="00D93D20">
      <w:r>
        <w:continuationSeparator/>
      </w:r>
    </w:p>
  </w:footnote>
  <w:footnote w:id="1">
    <w:p w14:paraId="77976EE3" w14:textId="77777777" w:rsidR="007076CE" w:rsidRPr="002E7DA6" w:rsidRDefault="007076CE" w:rsidP="007076C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2"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2"/>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F110" w14:textId="71EC07A9" w:rsidR="007D5EE3" w:rsidRDefault="007D5EE3" w:rsidP="007D5EE3">
    <w:pPr>
      <w:pStyle w:val="Intestazione"/>
      <w:jc w:val="center"/>
    </w:pPr>
    <w:r>
      <w:rPr>
        <w:noProof/>
        <w:lang w:val="en-US"/>
      </w:rPr>
      <w:drawing>
        <wp:inline distT="0" distB="0" distL="0" distR="0" wp14:anchorId="01ED652B" wp14:editId="0B4EE636">
          <wp:extent cx="5732145" cy="900806"/>
          <wp:effectExtent l="0" t="0" r="1905" b="0"/>
          <wp:docPr id="5"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
                    <a:extLst>
                      <a:ext uri="{28A0092B-C50C-407E-A947-70E740481C1C}">
                        <a14:useLocalDpi xmlns:a14="http://schemas.microsoft.com/office/drawing/2010/main" val="0"/>
                      </a:ext>
                    </a:extLst>
                  </a:blip>
                  <a:srcRect l="518" r="842"/>
                  <a:stretch/>
                </pic:blipFill>
                <pic:spPr bwMode="auto">
                  <a:xfrm>
                    <a:off x="0" y="0"/>
                    <a:ext cx="5732145" cy="900806"/>
                  </a:xfrm>
                  <a:prstGeom prst="rect">
                    <a:avLst/>
                  </a:prstGeom>
                  <a:noFill/>
                  <a:ln>
                    <a:noFill/>
                  </a:ln>
                  <a:extLst>
                    <a:ext uri="{53640926-AAD7-44D8-BBD7-CCE9431645EC}">
                      <a14:shadowObscured xmlns:a14="http://schemas.microsoft.com/office/drawing/2010/main"/>
                    </a:ext>
                  </a:extLst>
                </pic:spPr>
              </pic:pic>
            </a:graphicData>
          </a:graphic>
        </wp:inline>
      </w:drawing>
    </w:r>
  </w:p>
  <w:p w14:paraId="06EEC640" w14:textId="77777777" w:rsidR="007D5EE3" w:rsidRDefault="007D5EE3" w:rsidP="007D5EE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91F"/>
    <w:multiLevelType w:val="hybridMultilevel"/>
    <w:tmpl w:val="65E0B10A"/>
    <w:lvl w:ilvl="0" w:tplc="9DD6B79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9F06A3"/>
    <w:multiLevelType w:val="hybridMultilevel"/>
    <w:tmpl w:val="8D86CA62"/>
    <w:lvl w:ilvl="0" w:tplc="07382B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E57AF0"/>
    <w:multiLevelType w:val="hybridMultilevel"/>
    <w:tmpl w:val="D0D61F66"/>
    <w:lvl w:ilvl="0" w:tplc="89FACE4E">
      <w:numFmt w:val="bullet"/>
      <w:lvlText w:val="-"/>
      <w:lvlJc w:val="left"/>
      <w:pPr>
        <w:ind w:left="720" w:hanging="360"/>
      </w:pPr>
      <w:rPr>
        <w:rFonts w:ascii="Calibri" w:eastAsiaTheme="minorHAnsi" w:hAnsi="Calibri" w:cstheme="minorBidi" w:hint="default"/>
      </w:rPr>
    </w:lvl>
    <w:lvl w:ilvl="1" w:tplc="E4EA6334">
      <w:start w:val="4"/>
      <w:numFmt w:val="bullet"/>
      <w:lvlText w:val="•"/>
      <w:lvlJc w:val="left"/>
      <w:pPr>
        <w:ind w:left="1785" w:hanging="705"/>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59569B"/>
    <w:multiLevelType w:val="hybridMultilevel"/>
    <w:tmpl w:val="876252CE"/>
    <w:lvl w:ilvl="0" w:tplc="89FACE4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544B0D"/>
    <w:multiLevelType w:val="hybridMultilevel"/>
    <w:tmpl w:val="CFBE5476"/>
    <w:lvl w:ilvl="0" w:tplc="07382B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74458B"/>
    <w:multiLevelType w:val="hybridMultilevel"/>
    <w:tmpl w:val="95D6D7A4"/>
    <w:lvl w:ilvl="0" w:tplc="ABD249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402411"/>
    <w:multiLevelType w:val="hybridMultilevel"/>
    <w:tmpl w:val="1AFEC8F4"/>
    <w:lvl w:ilvl="0" w:tplc="89FACE4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2D3FBD"/>
    <w:multiLevelType w:val="hybridMultilevel"/>
    <w:tmpl w:val="D49AB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5E5AC6"/>
    <w:multiLevelType w:val="hybridMultilevel"/>
    <w:tmpl w:val="6F44F508"/>
    <w:lvl w:ilvl="0" w:tplc="89FACE4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B73322"/>
    <w:multiLevelType w:val="hybridMultilevel"/>
    <w:tmpl w:val="97EEEFE4"/>
    <w:lvl w:ilvl="0" w:tplc="07382B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2A3B0D"/>
    <w:multiLevelType w:val="hybridMultilevel"/>
    <w:tmpl w:val="32125E7A"/>
    <w:lvl w:ilvl="0" w:tplc="D38AE7F4">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5B7E26"/>
    <w:multiLevelType w:val="hybridMultilevel"/>
    <w:tmpl w:val="5CD0F490"/>
    <w:lvl w:ilvl="0" w:tplc="78105DB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571F1C"/>
    <w:multiLevelType w:val="hybridMultilevel"/>
    <w:tmpl w:val="447EE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9D7A2F"/>
    <w:multiLevelType w:val="hybridMultilevel"/>
    <w:tmpl w:val="44BA2A36"/>
    <w:lvl w:ilvl="0" w:tplc="78105DB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
  </w:num>
  <w:num w:numId="5">
    <w:abstractNumId w:val="13"/>
  </w:num>
  <w:num w:numId="6">
    <w:abstractNumId w:val="12"/>
  </w:num>
  <w:num w:numId="7">
    <w:abstractNumId w:val="10"/>
  </w:num>
  <w:num w:numId="8">
    <w:abstractNumId w:val="5"/>
  </w:num>
  <w:num w:numId="9">
    <w:abstractNumId w:val="11"/>
  </w:num>
  <w:num w:numId="10">
    <w:abstractNumId w:val="14"/>
  </w:num>
  <w:num w:numId="11">
    <w:abstractNumId w:val="0"/>
  </w:num>
  <w:num w:numId="12">
    <w:abstractNumId w:val="6"/>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3EB"/>
    <w:rsid w:val="00013AC4"/>
    <w:rsid w:val="00021914"/>
    <w:rsid w:val="00027DCD"/>
    <w:rsid w:val="000545EE"/>
    <w:rsid w:val="00061EBD"/>
    <w:rsid w:val="000639EF"/>
    <w:rsid w:val="000645E2"/>
    <w:rsid w:val="00073B36"/>
    <w:rsid w:val="000758F0"/>
    <w:rsid w:val="000903DA"/>
    <w:rsid w:val="000947DF"/>
    <w:rsid w:val="000B09DC"/>
    <w:rsid w:val="000B4DC8"/>
    <w:rsid w:val="000B5CF3"/>
    <w:rsid w:val="000C4CBB"/>
    <w:rsid w:val="000D1E01"/>
    <w:rsid w:val="00113293"/>
    <w:rsid w:val="001159DB"/>
    <w:rsid w:val="0011787A"/>
    <w:rsid w:val="00122C2C"/>
    <w:rsid w:val="00132612"/>
    <w:rsid w:val="00141CC1"/>
    <w:rsid w:val="001620A4"/>
    <w:rsid w:val="0016697A"/>
    <w:rsid w:val="00174B65"/>
    <w:rsid w:val="00176EDA"/>
    <w:rsid w:val="001816BE"/>
    <w:rsid w:val="001A6A10"/>
    <w:rsid w:val="001C47B4"/>
    <w:rsid w:val="001D7277"/>
    <w:rsid w:val="001E5575"/>
    <w:rsid w:val="00220A3F"/>
    <w:rsid w:val="00225C2A"/>
    <w:rsid w:val="00237FD5"/>
    <w:rsid w:val="00245A5B"/>
    <w:rsid w:val="00256072"/>
    <w:rsid w:val="0028233D"/>
    <w:rsid w:val="002A2BB6"/>
    <w:rsid w:val="002A65FC"/>
    <w:rsid w:val="002B23FA"/>
    <w:rsid w:val="002B3D10"/>
    <w:rsid w:val="002B551E"/>
    <w:rsid w:val="002D6102"/>
    <w:rsid w:val="002E34AB"/>
    <w:rsid w:val="002F4EC1"/>
    <w:rsid w:val="00312A5C"/>
    <w:rsid w:val="003144C0"/>
    <w:rsid w:val="00320321"/>
    <w:rsid w:val="00333499"/>
    <w:rsid w:val="00344389"/>
    <w:rsid w:val="003518F7"/>
    <w:rsid w:val="003716E9"/>
    <w:rsid w:val="00373A79"/>
    <w:rsid w:val="00376A4B"/>
    <w:rsid w:val="00387378"/>
    <w:rsid w:val="003A1B24"/>
    <w:rsid w:val="003D5D4E"/>
    <w:rsid w:val="003E0C5A"/>
    <w:rsid w:val="003E1366"/>
    <w:rsid w:val="003E3CBA"/>
    <w:rsid w:val="00415B21"/>
    <w:rsid w:val="00433D69"/>
    <w:rsid w:val="004529F8"/>
    <w:rsid w:val="004553ED"/>
    <w:rsid w:val="00471F4B"/>
    <w:rsid w:val="004825F7"/>
    <w:rsid w:val="00482E78"/>
    <w:rsid w:val="0049115B"/>
    <w:rsid w:val="004B0EC2"/>
    <w:rsid w:val="004B1A50"/>
    <w:rsid w:val="004C2B4A"/>
    <w:rsid w:val="004C7EEE"/>
    <w:rsid w:val="004E66A2"/>
    <w:rsid w:val="004E6C3E"/>
    <w:rsid w:val="004F50C5"/>
    <w:rsid w:val="00500E17"/>
    <w:rsid w:val="00500F10"/>
    <w:rsid w:val="00500FFC"/>
    <w:rsid w:val="00502066"/>
    <w:rsid w:val="00502CC7"/>
    <w:rsid w:val="00503C7C"/>
    <w:rsid w:val="0054293C"/>
    <w:rsid w:val="005537E8"/>
    <w:rsid w:val="005626DB"/>
    <w:rsid w:val="00565359"/>
    <w:rsid w:val="005675F3"/>
    <w:rsid w:val="00584F5D"/>
    <w:rsid w:val="005962D0"/>
    <w:rsid w:val="005B793F"/>
    <w:rsid w:val="005C4F85"/>
    <w:rsid w:val="005E0E42"/>
    <w:rsid w:val="005E4842"/>
    <w:rsid w:val="005E4F4C"/>
    <w:rsid w:val="005E7A86"/>
    <w:rsid w:val="00623AAC"/>
    <w:rsid w:val="00630CFC"/>
    <w:rsid w:val="006375BE"/>
    <w:rsid w:val="00651300"/>
    <w:rsid w:val="006563EB"/>
    <w:rsid w:val="00674457"/>
    <w:rsid w:val="00686573"/>
    <w:rsid w:val="006F6313"/>
    <w:rsid w:val="00705BED"/>
    <w:rsid w:val="007076CE"/>
    <w:rsid w:val="007101C1"/>
    <w:rsid w:val="00724808"/>
    <w:rsid w:val="00726F75"/>
    <w:rsid w:val="00761CF9"/>
    <w:rsid w:val="007632F4"/>
    <w:rsid w:val="00767A47"/>
    <w:rsid w:val="007B741A"/>
    <w:rsid w:val="007D5EE3"/>
    <w:rsid w:val="007D66A0"/>
    <w:rsid w:val="007E6B8D"/>
    <w:rsid w:val="00803B28"/>
    <w:rsid w:val="00815481"/>
    <w:rsid w:val="0082189A"/>
    <w:rsid w:val="00823FB0"/>
    <w:rsid w:val="0083128B"/>
    <w:rsid w:val="0084309D"/>
    <w:rsid w:val="00845A37"/>
    <w:rsid w:val="00860B0E"/>
    <w:rsid w:val="00880F71"/>
    <w:rsid w:val="008B0144"/>
    <w:rsid w:val="008B74DC"/>
    <w:rsid w:val="008C2636"/>
    <w:rsid w:val="008C651D"/>
    <w:rsid w:val="008D1681"/>
    <w:rsid w:val="008D4370"/>
    <w:rsid w:val="008E54EC"/>
    <w:rsid w:val="008F6700"/>
    <w:rsid w:val="008F6BD5"/>
    <w:rsid w:val="00911D30"/>
    <w:rsid w:val="0093693B"/>
    <w:rsid w:val="00937DA1"/>
    <w:rsid w:val="00972A8C"/>
    <w:rsid w:val="00981696"/>
    <w:rsid w:val="009A21C7"/>
    <w:rsid w:val="009B3C4F"/>
    <w:rsid w:val="009C72F0"/>
    <w:rsid w:val="009C73AE"/>
    <w:rsid w:val="009D38E8"/>
    <w:rsid w:val="009F1A44"/>
    <w:rsid w:val="00A00E39"/>
    <w:rsid w:val="00A21EA7"/>
    <w:rsid w:val="00A36F30"/>
    <w:rsid w:val="00A5093A"/>
    <w:rsid w:val="00A51017"/>
    <w:rsid w:val="00A67DCA"/>
    <w:rsid w:val="00A7280C"/>
    <w:rsid w:val="00A739F3"/>
    <w:rsid w:val="00A92421"/>
    <w:rsid w:val="00AA7465"/>
    <w:rsid w:val="00AC6B69"/>
    <w:rsid w:val="00AD10BF"/>
    <w:rsid w:val="00B050CD"/>
    <w:rsid w:val="00B0622B"/>
    <w:rsid w:val="00B20E7A"/>
    <w:rsid w:val="00B27D48"/>
    <w:rsid w:val="00B30CB7"/>
    <w:rsid w:val="00B442F9"/>
    <w:rsid w:val="00B61D1C"/>
    <w:rsid w:val="00B94E42"/>
    <w:rsid w:val="00B96631"/>
    <w:rsid w:val="00B96BE7"/>
    <w:rsid w:val="00B97E74"/>
    <w:rsid w:val="00BA5383"/>
    <w:rsid w:val="00BB4C2F"/>
    <w:rsid w:val="00BB5C9A"/>
    <w:rsid w:val="00BC3CBE"/>
    <w:rsid w:val="00BD574C"/>
    <w:rsid w:val="00BF07C6"/>
    <w:rsid w:val="00BF2F90"/>
    <w:rsid w:val="00C12431"/>
    <w:rsid w:val="00C24BB8"/>
    <w:rsid w:val="00C265F0"/>
    <w:rsid w:val="00C3416C"/>
    <w:rsid w:val="00C52527"/>
    <w:rsid w:val="00C52EC8"/>
    <w:rsid w:val="00C570B3"/>
    <w:rsid w:val="00C60CA1"/>
    <w:rsid w:val="00C73FFB"/>
    <w:rsid w:val="00CB35FE"/>
    <w:rsid w:val="00CB6488"/>
    <w:rsid w:val="00CD06E3"/>
    <w:rsid w:val="00CD476C"/>
    <w:rsid w:val="00CD75B1"/>
    <w:rsid w:val="00CE0CCA"/>
    <w:rsid w:val="00CE5F48"/>
    <w:rsid w:val="00CF599D"/>
    <w:rsid w:val="00CF7FCB"/>
    <w:rsid w:val="00D13A72"/>
    <w:rsid w:val="00D16369"/>
    <w:rsid w:val="00D1664C"/>
    <w:rsid w:val="00D27BD0"/>
    <w:rsid w:val="00D44915"/>
    <w:rsid w:val="00D51B30"/>
    <w:rsid w:val="00D54A52"/>
    <w:rsid w:val="00D93D20"/>
    <w:rsid w:val="00DA096A"/>
    <w:rsid w:val="00DA3972"/>
    <w:rsid w:val="00DB1288"/>
    <w:rsid w:val="00DB35F2"/>
    <w:rsid w:val="00DB767D"/>
    <w:rsid w:val="00DC0451"/>
    <w:rsid w:val="00DD5C9D"/>
    <w:rsid w:val="00DD5F24"/>
    <w:rsid w:val="00DE6378"/>
    <w:rsid w:val="00E00D01"/>
    <w:rsid w:val="00E1101A"/>
    <w:rsid w:val="00E116BE"/>
    <w:rsid w:val="00E11952"/>
    <w:rsid w:val="00E30BBF"/>
    <w:rsid w:val="00E33ABD"/>
    <w:rsid w:val="00E4314C"/>
    <w:rsid w:val="00E62C77"/>
    <w:rsid w:val="00E6413A"/>
    <w:rsid w:val="00E65731"/>
    <w:rsid w:val="00E74D09"/>
    <w:rsid w:val="00E760FD"/>
    <w:rsid w:val="00E81126"/>
    <w:rsid w:val="00E96F56"/>
    <w:rsid w:val="00EA41EA"/>
    <w:rsid w:val="00EB51E9"/>
    <w:rsid w:val="00EC648A"/>
    <w:rsid w:val="00ED0E7A"/>
    <w:rsid w:val="00F03B07"/>
    <w:rsid w:val="00F16438"/>
    <w:rsid w:val="00F26D51"/>
    <w:rsid w:val="00F33968"/>
    <w:rsid w:val="00F406BF"/>
    <w:rsid w:val="00F46384"/>
    <w:rsid w:val="00F50C62"/>
    <w:rsid w:val="00F6138A"/>
    <w:rsid w:val="00F869A2"/>
    <w:rsid w:val="00FA1CA7"/>
    <w:rsid w:val="00FC412F"/>
    <w:rsid w:val="00FC4BF1"/>
    <w:rsid w:val="00FD0E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9CD9"/>
  <w15:chartTrackingRefBased/>
  <w15:docId w15:val="{E00386F2-A606-4F8A-BD9C-5D356FD2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69A2"/>
    <w:pPr>
      <w:spacing w:line="276" w:lineRule="auto"/>
      <w:jc w:val="both"/>
    </w:pPr>
  </w:style>
  <w:style w:type="paragraph" w:styleId="Titolo1">
    <w:name w:val="heading 1"/>
    <w:basedOn w:val="Normale"/>
    <w:next w:val="Normale"/>
    <w:link w:val="Titolo1Carattere"/>
    <w:uiPriority w:val="9"/>
    <w:qFormat/>
    <w:rsid w:val="00500F10"/>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74D09"/>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7E6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860B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1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01C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00F1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E74D09"/>
    <w:rPr>
      <w:rFonts w:asciiTheme="majorHAnsi" w:eastAsiaTheme="majorEastAsia" w:hAnsiTheme="majorHAnsi" w:cstheme="majorBidi"/>
      <w:color w:val="2E74B5" w:themeColor="accent1" w:themeShade="BF"/>
      <w:sz w:val="26"/>
      <w:szCs w:val="26"/>
    </w:rPr>
  </w:style>
  <w:style w:type="paragraph" w:styleId="Sottotitolo">
    <w:name w:val="Subtitle"/>
    <w:basedOn w:val="Normale"/>
    <w:next w:val="Normale"/>
    <w:link w:val="SottotitoloCarattere"/>
    <w:uiPriority w:val="11"/>
    <w:qFormat/>
    <w:rsid w:val="00D93D20"/>
    <w:pPr>
      <w:numPr>
        <w:ilvl w:val="1"/>
      </w:numPr>
    </w:pPr>
    <w:rPr>
      <w:rFonts w:eastAsiaTheme="minorEastAsia" w:cstheme="minorHAnsi"/>
      <w:i/>
      <w:color w:val="5A5A5A" w:themeColor="text1" w:themeTint="A5"/>
      <w:spacing w:val="15"/>
      <w:sz w:val="18"/>
      <w:szCs w:val="18"/>
    </w:rPr>
  </w:style>
  <w:style w:type="character" w:customStyle="1" w:styleId="SottotitoloCarattere">
    <w:name w:val="Sottotitolo Carattere"/>
    <w:basedOn w:val="Carpredefinitoparagrafo"/>
    <w:link w:val="Sottotitolo"/>
    <w:uiPriority w:val="11"/>
    <w:rsid w:val="00D93D20"/>
    <w:rPr>
      <w:rFonts w:eastAsiaTheme="minorEastAsia" w:cstheme="minorHAnsi"/>
      <w:i/>
      <w:color w:val="5A5A5A" w:themeColor="text1" w:themeTint="A5"/>
      <w:spacing w:val="15"/>
      <w:sz w:val="18"/>
      <w:szCs w:val="18"/>
    </w:rPr>
  </w:style>
  <w:style w:type="paragraph" w:styleId="Titolosommario">
    <w:name w:val="TOC Heading"/>
    <w:basedOn w:val="Titolo1"/>
    <w:next w:val="Normale"/>
    <w:uiPriority w:val="39"/>
    <w:unhideWhenUsed/>
    <w:qFormat/>
    <w:rsid w:val="00113293"/>
    <w:pPr>
      <w:jc w:val="left"/>
      <w:outlineLvl w:val="9"/>
    </w:pPr>
    <w:rPr>
      <w:lang w:eastAsia="it-IT"/>
    </w:rPr>
  </w:style>
  <w:style w:type="paragraph" w:styleId="Sommario1">
    <w:name w:val="toc 1"/>
    <w:basedOn w:val="Normale"/>
    <w:next w:val="Normale"/>
    <w:autoRedefine/>
    <w:uiPriority w:val="39"/>
    <w:unhideWhenUsed/>
    <w:rsid w:val="00F869A2"/>
    <w:pPr>
      <w:tabs>
        <w:tab w:val="right" w:leader="dot" w:pos="9628"/>
      </w:tabs>
      <w:spacing w:after="100"/>
    </w:pPr>
  </w:style>
  <w:style w:type="paragraph" w:styleId="Sommario2">
    <w:name w:val="toc 2"/>
    <w:basedOn w:val="Normale"/>
    <w:next w:val="Normale"/>
    <w:autoRedefine/>
    <w:uiPriority w:val="39"/>
    <w:unhideWhenUsed/>
    <w:rsid w:val="00113293"/>
    <w:pPr>
      <w:spacing w:after="100"/>
      <w:ind w:left="220"/>
    </w:pPr>
  </w:style>
  <w:style w:type="character" w:styleId="Collegamentoipertestuale">
    <w:name w:val="Hyperlink"/>
    <w:basedOn w:val="Carpredefinitoparagrafo"/>
    <w:uiPriority w:val="99"/>
    <w:unhideWhenUsed/>
    <w:rsid w:val="00113293"/>
    <w:rPr>
      <w:color w:val="0563C1" w:themeColor="hyperlink"/>
      <w:u w:val="single"/>
    </w:rPr>
  </w:style>
  <w:style w:type="paragraph" w:styleId="Intestazione">
    <w:name w:val="header"/>
    <w:basedOn w:val="Normale"/>
    <w:link w:val="IntestazioneCarattere"/>
    <w:uiPriority w:val="99"/>
    <w:unhideWhenUsed/>
    <w:rsid w:val="001132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3293"/>
  </w:style>
  <w:style w:type="paragraph" w:styleId="Pidipagina">
    <w:name w:val="footer"/>
    <w:basedOn w:val="Normale"/>
    <w:link w:val="PidipaginaCarattere"/>
    <w:uiPriority w:val="99"/>
    <w:unhideWhenUsed/>
    <w:rsid w:val="001132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3293"/>
  </w:style>
  <w:style w:type="paragraph" w:customStyle="1" w:styleId="testo">
    <w:name w:val="testo"/>
    <w:basedOn w:val="Corpotesto"/>
    <w:rsid w:val="0049115B"/>
    <w:pPr>
      <w:spacing w:line="240" w:lineRule="auto"/>
    </w:pPr>
    <w:rPr>
      <w:rFonts w:ascii="Arial" w:eastAsia="Times New Roman" w:hAnsi="Arial" w:cs="Arial"/>
      <w:sz w:val="20"/>
      <w:szCs w:val="24"/>
      <w:lang w:eastAsia="it-IT"/>
    </w:rPr>
  </w:style>
  <w:style w:type="paragraph" w:styleId="Corpotesto">
    <w:name w:val="Body Text"/>
    <w:basedOn w:val="Normale"/>
    <w:link w:val="CorpotestoCarattere"/>
    <w:uiPriority w:val="99"/>
    <w:semiHidden/>
    <w:unhideWhenUsed/>
    <w:rsid w:val="0049115B"/>
    <w:pPr>
      <w:spacing w:after="120"/>
    </w:pPr>
  </w:style>
  <w:style w:type="character" w:customStyle="1" w:styleId="CorpotestoCarattere">
    <w:name w:val="Corpo testo Carattere"/>
    <w:basedOn w:val="Carpredefinitoparagrafo"/>
    <w:link w:val="Corpotesto"/>
    <w:uiPriority w:val="99"/>
    <w:semiHidden/>
    <w:rsid w:val="0049115B"/>
  </w:style>
  <w:style w:type="character" w:styleId="Rimandocommento">
    <w:name w:val="annotation reference"/>
    <w:basedOn w:val="Carpredefinitoparagrafo"/>
    <w:uiPriority w:val="99"/>
    <w:semiHidden/>
    <w:unhideWhenUsed/>
    <w:rsid w:val="00500FFC"/>
    <w:rPr>
      <w:sz w:val="16"/>
      <w:szCs w:val="16"/>
    </w:rPr>
  </w:style>
  <w:style w:type="paragraph" w:styleId="Testocommento">
    <w:name w:val="annotation text"/>
    <w:basedOn w:val="Normale"/>
    <w:link w:val="TestocommentoCarattere"/>
    <w:uiPriority w:val="99"/>
    <w:unhideWhenUsed/>
    <w:rsid w:val="00500FFC"/>
    <w:pPr>
      <w:spacing w:line="240" w:lineRule="auto"/>
    </w:pPr>
    <w:rPr>
      <w:sz w:val="20"/>
      <w:szCs w:val="20"/>
    </w:rPr>
  </w:style>
  <w:style w:type="character" w:customStyle="1" w:styleId="TestocommentoCarattere">
    <w:name w:val="Testo commento Carattere"/>
    <w:basedOn w:val="Carpredefinitoparagrafo"/>
    <w:link w:val="Testocommento"/>
    <w:uiPriority w:val="99"/>
    <w:rsid w:val="00500FFC"/>
    <w:rPr>
      <w:sz w:val="20"/>
      <w:szCs w:val="20"/>
    </w:rPr>
  </w:style>
  <w:style w:type="paragraph" w:styleId="Soggettocommento">
    <w:name w:val="annotation subject"/>
    <w:basedOn w:val="Testocommento"/>
    <w:next w:val="Testocommento"/>
    <w:link w:val="SoggettocommentoCarattere"/>
    <w:uiPriority w:val="99"/>
    <w:semiHidden/>
    <w:unhideWhenUsed/>
    <w:rsid w:val="00500FFC"/>
    <w:rPr>
      <w:b/>
      <w:bCs/>
    </w:rPr>
  </w:style>
  <w:style w:type="character" w:customStyle="1" w:styleId="SoggettocommentoCarattere">
    <w:name w:val="Soggetto commento Carattere"/>
    <w:basedOn w:val="TestocommentoCarattere"/>
    <w:link w:val="Soggettocommento"/>
    <w:uiPriority w:val="99"/>
    <w:semiHidden/>
    <w:rsid w:val="00500FFC"/>
    <w:rPr>
      <w:b/>
      <w:bCs/>
      <w:sz w:val="20"/>
      <w:szCs w:val="20"/>
    </w:rPr>
  </w:style>
  <w:style w:type="paragraph" w:styleId="Testofumetto">
    <w:name w:val="Balloon Text"/>
    <w:basedOn w:val="Normale"/>
    <w:link w:val="TestofumettoCarattere"/>
    <w:uiPriority w:val="99"/>
    <w:semiHidden/>
    <w:unhideWhenUsed/>
    <w:rsid w:val="00500FF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0FFC"/>
    <w:rPr>
      <w:rFonts w:ascii="Segoe UI" w:hAnsi="Segoe UI" w:cs="Segoe UI"/>
      <w:sz w:val="18"/>
      <w:szCs w:val="18"/>
    </w:rPr>
  </w:style>
  <w:style w:type="paragraph" w:styleId="Rientrocorpodeltesto">
    <w:name w:val="Body Text Indent"/>
    <w:basedOn w:val="Normale"/>
    <w:link w:val="RientrocorpodeltestoCarattere"/>
    <w:uiPriority w:val="99"/>
    <w:semiHidden/>
    <w:unhideWhenUsed/>
    <w:rsid w:val="00972A8C"/>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972A8C"/>
  </w:style>
  <w:style w:type="paragraph" w:styleId="Paragrafoelenco">
    <w:name w:val="List Paragraph"/>
    <w:basedOn w:val="Normale"/>
    <w:uiPriority w:val="34"/>
    <w:qFormat/>
    <w:rsid w:val="00D93D20"/>
    <w:pPr>
      <w:ind w:left="720"/>
      <w:contextualSpacing/>
    </w:pPr>
  </w:style>
  <w:style w:type="paragraph" w:styleId="Testonotaapidipagina">
    <w:name w:val="footnote text"/>
    <w:basedOn w:val="Normale"/>
    <w:link w:val="TestonotaapidipaginaCarattere"/>
    <w:semiHidden/>
    <w:rsid w:val="007076CE"/>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7076CE"/>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7076CE"/>
    <w:rPr>
      <w:vertAlign w:val="superscript"/>
    </w:rPr>
  </w:style>
  <w:style w:type="table" w:styleId="Tabellagriglia5scura-colore2">
    <w:name w:val="Grid Table 5 Dark Accent 2"/>
    <w:basedOn w:val="Tabellanormale"/>
    <w:uiPriority w:val="50"/>
    <w:rsid w:val="00DD5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1">
    <w:name w:val="Grid Table 5 Dark Accent 1"/>
    <w:basedOn w:val="Tabellanormale"/>
    <w:uiPriority w:val="50"/>
    <w:rsid w:val="00FC4B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rsid w:val="00122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A21EA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1">
    <w:name w:val="Grid Table 4 Accent 1"/>
    <w:basedOn w:val="Tabellanormale"/>
    <w:uiPriority w:val="49"/>
    <w:rsid w:val="008D43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E11952"/>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C265F0"/>
    <w:rPr>
      <w:color w:val="605E5C"/>
      <w:shd w:val="clear" w:color="auto" w:fill="E1DFDD"/>
    </w:rPr>
  </w:style>
  <w:style w:type="character" w:customStyle="1" w:styleId="Titolo3Carattere">
    <w:name w:val="Titolo 3 Carattere"/>
    <w:basedOn w:val="Carpredefinitoparagrafo"/>
    <w:link w:val="Titolo3"/>
    <w:uiPriority w:val="9"/>
    <w:rsid w:val="007E6B8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860B0E"/>
    <w:rPr>
      <w:rFonts w:asciiTheme="majorHAnsi" w:eastAsiaTheme="majorEastAsia" w:hAnsiTheme="majorHAnsi" w:cstheme="majorBidi"/>
      <w:i/>
      <w:iCs/>
      <w:color w:val="2E74B5" w:themeColor="accent1" w:themeShade="BF"/>
    </w:rPr>
  </w:style>
  <w:style w:type="paragraph" w:styleId="Sommario3">
    <w:name w:val="toc 3"/>
    <w:basedOn w:val="Normale"/>
    <w:next w:val="Normale"/>
    <w:autoRedefine/>
    <w:uiPriority w:val="39"/>
    <w:unhideWhenUsed/>
    <w:rsid w:val="00F869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971">
      <w:bodyDiv w:val="1"/>
      <w:marLeft w:val="0"/>
      <w:marRight w:val="0"/>
      <w:marTop w:val="0"/>
      <w:marBottom w:val="0"/>
      <w:divBdr>
        <w:top w:val="none" w:sz="0" w:space="0" w:color="auto"/>
        <w:left w:val="none" w:sz="0" w:space="0" w:color="auto"/>
        <w:bottom w:val="none" w:sz="0" w:space="0" w:color="auto"/>
        <w:right w:val="none" w:sz="0" w:space="0" w:color="auto"/>
      </w:divBdr>
    </w:div>
    <w:div w:id="320894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4644">
          <w:marLeft w:val="878"/>
          <w:marRight w:val="0"/>
          <w:marTop w:val="0"/>
          <w:marBottom w:val="55"/>
          <w:divBdr>
            <w:top w:val="none" w:sz="0" w:space="0" w:color="auto"/>
            <w:left w:val="none" w:sz="0" w:space="0" w:color="auto"/>
            <w:bottom w:val="none" w:sz="0" w:space="0" w:color="auto"/>
            <w:right w:val="none" w:sz="0" w:space="0" w:color="auto"/>
          </w:divBdr>
        </w:div>
        <w:div w:id="1082020278">
          <w:marLeft w:val="878"/>
          <w:marRight w:val="0"/>
          <w:marTop w:val="0"/>
          <w:marBottom w:val="55"/>
          <w:divBdr>
            <w:top w:val="none" w:sz="0" w:space="0" w:color="auto"/>
            <w:left w:val="none" w:sz="0" w:space="0" w:color="auto"/>
            <w:bottom w:val="none" w:sz="0" w:space="0" w:color="auto"/>
            <w:right w:val="none" w:sz="0" w:space="0" w:color="auto"/>
          </w:divBdr>
        </w:div>
        <w:div w:id="1264189874">
          <w:marLeft w:val="878"/>
          <w:marRight w:val="0"/>
          <w:marTop w:val="0"/>
          <w:marBottom w:val="55"/>
          <w:divBdr>
            <w:top w:val="none" w:sz="0" w:space="0" w:color="auto"/>
            <w:left w:val="none" w:sz="0" w:space="0" w:color="auto"/>
            <w:bottom w:val="none" w:sz="0" w:space="0" w:color="auto"/>
            <w:right w:val="none" w:sz="0" w:space="0" w:color="auto"/>
          </w:divBdr>
        </w:div>
        <w:div w:id="2169637">
          <w:marLeft w:val="878"/>
          <w:marRight w:val="0"/>
          <w:marTop w:val="0"/>
          <w:marBottom w:val="55"/>
          <w:divBdr>
            <w:top w:val="none" w:sz="0" w:space="0" w:color="auto"/>
            <w:left w:val="none" w:sz="0" w:space="0" w:color="auto"/>
            <w:bottom w:val="none" w:sz="0" w:space="0" w:color="auto"/>
            <w:right w:val="none" w:sz="0" w:space="0" w:color="auto"/>
          </w:divBdr>
        </w:div>
        <w:div w:id="1783187193">
          <w:marLeft w:val="878"/>
          <w:marRight w:val="0"/>
          <w:marTop w:val="0"/>
          <w:marBottom w:val="55"/>
          <w:divBdr>
            <w:top w:val="none" w:sz="0" w:space="0" w:color="auto"/>
            <w:left w:val="none" w:sz="0" w:space="0" w:color="auto"/>
            <w:bottom w:val="none" w:sz="0" w:space="0" w:color="auto"/>
            <w:right w:val="none" w:sz="0" w:space="0" w:color="auto"/>
          </w:divBdr>
        </w:div>
        <w:div w:id="1369377166">
          <w:marLeft w:val="878"/>
          <w:marRight w:val="0"/>
          <w:marTop w:val="0"/>
          <w:marBottom w:val="55"/>
          <w:divBdr>
            <w:top w:val="none" w:sz="0" w:space="0" w:color="auto"/>
            <w:left w:val="none" w:sz="0" w:space="0" w:color="auto"/>
            <w:bottom w:val="none" w:sz="0" w:space="0" w:color="auto"/>
            <w:right w:val="none" w:sz="0" w:space="0" w:color="auto"/>
          </w:divBdr>
        </w:div>
      </w:divsChild>
    </w:div>
    <w:div w:id="1119954418">
      <w:bodyDiv w:val="1"/>
      <w:marLeft w:val="0"/>
      <w:marRight w:val="0"/>
      <w:marTop w:val="0"/>
      <w:marBottom w:val="0"/>
      <w:divBdr>
        <w:top w:val="none" w:sz="0" w:space="0" w:color="auto"/>
        <w:left w:val="none" w:sz="0" w:space="0" w:color="auto"/>
        <w:bottom w:val="none" w:sz="0" w:space="0" w:color="auto"/>
        <w:right w:val="none" w:sz="0" w:space="0" w:color="auto"/>
      </w:divBdr>
    </w:div>
    <w:div w:id="1134837368">
      <w:bodyDiv w:val="1"/>
      <w:marLeft w:val="0"/>
      <w:marRight w:val="0"/>
      <w:marTop w:val="0"/>
      <w:marBottom w:val="0"/>
      <w:divBdr>
        <w:top w:val="none" w:sz="0" w:space="0" w:color="auto"/>
        <w:left w:val="none" w:sz="0" w:space="0" w:color="auto"/>
        <w:bottom w:val="none" w:sz="0" w:space="0" w:color="auto"/>
        <w:right w:val="none" w:sz="0" w:space="0" w:color="auto"/>
      </w:divBdr>
    </w:div>
    <w:div w:id="1353919058">
      <w:bodyDiv w:val="1"/>
      <w:marLeft w:val="0"/>
      <w:marRight w:val="0"/>
      <w:marTop w:val="0"/>
      <w:marBottom w:val="0"/>
      <w:divBdr>
        <w:top w:val="none" w:sz="0" w:space="0" w:color="auto"/>
        <w:left w:val="none" w:sz="0" w:space="0" w:color="auto"/>
        <w:bottom w:val="none" w:sz="0" w:space="0" w:color="auto"/>
        <w:right w:val="none" w:sz="0" w:space="0" w:color="auto"/>
      </w:divBdr>
    </w:div>
    <w:div w:id="1405300237">
      <w:bodyDiv w:val="1"/>
      <w:marLeft w:val="0"/>
      <w:marRight w:val="0"/>
      <w:marTop w:val="0"/>
      <w:marBottom w:val="0"/>
      <w:divBdr>
        <w:top w:val="none" w:sz="0" w:space="0" w:color="auto"/>
        <w:left w:val="none" w:sz="0" w:space="0" w:color="auto"/>
        <w:bottom w:val="none" w:sz="0" w:space="0" w:color="auto"/>
        <w:right w:val="none" w:sz="0" w:space="0" w:color="auto"/>
      </w:divBdr>
    </w:div>
    <w:div w:id="21150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italia.it/it/software/umcn-unionemontanacatrianerone-prom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B958-4121-4CBE-8F81-54E9488E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17</Pages>
  <Words>5384</Words>
  <Characters>30691</Characters>
  <Application>Microsoft Office Word</Application>
  <DocSecurity>0</DocSecurity>
  <Lines>255</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Boschetti</dc:creator>
  <cp:keywords/>
  <dc:description/>
  <cp:lastModifiedBy>Maria Boschetti</cp:lastModifiedBy>
  <cp:revision>163</cp:revision>
  <dcterms:created xsi:type="dcterms:W3CDTF">2019-02-05T13:55:00Z</dcterms:created>
  <dcterms:modified xsi:type="dcterms:W3CDTF">2021-10-05T13:19:00Z</dcterms:modified>
</cp:coreProperties>
</file>