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8A74" w14:textId="77777777" w:rsidR="00992A5E" w:rsidRDefault="00992A5E" w:rsidP="00992A5E">
      <w:pPr>
        <w:spacing w:after="240" w:line="480" w:lineRule="auto"/>
        <w:jc w:val="center"/>
        <w:rPr>
          <w:rFonts w:ascii="Open Sans" w:hAnsi="Open Sans" w:cs="Open Sans"/>
        </w:rPr>
      </w:pPr>
      <w:r w:rsidRPr="006972F7">
        <w:rPr>
          <w:noProof/>
        </w:rPr>
        <w:drawing>
          <wp:inline distT="0" distB="0" distL="0" distR="0" wp14:anchorId="4DE55150" wp14:editId="716D543C">
            <wp:extent cx="2710931" cy="83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146" cy="854035"/>
                    </a:xfrm>
                    <a:prstGeom prst="rect">
                      <a:avLst/>
                    </a:prstGeom>
                    <a:noFill/>
                    <a:ln>
                      <a:noFill/>
                    </a:ln>
                  </pic:spPr>
                </pic:pic>
              </a:graphicData>
            </a:graphic>
          </wp:inline>
        </w:drawing>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9628"/>
      </w:tblGrid>
      <w:tr w:rsidR="00992A5E" w14:paraId="2B8B4760" w14:textId="77777777" w:rsidTr="00992A5E">
        <w:tc>
          <w:tcPr>
            <w:tcW w:w="9628" w:type="dxa"/>
            <w:shd w:val="clear" w:color="auto" w:fill="F2F2F2" w:themeFill="background1" w:themeFillShade="F2"/>
          </w:tcPr>
          <w:p w14:paraId="12AA54FE" w14:textId="7CD6B308" w:rsidR="00992A5E" w:rsidRPr="00270C82" w:rsidRDefault="00DC48DF" w:rsidP="00D105E5">
            <w:pPr>
              <w:jc w:val="center"/>
              <w:rPr>
                <w:rFonts w:ascii="Arial Narrow" w:hAnsi="Arial Narrow" w:cs="Open Sans"/>
              </w:rPr>
            </w:pPr>
            <w:r>
              <w:rPr>
                <w:rFonts w:ascii="Arial Narrow" w:hAnsi="Arial Narrow" w:cs="Open Sans"/>
                <w:sz w:val="24"/>
              </w:rPr>
              <w:t>PROCEDURA</w:t>
            </w:r>
          </w:p>
        </w:tc>
      </w:tr>
    </w:tbl>
    <w:p w14:paraId="193E0312" w14:textId="77777777" w:rsidR="00992A5E" w:rsidRDefault="00992A5E" w:rsidP="00992A5E">
      <w:pPr>
        <w:jc w:val="center"/>
        <w:rPr>
          <w:rFonts w:ascii="Open Sans" w:hAnsi="Open Sans" w:cs="Open Sans"/>
        </w:rPr>
      </w:pPr>
    </w:p>
    <w:p w14:paraId="7B08912B" w14:textId="77777777" w:rsidR="00992A5E" w:rsidRDefault="00992A5E" w:rsidP="00992A5E">
      <w:pPr>
        <w:jc w:val="center"/>
        <w:rPr>
          <w:rFonts w:ascii="Open Sans" w:hAnsi="Open Sans" w:cs="Open Sans"/>
        </w:rPr>
      </w:pPr>
    </w:p>
    <w:p w14:paraId="12B61157" w14:textId="77777777" w:rsidR="009C5036" w:rsidRDefault="009C5036" w:rsidP="00992A5E">
      <w:pPr>
        <w:jc w:val="center"/>
        <w:rPr>
          <w:rFonts w:ascii="Open Sans" w:hAnsi="Open Sans" w:cs="Open Sans"/>
        </w:rPr>
      </w:pPr>
    </w:p>
    <w:p w14:paraId="6DC3EDAD" w14:textId="77777777" w:rsidR="009C5036" w:rsidRDefault="009C5036" w:rsidP="00992A5E">
      <w:pPr>
        <w:jc w:val="center"/>
        <w:rPr>
          <w:rFonts w:ascii="Open Sans" w:hAnsi="Open Sans" w:cs="Open Sans"/>
        </w:rPr>
      </w:pPr>
    </w:p>
    <w:p w14:paraId="1081F319" w14:textId="77777777" w:rsidR="00992A5E" w:rsidRDefault="00992A5E" w:rsidP="00992A5E">
      <w:pPr>
        <w:jc w:val="center"/>
        <w:rPr>
          <w:rFonts w:ascii="Open Sans" w:hAnsi="Open Sans" w:cs="Open Sans"/>
        </w:rPr>
      </w:pPr>
    </w:p>
    <w:p w14:paraId="6457B343" w14:textId="43123FB7" w:rsidR="00154D3D" w:rsidRPr="006972F7" w:rsidRDefault="00565E1F" w:rsidP="006972F7">
      <w:pPr>
        <w:pStyle w:val="Titolo"/>
      </w:pPr>
      <w:r>
        <w:t>Restituzione dell’Archivio</w:t>
      </w:r>
    </w:p>
    <w:p w14:paraId="1384FF7D" w14:textId="77777777" w:rsidR="006972F7" w:rsidRDefault="006972F7">
      <w:pPr>
        <w:rPr>
          <w:rFonts w:ascii="Open Sans" w:hAnsi="Open Sans" w:cs="Open Sans"/>
        </w:rPr>
      </w:pPr>
      <w:r>
        <w:rPr>
          <w:rFonts w:ascii="Open Sans" w:hAnsi="Open Sans" w:cs="Open Sans"/>
        </w:rPr>
        <w:br w:type="page"/>
      </w:r>
    </w:p>
    <w:p w14:paraId="704A1255" w14:textId="77777777" w:rsidR="008E086D" w:rsidRDefault="008E086D" w:rsidP="008E086D">
      <w:pPr>
        <w:spacing w:after="0" w:line="240" w:lineRule="auto"/>
        <w:rPr>
          <w:lang w:val="en-G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8"/>
      </w:tblGrid>
      <w:tr w:rsidR="003152AD" w:rsidRPr="006B2E9D" w14:paraId="1E114732" w14:textId="77777777" w:rsidTr="4781129E">
        <w:trPr>
          <w:trHeight w:val="9921"/>
        </w:trPr>
        <w:tc>
          <w:tcPr>
            <w:tcW w:w="9628" w:type="dxa"/>
          </w:tcPr>
          <w:tbl>
            <w:tblPr>
              <w:tblStyle w:val="Grigliatabella"/>
              <w:tblW w:w="5000" w:type="pct"/>
              <w:tblBorders>
                <w:top w:val="none" w:sz="0" w:space="0" w:color="auto"/>
                <w:left w:val="none" w:sz="0" w:space="0" w:color="auto"/>
                <w:bottom w:val="none" w:sz="0" w:space="0" w:color="auto"/>
                <w:right w:val="none" w:sz="0" w:space="0" w:color="auto"/>
                <w:insideV w:val="none" w:sz="0" w:space="0" w:color="auto"/>
              </w:tblBorders>
              <w:tblCellMar>
                <w:top w:w="40" w:type="dxa"/>
                <w:left w:w="40" w:type="dxa"/>
                <w:bottom w:w="40" w:type="dxa"/>
                <w:right w:w="40" w:type="dxa"/>
              </w:tblCellMar>
              <w:tblLook w:val="04A0" w:firstRow="1" w:lastRow="0" w:firstColumn="1" w:lastColumn="0" w:noHBand="0" w:noVBand="1"/>
            </w:tblPr>
            <w:tblGrid>
              <w:gridCol w:w="1417"/>
              <w:gridCol w:w="6795"/>
              <w:gridCol w:w="1416"/>
            </w:tblGrid>
            <w:tr w:rsidR="003152AD" w:rsidRPr="006B2E9D" w14:paraId="0C34AA74" w14:textId="77777777" w:rsidTr="4781129E">
              <w:tc>
                <w:tcPr>
                  <w:tcW w:w="9628" w:type="dxa"/>
                  <w:gridSpan w:val="3"/>
                  <w:tcBorders>
                    <w:top w:val="single" w:sz="4" w:space="0" w:color="D9D9D9" w:themeColor="background1" w:themeShade="D9"/>
                    <w:bottom w:val="single" w:sz="4" w:space="0" w:color="D9D9D9" w:themeColor="background1" w:themeShade="D9"/>
                  </w:tcBorders>
                  <w:shd w:val="clear" w:color="auto" w:fill="F2F2F2" w:themeFill="background1" w:themeFillShade="F2"/>
                </w:tcPr>
                <w:p w14:paraId="64AE425C" w14:textId="77777777" w:rsidR="003152AD" w:rsidRPr="006B2E9D" w:rsidRDefault="003152AD" w:rsidP="003152AD">
                  <w:pPr>
                    <w:jc w:val="center"/>
                    <w:rPr>
                      <w:rFonts w:ascii="Open Sans" w:hAnsi="Open Sans" w:cs="Open Sans"/>
                      <w:b/>
                      <w:sz w:val="18"/>
                      <w:szCs w:val="18"/>
                    </w:rPr>
                  </w:pPr>
                  <w:r w:rsidRPr="006B2E9D">
                    <w:rPr>
                      <w:b/>
                      <w:sz w:val="18"/>
                      <w:szCs w:val="18"/>
                    </w:rPr>
                    <w:t>Storia delle modifiche del documento</w:t>
                  </w:r>
                </w:p>
              </w:tc>
            </w:tr>
            <w:tr w:rsidR="003152AD" w:rsidRPr="006B2E9D" w14:paraId="6302B857" w14:textId="77777777" w:rsidTr="4781129E">
              <w:tc>
                <w:tcPr>
                  <w:tcW w:w="1417" w:type="dxa"/>
                  <w:tcBorders>
                    <w:top w:val="single" w:sz="4" w:space="0" w:color="D9D9D9" w:themeColor="background1" w:themeShade="D9"/>
                    <w:bottom w:val="single" w:sz="4" w:space="0" w:color="D9D9D9" w:themeColor="background1" w:themeShade="D9"/>
                  </w:tcBorders>
                </w:tcPr>
                <w:p w14:paraId="5B7BCE40" w14:textId="77777777" w:rsidR="003152AD" w:rsidRPr="006B2E9D" w:rsidRDefault="003152AD" w:rsidP="003152AD">
                  <w:pPr>
                    <w:rPr>
                      <w:rFonts w:ascii="Open Sans" w:hAnsi="Open Sans" w:cs="Open Sans"/>
                      <w:b/>
                      <w:sz w:val="18"/>
                      <w:szCs w:val="18"/>
                    </w:rPr>
                  </w:pPr>
                  <w:r w:rsidRPr="006B2E9D">
                    <w:rPr>
                      <w:rFonts w:ascii="Open Sans" w:hAnsi="Open Sans" w:cs="Open Sans"/>
                      <w:b/>
                      <w:sz w:val="18"/>
                      <w:szCs w:val="18"/>
                    </w:rPr>
                    <w:t>Versione</w:t>
                  </w:r>
                </w:p>
              </w:tc>
              <w:tc>
                <w:tcPr>
                  <w:tcW w:w="6795" w:type="dxa"/>
                  <w:tcBorders>
                    <w:top w:val="single" w:sz="4" w:space="0" w:color="D9D9D9" w:themeColor="background1" w:themeShade="D9"/>
                    <w:bottom w:val="single" w:sz="4" w:space="0" w:color="D9D9D9" w:themeColor="background1" w:themeShade="D9"/>
                  </w:tcBorders>
                </w:tcPr>
                <w:p w14:paraId="37A44A3D" w14:textId="77777777" w:rsidR="003152AD" w:rsidRPr="006B2E9D" w:rsidRDefault="003152AD" w:rsidP="003152AD">
                  <w:pPr>
                    <w:rPr>
                      <w:rFonts w:ascii="Open Sans" w:hAnsi="Open Sans" w:cs="Open Sans"/>
                      <w:sz w:val="18"/>
                      <w:szCs w:val="18"/>
                    </w:rPr>
                  </w:pPr>
                  <w:r w:rsidRPr="006B2E9D">
                    <w:rPr>
                      <w:rFonts w:ascii="Open Sans" w:hAnsi="Open Sans" w:cs="Open Sans"/>
                      <w:b/>
                      <w:sz w:val="18"/>
                      <w:szCs w:val="18"/>
                    </w:rPr>
                    <w:t>Variazioni</w:t>
                  </w:r>
                </w:p>
              </w:tc>
              <w:tc>
                <w:tcPr>
                  <w:tcW w:w="1416" w:type="dxa"/>
                  <w:tcBorders>
                    <w:top w:val="single" w:sz="4" w:space="0" w:color="D9D9D9" w:themeColor="background1" w:themeShade="D9"/>
                    <w:bottom w:val="single" w:sz="4" w:space="0" w:color="D9D9D9" w:themeColor="background1" w:themeShade="D9"/>
                  </w:tcBorders>
                </w:tcPr>
                <w:p w14:paraId="34C0C999" w14:textId="77777777" w:rsidR="003152AD" w:rsidRPr="006B2E9D" w:rsidRDefault="003152AD" w:rsidP="003152AD">
                  <w:pPr>
                    <w:rPr>
                      <w:rFonts w:ascii="Open Sans" w:hAnsi="Open Sans" w:cs="Open Sans"/>
                      <w:b/>
                      <w:sz w:val="18"/>
                      <w:szCs w:val="18"/>
                    </w:rPr>
                  </w:pPr>
                  <w:r w:rsidRPr="006B2E9D">
                    <w:rPr>
                      <w:rFonts w:ascii="Open Sans" w:hAnsi="Open Sans" w:cs="Open Sans"/>
                      <w:b/>
                      <w:sz w:val="18"/>
                      <w:szCs w:val="18"/>
                    </w:rPr>
                    <w:t>Data</w:t>
                  </w:r>
                </w:p>
              </w:tc>
            </w:tr>
            <w:tr w:rsidR="00097921" w:rsidRPr="006B2E9D" w14:paraId="08FE0FDA" w14:textId="77777777" w:rsidTr="4781129E">
              <w:tc>
                <w:tcPr>
                  <w:tcW w:w="1417" w:type="dxa"/>
                  <w:tcBorders>
                    <w:top w:val="single" w:sz="4" w:space="0" w:color="D9D9D9" w:themeColor="background1" w:themeShade="D9"/>
                    <w:bottom w:val="single" w:sz="4" w:space="0" w:color="D9D9D9" w:themeColor="background1" w:themeShade="D9"/>
                  </w:tcBorders>
                </w:tcPr>
                <w:p w14:paraId="7A66BF90" w14:textId="5D2E0D89" w:rsidR="00097921" w:rsidRPr="006B2E9D" w:rsidRDefault="00097921" w:rsidP="00097921">
                  <w:pPr>
                    <w:rPr>
                      <w:rFonts w:ascii="Open Sans" w:hAnsi="Open Sans" w:cs="Open Sans"/>
                      <w:sz w:val="18"/>
                      <w:szCs w:val="18"/>
                    </w:rPr>
                  </w:pPr>
                  <w:r w:rsidRPr="006B2E9D">
                    <w:rPr>
                      <w:sz w:val="18"/>
                      <w:szCs w:val="18"/>
                    </w:rPr>
                    <w:t>2.0</w:t>
                  </w:r>
                </w:p>
              </w:tc>
              <w:tc>
                <w:tcPr>
                  <w:tcW w:w="6795" w:type="dxa"/>
                  <w:tcBorders>
                    <w:top w:val="single" w:sz="4" w:space="0" w:color="D9D9D9" w:themeColor="background1" w:themeShade="D9"/>
                    <w:bottom w:val="single" w:sz="4" w:space="0" w:color="D9D9D9" w:themeColor="background1" w:themeShade="D9"/>
                  </w:tcBorders>
                </w:tcPr>
                <w:p w14:paraId="52CFEEF9" w14:textId="7F46B0F8" w:rsidR="00097921" w:rsidRPr="006B2E9D" w:rsidRDefault="00097921" w:rsidP="00097921">
                  <w:pPr>
                    <w:rPr>
                      <w:rFonts w:ascii="Open Sans" w:hAnsi="Open Sans" w:cs="Open Sans"/>
                      <w:sz w:val="18"/>
                      <w:szCs w:val="18"/>
                    </w:rPr>
                  </w:pPr>
                  <w:r w:rsidRPr="006B2E9D">
                    <w:rPr>
                      <w:sz w:val="18"/>
                      <w:szCs w:val="18"/>
                    </w:rPr>
                    <w:t>Prima Emissione; la versione 1.0 non è stata pub</w:t>
                  </w:r>
                  <w:r w:rsidR="00B413C7">
                    <w:rPr>
                      <w:sz w:val="18"/>
                      <w:szCs w:val="18"/>
                    </w:rPr>
                    <w:t>b</w:t>
                  </w:r>
                  <w:r w:rsidRPr="006B2E9D">
                    <w:rPr>
                      <w:sz w:val="18"/>
                      <w:szCs w:val="18"/>
                    </w:rPr>
                    <w:t>licata</w:t>
                  </w:r>
                </w:p>
              </w:tc>
              <w:tc>
                <w:tcPr>
                  <w:tcW w:w="1416" w:type="dxa"/>
                  <w:tcBorders>
                    <w:top w:val="single" w:sz="4" w:space="0" w:color="D9D9D9" w:themeColor="background1" w:themeShade="D9"/>
                    <w:bottom w:val="single" w:sz="4" w:space="0" w:color="D9D9D9" w:themeColor="background1" w:themeShade="D9"/>
                  </w:tcBorders>
                </w:tcPr>
                <w:p w14:paraId="0E0FA372" w14:textId="5D17CCFB" w:rsidR="00097921" w:rsidRPr="006B2E9D" w:rsidRDefault="00097921" w:rsidP="00097921">
                  <w:pPr>
                    <w:rPr>
                      <w:rFonts w:ascii="Open Sans" w:hAnsi="Open Sans" w:cs="Open Sans"/>
                      <w:sz w:val="18"/>
                      <w:szCs w:val="18"/>
                    </w:rPr>
                  </w:pPr>
                  <w:r w:rsidRPr="006B2E9D">
                    <w:rPr>
                      <w:sz w:val="18"/>
                      <w:szCs w:val="18"/>
                    </w:rPr>
                    <w:t>02/04/2019</w:t>
                  </w:r>
                </w:p>
              </w:tc>
            </w:tr>
            <w:tr w:rsidR="006B2E9D" w:rsidRPr="006B2E9D" w14:paraId="7BFA256E" w14:textId="77777777" w:rsidTr="4781129E">
              <w:tc>
                <w:tcPr>
                  <w:tcW w:w="1417" w:type="dxa"/>
                  <w:tcBorders>
                    <w:top w:val="single" w:sz="4" w:space="0" w:color="D9D9D9" w:themeColor="background1" w:themeShade="D9"/>
                    <w:bottom w:val="single" w:sz="4" w:space="0" w:color="D9D9D9" w:themeColor="background1" w:themeShade="D9"/>
                  </w:tcBorders>
                </w:tcPr>
                <w:p w14:paraId="15B2E3F5" w14:textId="2B149565" w:rsidR="006B2E9D" w:rsidRPr="006B2E9D" w:rsidRDefault="006B2E9D" w:rsidP="006B2E9D">
                  <w:pPr>
                    <w:rPr>
                      <w:rFonts w:ascii="Open Sans" w:hAnsi="Open Sans" w:cs="Open Sans"/>
                      <w:sz w:val="18"/>
                      <w:szCs w:val="18"/>
                    </w:rPr>
                  </w:pPr>
                  <w:r w:rsidRPr="006B2E9D">
                    <w:rPr>
                      <w:rFonts w:ascii="Open Sans" w:hAnsi="Open Sans" w:cs="Open Sans"/>
                      <w:sz w:val="18"/>
                      <w:szCs w:val="18"/>
                    </w:rPr>
                    <w:t>3.0</w:t>
                  </w:r>
                </w:p>
              </w:tc>
              <w:tc>
                <w:tcPr>
                  <w:tcW w:w="6795" w:type="dxa"/>
                  <w:tcBorders>
                    <w:top w:val="single" w:sz="4" w:space="0" w:color="D9D9D9" w:themeColor="background1" w:themeShade="D9"/>
                    <w:bottom w:val="single" w:sz="4" w:space="0" w:color="D9D9D9" w:themeColor="background1" w:themeShade="D9"/>
                  </w:tcBorders>
                </w:tcPr>
                <w:p w14:paraId="0ADFE59B" w14:textId="3E80A868" w:rsidR="006B2E9D" w:rsidRPr="006B2E9D" w:rsidRDefault="008D0947" w:rsidP="006B2E9D">
                  <w:pPr>
                    <w:rPr>
                      <w:rFonts w:ascii="Open Sans" w:hAnsi="Open Sans" w:cs="Open Sans"/>
                      <w:sz w:val="18"/>
                      <w:szCs w:val="18"/>
                    </w:rPr>
                  </w:pPr>
                  <w:r>
                    <w:rPr>
                      <w:rFonts w:ascii="Open Sans" w:hAnsi="Open Sans" w:cs="Open Sans"/>
                      <w:sz w:val="18"/>
                      <w:szCs w:val="18"/>
                    </w:rPr>
                    <w:t xml:space="preserve">Correzioni </w:t>
                  </w:r>
                  <w:r w:rsidR="00831D57">
                    <w:rPr>
                      <w:rFonts w:ascii="Open Sans" w:hAnsi="Open Sans" w:cs="Open Sans"/>
                      <w:sz w:val="18"/>
                      <w:szCs w:val="18"/>
                    </w:rPr>
                    <w:t>minori e adeguamento a nuovo template</w:t>
                  </w:r>
                </w:p>
              </w:tc>
              <w:tc>
                <w:tcPr>
                  <w:tcW w:w="1416" w:type="dxa"/>
                  <w:tcBorders>
                    <w:top w:val="single" w:sz="4" w:space="0" w:color="D9D9D9" w:themeColor="background1" w:themeShade="D9"/>
                    <w:bottom w:val="single" w:sz="4" w:space="0" w:color="D9D9D9" w:themeColor="background1" w:themeShade="D9"/>
                  </w:tcBorders>
                </w:tcPr>
                <w:p w14:paraId="4A78163E" w14:textId="692CC2CA" w:rsidR="006B2E9D" w:rsidRPr="006B2E9D" w:rsidRDefault="09915057" w:rsidP="4781129E">
                  <w:pPr>
                    <w:spacing w:line="259" w:lineRule="auto"/>
                    <w:rPr>
                      <w:rFonts w:ascii="Open Sans" w:hAnsi="Open Sans" w:cs="Open Sans"/>
                      <w:sz w:val="18"/>
                      <w:szCs w:val="18"/>
                    </w:rPr>
                  </w:pPr>
                  <w:r w:rsidRPr="4781129E">
                    <w:rPr>
                      <w:sz w:val="18"/>
                      <w:szCs w:val="18"/>
                    </w:rPr>
                    <w:t>05/09/2019</w:t>
                  </w:r>
                </w:p>
              </w:tc>
            </w:tr>
            <w:tr w:rsidR="006B2E9D" w:rsidRPr="006B2E9D" w14:paraId="2B86AFCB" w14:textId="77777777" w:rsidTr="4781129E">
              <w:tc>
                <w:tcPr>
                  <w:tcW w:w="1417" w:type="dxa"/>
                  <w:tcBorders>
                    <w:top w:val="single" w:sz="4" w:space="0" w:color="D9D9D9" w:themeColor="background1" w:themeShade="D9"/>
                    <w:bottom w:val="single" w:sz="4" w:space="0" w:color="D9D9D9" w:themeColor="background1" w:themeShade="D9"/>
                  </w:tcBorders>
                </w:tcPr>
                <w:p w14:paraId="467AF628" w14:textId="0C65DF8D" w:rsidR="006B2E9D" w:rsidRPr="006B2E9D" w:rsidRDefault="006D4CC2" w:rsidP="006B2E9D">
                  <w:pPr>
                    <w:rPr>
                      <w:rFonts w:ascii="Open Sans" w:hAnsi="Open Sans" w:cs="Open Sans"/>
                      <w:sz w:val="18"/>
                      <w:szCs w:val="18"/>
                    </w:rPr>
                  </w:pPr>
                  <w:r>
                    <w:rPr>
                      <w:rFonts w:ascii="Open Sans" w:hAnsi="Open Sans" w:cs="Open Sans"/>
                      <w:sz w:val="18"/>
                      <w:szCs w:val="18"/>
                    </w:rPr>
                    <w:t>4.0</w:t>
                  </w:r>
                </w:p>
              </w:tc>
              <w:tc>
                <w:tcPr>
                  <w:tcW w:w="6795" w:type="dxa"/>
                  <w:tcBorders>
                    <w:top w:val="single" w:sz="4" w:space="0" w:color="D9D9D9" w:themeColor="background1" w:themeShade="D9"/>
                    <w:bottom w:val="single" w:sz="4" w:space="0" w:color="D9D9D9" w:themeColor="background1" w:themeShade="D9"/>
                  </w:tcBorders>
                </w:tcPr>
                <w:p w14:paraId="7642267C" w14:textId="313E4C9F" w:rsidR="006B2E9D" w:rsidRPr="006B2E9D" w:rsidRDefault="002F5E6B" w:rsidP="006B2E9D">
                  <w:pPr>
                    <w:rPr>
                      <w:rFonts w:ascii="Open Sans" w:hAnsi="Open Sans" w:cs="Open Sans"/>
                      <w:sz w:val="18"/>
                      <w:szCs w:val="18"/>
                    </w:rPr>
                  </w:pPr>
                  <w:r>
                    <w:rPr>
                      <w:rFonts w:ascii="Open Sans" w:hAnsi="Open Sans" w:cs="Open Sans"/>
                      <w:sz w:val="18"/>
                      <w:szCs w:val="18"/>
                    </w:rPr>
                    <w:t xml:space="preserve">Precisazioni sul processo </w:t>
                  </w:r>
                  <w:r w:rsidR="003A17D3">
                    <w:rPr>
                      <w:rFonts w:ascii="Open Sans" w:hAnsi="Open Sans" w:cs="Open Sans"/>
                      <w:sz w:val="18"/>
                      <w:szCs w:val="18"/>
                    </w:rPr>
                    <w:t>a fronte dell</w:t>
                  </w:r>
                  <w:r w:rsidR="006D3D0C">
                    <w:rPr>
                      <w:rFonts w:ascii="Open Sans" w:hAnsi="Open Sans" w:cs="Open Sans"/>
                      <w:sz w:val="18"/>
                      <w:szCs w:val="18"/>
                    </w:rPr>
                    <w:t>e prime esecuzioni effettive</w:t>
                  </w:r>
                </w:p>
              </w:tc>
              <w:tc>
                <w:tcPr>
                  <w:tcW w:w="1416" w:type="dxa"/>
                  <w:tcBorders>
                    <w:top w:val="single" w:sz="4" w:space="0" w:color="D9D9D9" w:themeColor="background1" w:themeShade="D9"/>
                    <w:bottom w:val="single" w:sz="4" w:space="0" w:color="D9D9D9" w:themeColor="background1" w:themeShade="D9"/>
                  </w:tcBorders>
                </w:tcPr>
                <w:p w14:paraId="62CB4799" w14:textId="6CD16CE9" w:rsidR="006B2E9D" w:rsidRPr="00002E9A" w:rsidRDefault="00433293" w:rsidP="006B2E9D">
                  <w:pPr>
                    <w:rPr>
                      <w:rFonts w:ascii="Open Sans" w:hAnsi="Open Sans" w:cs="Open Sans"/>
                      <w:sz w:val="18"/>
                      <w:szCs w:val="18"/>
                      <w:highlight w:val="yellow"/>
                    </w:rPr>
                  </w:pPr>
                  <w:proofErr w:type="spellStart"/>
                  <w:r w:rsidRPr="003015F3">
                    <w:rPr>
                      <w:sz w:val="16"/>
                      <w:szCs w:val="16"/>
                      <w:highlight w:val="yellow"/>
                    </w:rPr>
                    <w:t>Xx</w:t>
                  </w:r>
                  <w:proofErr w:type="spellEnd"/>
                  <w:r w:rsidRPr="003015F3">
                    <w:rPr>
                      <w:sz w:val="16"/>
                      <w:szCs w:val="16"/>
                      <w:highlight w:val="yellow"/>
                    </w:rPr>
                    <w:t>/xx/</w:t>
                  </w:r>
                  <w:proofErr w:type="spellStart"/>
                  <w:r w:rsidRPr="003015F3">
                    <w:rPr>
                      <w:sz w:val="16"/>
                      <w:szCs w:val="16"/>
                      <w:highlight w:val="yellow"/>
                    </w:rPr>
                    <w:t>xxxx</w:t>
                  </w:r>
                  <w:proofErr w:type="spellEnd"/>
                </w:p>
              </w:tc>
            </w:tr>
          </w:tbl>
          <w:p w14:paraId="6912D835" w14:textId="77777777" w:rsidR="003152AD" w:rsidRPr="006B2E9D" w:rsidRDefault="003152AD" w:rsidP="006F02EA">
            <w:pPr>
              <w:rPr>
                <w:sz w:val="18"/>
                <w:szCs w:val="18"/>
                <w:lang w:val="en-GB"/>
              </w:rPr>
            </w:pPr>
          </w:p>
          <w:p w14:paraId="12FD64D0" w14:textId="77777777" w:rsidR="003152AD" w:rsidRPr="006B2E9D" w:rsidRDefault="003152AD" w:rsidP="003152AD">
            <w:pPr>
              <w:rPr>
                <w:sz w:val="18"/>
                <w:szCs w:val="18"/>
                <w:lang w:val="en-GB"/>
              </w:rPr>
            </w:pPr>
          </w:p>
        </w:tc>
      </w:tr>
      <w:tr w:rsidR="003152AD" w:rsidRPr="003152AD" w14:paraId="1E92278B" w14:textId="77777777" w:rsidTr="4781129E">
        <w:trPr>
          <w:trHeight w:val="1984"/>
        </w:trPr>
        <w:tc>
          <w:tcPr>
            <w:tcW w:w="9628" w:type="dxa"/>
            <w:vAlign w:val="bottom"/>
          </w:tcPr>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9628"/>
            </w:tblGrid>
            <w:tr w:rsidR="003152AD" w:rsidRPr="00992A5E" w14:paraId="2303DB19" w14:textId="77777777" w:rsidTr="4781129E">
              <w:tc>
                <w:tcPr>
                  <w:tcW w:w="9628" w:type="dxa"/>
                </w:tcPr>
                <w:p w14:paraId="5CD15157" w14:textId="0369E7E5" w:rsidR="003152AD" w:rsidRPr="003152AD" w:rsidRDefault="003152AD" w:rsidP="008E086D">
                  <w:pPr>
                    <w:spacing w:before="60" w:after="60"/>
                    <w:jc w:val="center"/>
                    <w:rPr>
                      <w:rFonts w:ascii="Open Sans" w:hAnsi="Open Sans" w:cs="Open Sans"/>
                      <w:sz w:val="18"/>
                    </w:rPr>
                  </w:pPr>
                  <w:r w:rsidRPr="003152AD">
                    <w:rPr>
                      <w:rFonts w:ascii="Open Sans" w:hAnsi="Open Sans" w:cs="Open Sans"/>
                      <w:sz w:val="18"/>
                    </w:rPr>
                    <w:t>Il presente documento è rilasciato sotto la licenza</w:t>
                  </w:r>
                  <w:r>
                    <w:rPr>
                      <w:rFonts w:ascii="Open Sans" w:hAnsi="Open Sans" w:cs="Open Sans"/>
                      <w:sz w:val="18"/>
                    </w:rPr>
                    <w:br/>
                  </w:r>
                  <w:r w:rsidRPr="00CB2EAA">
                    <w:rPr>
                      <w:b/>
                      <w:sz w:val="18"/>
                      <w:szCs w:val="16"/>
                    </w:rPr>
                    <w:t>Attribuzione - Non commerciale</w:t>
                  </w:r>
                  <w:r>
                    <w:rPr>
                      <w:b/>
                      <w:sz w:val="18"/>
                      <w:szCs w:val="16"/>
                    </w:rPr>
                    <w:br/>
                  </w:r>
                  <w:r w:rsidRPr="003152AD">
                    <w:rPr>
                      <w:rFonts w:ascii="Open Sans" w:hAnsi="Open Sans" w:cs="Open Sans"/>
                      <w:sz w:val="18"/>
                    </w:rPr>
                    <w:t>delle Creative Commons</w:t>
                  </w:r>
                </w:p>
                <w:p w14:paraId="652A4E1F" w14:textId="7E905DC2" w:rsidR="003152AD" w:rsidRPr="003152AD" w:rsidRDefault="003152AD" w:rsidP="008E086D">
                  <w:pPr>
                    <w:spacing w:before="60" w:after="60"/>
                    <w:jc w:val="center"/>
                    <w:rPr>
                      <w:rFonts w:ascii="Open Sans" w:hAnsi="Open Sans" w:cs="Open Sans"/>
                    </w:rPr>
                  </w:pPr>
                  <w:r>
                    <w:rPr>
                      <w:noProof/>
                    </w:rPr>
                    <w:drawing>
                      <wp:inline distT="0" distB="0" distL="0" distR="0" wp14:anchorId="67D041E4" wp14:editId="01862786">
                        <wp:extent cx="360000" cy="360000"/>
                        <wp:effectExtent l="0" t="0" r="2540" b="2540"/>
                        <wp:docPr id="152413873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190EAEF6" w:rsidRPr="4781129E">
                    <w:rPr>
                      <w:rFonts w:ascii="Open Sans" w:hAnsi="Open Sans" w:cs="Open Sans"/>
                    </w:rPr>
                    <w:t xml:space="preserve"> </w:t>
                  </w:r>
                  <w:r>
                    <w:rPr>
                      <w:noProof/>
                    </w:rPr>
                    <w:drawing>
                      <wp:inline distT="0" distB="0" distL="0" distR="0" wp14:anchorId="3AE7E58A" wp14:editId="18D86EA2">
                        <wp:extent cx="360000" cy="360000"/>
                        <wp:effectExtent l="0" t="0" r="2540" b="2540"/>
                        <wp:docPr id="12313626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190EAEF6" w:rsidRPr="4781129E">
                    <w:rPr>
                      <w:rFonts w:ascii="Open Sans" w:hAnsi="Open Sans" w:cs="Open Sans"/>
                    </w:rPr>
                    <w:t xml:space="preserve"> </w:t>
                  </w:r>
                  <w:r>
                    <w:rPr>
                      <w:noProof/>
                    </w:rPr>
                    <w:drawing>
                      <wp:inline distT="0" distB="0" distL="0" distR="0" wp14:anchorId="3DF2EC9F" wp14:editId="05A6AC6B">
                        <wp:extent cx="360000" cy="360000"/>
                        <wp:effectExtent l="0" t="0" r="2540" b="2540"/>
                        <wp:docPr id="87090042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r>
          </w:tbl>
          <w:p w14:paraId="65F90DC5" w14:textId="77777777" w:rsidR="008E086D" w:rsidRPr="003152AD" w:rsidRDefault="008E086D" w:rsidP="008E086D">
            <w:pPr>
              <w:jc w:val="center"/>
            </w:pPr>
          </w:p>
        </w:tc>
      </w:tr>
    </w:tbl>
    <w:p w14:paraId="6803C554" w14:textId="77777777" w:rsidR="003152AD" w:rsidRDefault="003152AD">
      <w:r>
        <w:br w:type="page"/>
      </w:r>
    </w:p>
    <w:p w14:paraId="73B60C71" w14:textId="77777777" w:rsidR="00022794" w:rsidRPr="00022794" w:rsidRDefault="00022794" w:rsidP="00022794">
      <w:pPr>
        <w:rPr>
          <w:rFonts w:asciiTheme="majorHAnsi" w:eastAsiaTheme="majorEastAsia" w:hAnsiTheme="majorHAnsi" w:cstheme="majorBidi"/>
          <w:b/>
          <w:color w:val="D71016"/>
          <w:sz w:val="32"/>
          <w:szCs w:val="32"/>
          <w:lang w:val="en-GB"/>
        </w:rPr>
      </w:pPr>
      <w:r w:rsidRPr="00022794">
        <w:rPr>
          <w:rFonts w:asciiTheme="majorHAnsi" w:eastAsiaTheme="majorEastAsia" w:hAnsiTheme="majorHAnsi" w:cstheme="majorBidi"/>
          <w:b/>
          <w:color w:val="D71016"/>
          <w:sz w:val="32"/>
          <w:szCs w:val="32"/>
          <w:lang w:val="en-GB"/>
        </w:rPr>
        <w:lastRenderedPageBreak/>
        <w:t>INDICE</w:t>
      </w:r>
    </w:p>
    <w:p w14:paraId="2A083E98" w14:textId="77777777" w:rsidR="00022794" w:rsidRDefault="00022794" w:rsidP="00022794"/>
    <w:p w14:paraId="7FEA128F" w14:textId="3AB5D7BB" w:rsidR="00702BC3" w:rsidRDefault="004223D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6972029" w:history="1">
        <w:r w:rsidR="00702BC3" w:rsidRPr="00234AA2">
          <w:rPr>
            <w:rStyle w:val="Collegamentoipertestuale"/>
            <w:noProof/>
            <w:lang w:val="en-GB"/>
          </w:rPr>
          <w:t>1.</w:t>
        </w:r>
        <w:r w:rsidR="00702BC3">
          <w:rPr>
            <w:rFonts w:eastAsiaTheme="minorEastAsia"/>
            <w:noProof/>
            <w:lang w:eastAsia="it-IT"/>
          </w:rPr>
          <w:tab/>
        </w:r>
        <w:r w:rsidR="00702BC3" w:rsidRPr="00234AA2">
          <w:rPr>
            <w:rStyle w:val="Collegamentoipertestuale"/>
            <w:noProof/>
            <w:lang w:val="en-GB"/>
          </w:rPr>
          <w:t>INTRODUZIONE</w:t>
        </w:r>
        <w:r w:rsidR="00702BC3">
          <w:rPr>
            <w:noProof/>
            <w:webHidden/>
          </w:rPr>
          <w:tab/>
        </w:r>
        <w:r w:rsidR="00702BC3">
          <w:rPr>
            <w:noProof/>
            <w:webHidden/>
          </w:rPr>
          <w:fldChar w:fldCharType="begin"/>
        </w:r>
        <w:r w:rsidR="00702BC3">
          <w:rPr>
            <w:noProof/>
            <w:webHidden/>
          </w:rPr>
          <w:instrText xml:space="preserve"> PAGEREF _Toc26972029 \h </w:instrText>
        </w:r>
        <w:r w:rsidR="00702BC3">
          <w:rPr>
            <w:noProof/>
            <w:webHidden/>
          </w:rPr>
        </w:r>
        <w:r w:rsidR="00702BC3">
          <w:rPr>
            <w:noProof/>
            <w:webHidden/>
          </w:rPr>
          <w:fldChar w:fldCharType="separate"/>
        </w:r>
        <w:r w:rsidR="00702BC3">
          <w:rPr>
            <w:noProof/>
            <w:webHidden/>
          </w:rPr>
          <w:t>4</w:t>
        </w:r>
        <w:r w:rsidR="00702BC3">
          <w:rPr>
            <w:noProof/>
            <w:webHidden/>
          </w:rPr>
          <w:fldChar w:fldCharType="end"/>
        </w:r>
      </w:hyperlink>
    </w:p>
    <w:p w14:paraId="51D6FEAB" w14:textId="77F6B3CE" w:rsidR="00702BC3" w:rsidRDefault="00702BC3">
      <w:pPr>
        <w:pStyle w:val="Sommario2"/>
        <w:tabs>
          <w:tab w:val="right" w:leader="dot" w:pos="9628"/>
        </w:tabs>
        <w:rPr>
          <w:rFonts w:eastAsiaTheme="minorEastAsia"/>
          <w:noProof/>
          <w:sz w:val="22"/>
          <w:lang w:eastAsia="it-IT"/>
        </w:rPr>
      </w:pPr>
      <w:hyperlink w:anchor="_Toc26972030" w:history="1">
        <w:r w:rsidRPr="00234AA2">
          <w:rPr>
            <w:rStyle w:val="Collegamentoipertestuale"/>
            <w:noProof/>
          </w:rPr>
          <w:t>Scopo della procedura</w:t>
        </w:r>
        <w:r>
          <w:rPr>
            <w:noProof/>
            <w:webHidden/>
          </w:rPr>
          <w:tab/>
        </w:r>
        <w:r>
          <w:rPr>
            <w:noProof/>
            <w:webHidden/>
          </w:rPr>
          <w:fldChar w:fldCharType="begin"/>
        </w:r>
        <w:r>
          <w:rPr>
            <w:noProof/>
            <w:webHidden/>
          </w:rPr>
          <w:instrText xml:space="preserve"> PAGEREF _Toc26972030 \h </w:instrText>
        </w:r>
        <w:r>
          <w:rPr>
            <w:noProof/>
            <w:webHidden/>
          </w:rPr>
        </w:r>
        <w:r>
          <w:rPr>
            <w:noProof/>
            <w:webHidden/>
          </w:rPr>
          <w:fldChar w:fldCharType="separate"/>
        </w:r>
        <w:r>
          <w:rPr>
            <w:noProof/>
            <w:webHidden/>
          </w:rPr>
          <w:t>4</w:t>
        </w:r>
        <w:r>
          <w:rPr>
            <w:noProof/>
            <w:webHidden/>
          </w:rPr>
          <w:fldChar w:fldCharType="end"/>
        </w:r>
      </w:hyperlink>
    </w:p>
    <w:p w14:paraId="3FF4D6BD" w14:textId="0ABE393F" w:rsidR="00702BC3" w:rsidRDefault="00702BC3">
      <w:pPr>
        <w:pStyle w:val="Sommario2"/>
        <w:tabs>
          <w:tab w:val="right" w:leader="dot" w:pos="9628"/>
        </w:tabs>
        <w:rPr>
          <w:rFonts w:eastAsiaTheme="minorEastAsia"/>
          <w:noProof/>
          <w:sz w:val="22"/>
          <w:lang w:eastAsia="it-IT"/>
        </w:rPr>
      </w:pPr>
      <w:hyperlink w:anchor="_Toc26972031" w:history="1">
        <w:r w:rsidRPr="00234AA2">
          <w:rPr>
            <w:rStyle w:val="Collegamentoipertestuale"/>
            <w:noProof/>
          </w:rPr>
          <w:t>Schema</w:t>
        </w:r>
        <w:r>
          <w:rPr>
            <w:noProof/>
            <w:webHidden/>
          </w:rPr>
          <w:tab/>
        </w:r>
        <w:r>
          <w:rPr>
            <w:noProof/>
            <w:webHidden/>
          </w:rPr>
          <w:fldChar w:fldCharType="begin"/>
        </w:r>
        <w:r>
          <w:rPr>
            <w:noProof/>
            <w:webHidden/>
          </w:rPr>
          <w:instrText xml:space="preserve"> PAGEREF _Toc26972031 \h </w:instrText>
        </w:r>
        <w:r>
          <w:rPr>
            <w:noProof/>
            <w:webHidden/>
          </w:rPr>
        </w:r>
        <w:r>
          <w:rPr>
            <w:noProof/>
            <w:webHidden/>
          </w:rPr>
          <w:fldChar w:fldCharType="separate"/>
        </w:r>
        <w:r>
          <w:rPr>
            <w:noProof/>
            <w:webHidden/>
          </w:rPr>
          <w:t>4</w:t>
        </w:r>
        <w:r>
          <w:rPr>
            <w:noProof/>
            <w:webHidden/>
          </w:rPr>
          <w:fldChar w:fldCharType="end"/>
        </w:r>
      </w:hyperlink>
    </w:p>
    <w:p w14:paraId="2EDEEABA" w14:textId="00036437" w:rsidR="00702BC3" w:rsidRDefault="00702BC3">
      <w:pPr>
        <w:pStyle w:val="Sommario2"/>
        <w:tabs>
          <w:tab w:val="right" w:leader="dot" w:pos="9628"/>
        </w:tabs>
        <w:rPr>
          <w:rFonts w:eastAsiaTheme="minorEastAsia"/>
          <w:noProof/>
          <w:sz w:val="22"/>
          <w:lang w:eastAsia="it-IT"/>
        </w:rPr>
      </w:pPr>
      <w:hyperlink w:anchor="_Toc26972032" w:history="1">
        <w:r w:rsidRPr="00234AA2">
          <w:rPr>
            <w:rStyle w:val="Collegamentoipertestuale"/>
            <w:noProof/>
          </w:rPr>
          <w:t>Campo di applicazione</w:t>
        </w:r>
        <w:r>
          <w:rPr>
            <w:noProof/>
            <w:webHidden/>
          </w:rPr>
          <w:tab/>
        </w:r>
        <w:r>
          <w:rPr>
            <w:noProof/>
            <w:webHidden/>
          </w:rPr>
          <w:fldChar w:fldCharType="begin"/>
        </w:r>
        <w:r>
          <w:rPr>
            <w:noProof/>
            <w:webHidden/>
          </w:rPr>
          <w:instrText xml:space="preserve"> PAGEREF _Toc26972032 \h </w:instrText>
        </w:r>
        <w:r>
          <w:rPr>
            <w:noProof/>
            <w:webHidden/>
          </w:rPr>
        </w:r>
        <w:r>
          <w:rPr>
            <w:noProof/>
            <w:webHidden/>
          </w:rPr>
          <w:fldChar w:fldCharType="separate"/>
        </w:r>
        <w:r>
          <w:rPr>
            <w:noProof/>
            <w:webHidden/>
          </w:rPr>
          <w:t>4</w:t>
        </w:r>
        <w:r>
          <w:rPr>
            <w:noProof/>
            <w:webHidden/>
          </w:rPr>
          <w:fldChar w:fldCharType="end"/>
        </w:r>
      </w:hyperlink>
    </w:p>
    <w:p w14:paraId="38DFA1C9" w14:textId="1555CB8D" w:rsidR="00702BC3" w:rsidRDefault="00702BC3">
      <w:pPr>
        <w:pStyle w:val="Sommario1"/>
        <w:tabs>
          <w:tab w:val="left" w:pos="440"/>
          <w:tab w:val="right" w:leader="dot" w:pos="9628"/>
        </w:tabs>
        <w:rPr>
          <w:rFonts w:eastAsiaTheme="minorEastAsia"/>
          <w:noProof/>
          <w:lang w:eastAsia="it-IT"/>
        </w:rPr>
      </w:pPr>
      <w:hyperlink w:anchor="_Toc26972033" w:history="1">
        <w:r w:rsidRPr="00234AA2">
          <w:rPr>
            <w:rStyle w:val="Collegamentoipertestuale"/>
            <w:caps/>
            <w:noProof/>
            <w:lang w:val="en-GB"/>
          </w:rPr>
          <w:t>2.</w:t>
        </w:r>
        <w:r>
          <w:rPr>
            <w:rFonts w:eastAsiaTheme="minorEastAsia"/>
            <w:noProof/>
            <w:lang w:eastAsia="it-IT"/>
          </w:rPr>
          <w:tab/>
        </w:r>
        <w:r w:rsidRPr="00234AA2">
          <w:rPr>
            <w:rStyle w:val="Collegamentoipertestuale"/>
            <w:caps/>
            <w:noProof/>
            <w:lang w:val="en-GB"/>
          </w:rPr>
          <w:t>Cessazione dell’Accordo</w:t>
        </w:r>
        <w:r>
          <w:rPr>
            <w:noProof/>
            <w:webHidden/>
          </w:rPr>
          <w:tab/>
        </w:r>
        <w:r>
          <w:rPr>
            <w:noProof/>
            <w:webHidden/>
          </w:rPr>
          <w:fldChar w:fldCharType="begin"/>
        </w:r>
        <w:r>
          <w:rPr>
            <w:noProof/>
            <w:webHidden/>
          </w:rPr>
          <w:instrText xml:space="preserve"> PAGEREF _Toc26972033 \h </w:instrText>
        </w:r>
        <w:r>
          <w:rPr>
            <w:noProof/>
            <w:webHidden/>
          </w:rPr>
        </w:r>
        <w:r>
          <w:rPr>
            <w:noProof/>
            <w:webHidden/>
          </w:rPr>
          <w:fldChar w:fldCharType="separate"/>
        </w:r>
        <w:r>
          <w:rPr>
            <w:noProof/>
            <w:webHidden/>
          </w:rPr>
          <w:t>5</w:t>
        </w:r>
        <w:r>
          <w:rPr>
            <w:noProof/>
            <w:webHidden/>
          </w:rPr>
          <w:fldChar w:fldCharType="end"/>
        </w:r>
      </w:hyperlink>
    </w:p>
    <w:p w14:paraId="764E690B" w14:textId="6F7F3757" w:rsidR="00702BC3" w:rsidRDefault="00702BC3">
      <w:pPr>
        <w:pStyle w:val="Sommario1"/>
        <w:tabs>
          <w:tab w:val="left" w:pos="440"/>
          <w:tab w:val="right" w:leader="dot" w:pos="9628"/>
        </w:tabs>
        <w:rPr>
          <w:rFonts w:eastAsiaTheme="minorEastAsia"/>
          <w:noProof/>
          <w:lang w:eastAsia="it-IT"/>
        </w:rPr>
      </w:pPr>
      <w:hyperlink w:anchor="_Toc26972034" w:history="1">
        <w:r w:rsidRPr="00234AA2">
          <w:rPr>
            <w:rStyle w:val="Collegamentoipertestuale"/>
            <w:caps/>
            <w:noProof/>
          </w:rPr>
          <w:t>3.</w:t>
        </w:r>
        <w:r>
          <w:rPr>
            <w:rFonts w:eastAsiaTheme="minorEastAsia"/>
            <w:noProof/>
            <w:lang w:eastAsia="it-IT"/>
          </w:rPr>
          <w:tab/>
        </w:r>
        <w:r w:rsidRPr="00234AA2">
          <w:rPr>
            <w:rStyle w:val="Collegamentoipertestuale"/>
            <w:caps/>
            <w:noProof/>
          </w:rPr>
          <w:t>Verifica e chiusura dei processi in corso</w:t>
        </w:r>
        <w:r>
          <w:rPr>
            <w:noProof/>
            <w:webHidden/>
          </w:rPr>
          <w:tab/>
        </w:r>
        <w:r>
          <w:rPr>
            <w:noProof/>
            <w:webHidden/>
          </w:rPr>
          <w:fldChar w:fldCharType="begin"/>
        </w:r>
        <w:r>
          <w:rPr>
            <w:noProof/>
            <w:webHidden/>
          </w:rPr>
          <w:instrText xml:space="preserve"> PAGEREF _Toc26972034 \h </w:instrText>
        </w:r>
        <w:r>
          <w:rPr>
            <w:noProof/>
            <w:webHidden/>
          </w:rPr>
        </w:r>
        <w:r>
          <w:rPr>
            <w:noProof/>
            <w:webHidden/>
          </w:rPr>
          <w:fldChar w:fldCharType="separate"/>
        </w:r>
        <w:r>
          <w:rPr>
            <w:noProof/>
            <w:webHidden/>
          </w:rPr>
          <w:t>6</w:t>
        </w:r>
        <w:r>
          <w:rPr>
            <w:noProof/>
            <w:webHidden/>
          </w:rPr>
          <w:fldChar w:fldCharType="end"/>
        </w:r>
      </w:hyperlink>
    </w:p>
    <w:p w14:paraId="3920C0B6" w14:textId="36ABF336" w:rsidR="00702BC3" w:rsidRDefault="00702BC3">
      <w:pPr>
        <w:pStyle w:val="Sommario1"/>
        <w:tabs>
          <w:tab w:val="left" w:pos="440"/>
          <w:tab w:val="right" w:leader="dot" w:pos="9628"/>
        </w:tabs>
        <w:rPr>
          <w:rFonts w:eastAsiaTheme="minorEastAsia"/>
          <w:noProof/>
          <w:lang w:eastAsia="it-IT"/>
        </w:rPr>
      </w:pPr>
      <w:hyperlink w:anchor="_Toc26972035" w:history="1">
        <w:r w:rsidRPr="00234AA2">
          <w:rPr>
            <w:rStyle w:val="Collegamentoipertestuale"/>
            <w:caps/>
            <w:noProof/>
          </w:rPr>
          <w:t>4.</w:t>
        </w:r>
        <w:r>
          <w:rPr>
            <w:rFonts w:eastAsiaTheme="minorEastAsia"/>
            <w:noProof/>
            <w:lang w:eastAsia="it-IT"/>
          </w:rPr>
          <w:tab/>
        </w:r>
        <w:r w:rsidRPr="00234AA2">
          <w:rPr>
            <w:rStyle w:val="Collegamentoipertestuale"/>
            <w:caps/>
            <w:noProof/>
          </w:rPr>
          <w:t>Predisposizione degli AIP da restituire e degli elenchi di trasferimento</w:t>
        </w:r>
        <w:r>
          <w:rPr>
            <w:noProof/>
            <w:webHidden/>
          </w:rPr>
          <w:tab/>
        </w:r>
        <w:r>
          <w:rPr>
            <w:noProof/>
            <w:webHidden/>
          </w:rPr>
          <w:fldChar w:fldCharType="begin"/>
        </w:r>
        <w:r>
          <w:rPr>
            <w:noProof/>
            <w:webHidden/>
          </w:rPr>
          <w:instrText xml:space="preserve"> PAGEREF _Toc26972035 \h </w:instrText>
        </w:r>
        <w:r>
          <w:rPr>
            <w:noProof/>
            <w:webHidden/>
          </w:rPr>
        </w:r>
        <w:r>
          <w:rPr>
            <w:noProof/>
            <w:webHidden/>
          </w:rPr>
          <w:fldChar w:fldCharType="separate"/>
        </w:r>
        <w:r>
          <w:rPr>
            <w:noProof/>
            <w:webHidden/>
          </w:rPr>
          <w:t>7</w:t>
        </w:r>
        <w:r>
          <w:rPr>
            <w:noProof/>
            <w:webHidden/>
          </w:rPr>
          <w:fldChar w:fldCharType="end"/>
        </w:r>
      </w:hyperlink>
    </w:p>
    <w:p w14:paraId="388DC761" w14:textId="01F423B9" w:rsidR="00702BC3" w:rsidRDefault="00702BC3">
      <w:pPr>
        <w:pStyle w:val="Sommario2"/>
        <w:tabs>
          <w:tab w:val="right" w:leader="dot" w:pos="9628"/>
        </w:tabs>
        <w:rPr>
          <w:rFonts w:eastAsiaTheme="minorEastAsia"/>
          <w:noProof/>
          <w:sz w:val="22"/>
          <w:lang w:eastAsia="it-IT"/>
        </w:rPr>
      </w:pPr>
      <w:hyperlink w:anchor="_Toc26972036" w:history="1">
        <w:r w:rsidRPr="00234AA2">
          <w:rPr>
            <w:rStyle w:val="Collegamentoipertestuale"/>
            <w:noProof/>
          </w:rPr>
          <w:t>VERIFICA DEL CONTENUTO DELL’ARCHIVIO</w:t>
        </w:r>
        <w:r>
          <w:rPr>
            <w:noProof/>
            <w:webHidden/>
          </w:rPr>
          <w:tab/>
        </w:r>
        <w:r>
          <w:rPr>
            <w:noProof/>
            <w:webHidden/>
          </w:rPr>
          <w:fldChar w:fldCharType="begin"/>
        </w:r>
        <w:r>
          <w:rPr>
            <w:noProof/>
            <w:webHidden/>
          </w:rPr>
          <w:instrText xml:space="preserve"> PAGEREF _Toc26972036 \h </w:instrText>
        </w:r>
        <w:r>
          <w:rPr>
            <w:noProof/>
            <w:webHidden/>
          </w:rPr>
        </w:r>
        <w:r>
          <w:rPr>
            <w:noProof/>
            <w:webHidden/>
          </w:rPr>
          <w:fldChar w:fldCharType="separate"/>
        </w:r>
        <w:r>
          <w:rPr>
            <w:noProof/>
            <w:webHidden/>
          </w:rPr>
          <w:t>7</w:t>
        </w:r>
        <w:r>
          <w:rPr>
            <w:noProof/>
            <w:webHidden/>
          </w:rPr>
          <w:fldChar w:fldCharType="end"/>
        </w:r>
      </w:hyperlink>
    </w:p>
    <w:p w14:paraId="3226B619" w14:textId="240DCE46" w:rsidR="00702BC3" w:rsidRDefault="00702BC3">
      <w:pPr>
        <w:pStyle w:val="Sommario2"/>
        <w:tabs>
          <w:tab w:val="right" w:leader="dot" w:pos="9628"/>
        </w:tabs>
        <w:rPr>
          <w:rFonts w:eastAsiaTheme="minorEastAsia"/>
          <w:noProof/>
          <w:sz w:val="22"/>
          <w:lang w:eastAsia="it-IT"/>
        </w:rPr>
      </w:pPr>
      <w:hyperlink w:anchor="_Toc26972037" w:history="1">
        <w:r w:rsidRPr="00234AA2">
          <w:rPr>
            <w:rStyle w:val="Collegamentoipertestuale"/>
            <w:noProof/>
          </w:rPr>
          <w:t>APERTURA DI UNA RICHIESTA DI SUPPORTO</w:t>
        </w:r>
        <w:r>
          <w:rPr>
            <w:noProof/>
            <w:webHidden/>
          </w:rPr>
          <w:tab/>
        </w:r>
        <w:r>
          <w:rPr>
            <w:noProof/>
            <w:webHidden/>
          </w:rPr>
          <w:fldChar w:fldCharType="begin"/>
        </w:r>
        <w:r>
          <w:rPr>
            <w:noProof/>
            <w:webHidden/>
          </w:rPr>
          <w:instrText xml:space="preserve"> PAGEREF _Toc26972037 \h </w:instrText>
        </w:r>
        <w:r>
          <w:rPr>
            <w:noProof/>
            <w:webHidden/>
          </w:rPr>
        </w:r>
        <w:r>
          <w:rPr>
            <w:noProof/>
            <w:webHidden/>
          </w:rPr>
          <w:fldChar w:fldCharType="separate"/>
        </w:r>
        <w:r>
          <w:rPr>
            <w:noProof/>
            <w:webHidden/>
          </w:rPr>
          <w:t>7</w:t>
        </w:r>
        <w:r>
          <w:rPr>
            <w:noProof/>
            <w:webHidden/>
          </w:rPr>
          <w:fldChar w:fldCharType="end"/>
        </w:r>
      </w:hyperlink>
    </w:p>
    <w:p w14:paraId="1224991A" w14:textId="1307B48A" w:rsidR="00702BC3" w:rsidRDefault="00702BC3">
      <w:pPr>
        <w:pStyle w:val="Sommario2"/>
        <w:tabs>
          <w:tab w:val="right" w:leader="dot" w:pos="9628"/>
        </w:tabs>
        <w:rPr>
          <w:rFonts w:eastAsiaTheme="minorEastAsia"/>
          <w:noProof/>
          <w:sz w:val="22"/>
          <w:lang w:eastAsia="it-IT"/>
        </w:rPr>
      </w:pPr>
      <w:hyperlink w:anchor="_Toc26972038" w:history="1">
        <w:r w:rsidRPr="00234AA2">
          <w:rPr>
            <w:rStyle w:val="Collegamentoipertestuale"/>
            <w:rFonts w:eastAsia="Verdana"/>
            <w:noProof/>
          </w:rPr>
          <w:t>PRODUZIONE DEGLI OGGETTI DA TRASFERIRE</w:t>
        </w:r>
        <w:r>
          <w:rPr>
            <w:noProof/>
            <w:webHidden/>
          </w:rPr>
          <w:tab/>
        </w:r>
        <w:r>
          <w:rPr>
            <w:noProof/>
            <w:webHidden/>
          </w:rPr>
          <w:fldChar w:fldCharType="begin"/>
        </w:r>
        <w:r>
          <w:rPr>
            <w:noProof/>
            <w:webHidden/>
          </w:rPr>
          <w:instrText xml:space="preserve"> PAGEREF _Toc26972038 \h </w:instrText>
        </w:r>
        <w:r>
          <w:rPr>
            <w:noProof/>
            <w:webHidden/>
          </w:rPr>
        </w:r>
        <w:r>
          <w:rPr>
            <w:noProof/>
            <w:webHidden/>
          </w:rPr>
          <w:fldChar w:fldCharType="separate"/>
        </w:r>
        <w:r>
          <w:rPr>
            <w:noProof/>
            <w:webHidden/>
          </w:rPr>
          <w:t>8</w:t>
        </w:r>
        <w:r>
          <w:rPr>
            <w:noProof/>
            <w:webHidden/>
          </w:rPr>
          <w:fldChar w:fldCharType="end"/>
        </w:r>
      </w:hyperlink>
    </w:p>
    <w:p w14:paraId="211240E1" w14:textId="3EC4154D" w:rsidR="00702BC3" w:rsidRDefault="00702BC3">
      <w:pPr>
        <w:pStyle w:val="Sommario1"/>
        <w:tabs>
          <w:tab w:val="left" w:pos="440"/>
          <w:tab w:val="right" w:leader="dot" w:pos="9628"/>
        </w:tabs>
        <w:rPr>
          <w:rFonts w:eastAsiaTheme="minorEastAsia"/>
          <w:noProof/>
          <w:lang w:eastAsia="it-IT"/>
        </w:rPr>
      </w:pPr>
      <w:hyperlink w:anchor="_Toc26972039" w:history="1">
        <w:r w:rsidRPr="00234AA2">
          <w:rPr>
            <w:rStyle w:val="Collegamentoipertestuale"/>
            <w:caps/>
            <w:noProof/>
          </w:rPr>
          <w:t>5.</w:t>
        </w:r>
        <w:r>
          <w:rPr>
            <w:rFonts w:eastAsiaTheme="minorEastAsia"/>
            <w:noProof/>
            <w:lang w:eastAsia="it-IT"/>
          </w:rPr>
          <w:tab/>
        </w:r>
        <w:r w:rsidRPr="00234AA2">
          <w:rPr>
            <w:rStyle w:val="Collegamentoipertestuale"/>
            <w:caps/>
            <w:noProof/>
          </w:rPr>
          <w:t>Comunicazione all’ente della messa a disposizione degli oggetti conservati</w:t>
        </w:r>
        <w:r>
          <w:rPr>
            <w:noProof/>
            <w:webHidden/>
          </w:rPr>
          <w:tab/>
        </w:r>
        <w:r>
          <w:rPr>
            <w:noProof/>
            <w:webHidden/>
          </w:rPr>
          <w:fldChar w:fldCharType="begin"/>
        </w:r>
        <w:r>
          <w:rPr>
            <w:noProof/>
            <w:webHidden/>
          </w:rPr>
          <w:instrText xml:space="preserve"> PAGEREF _Toc26972039 \h </w:instrText>
        </w:r>
        <w:r>
          <w:rPr>
            <w:noProof/>
            <w:webHidden/>
          </w:rPr>
        </w:r>
        <w:r>
          <w:rPr>
            <w:noProof/>
            <w:webHidden/>
          </w:rPr>
          <w:fldChar w:fldCharType="separate"/>
        </w:r>
        <w:r>
          <w:rPr>
            <w:noProof/>
            <w:webHidden/>
          </w:rPr>
          <w:t>9</w:t>
        </w:r>
        <w:r>
          <w:rPr>
            <w:noProof/>
            <w:webHidden/>
          </w:rPr>
          <w:fldChar w:fldCharType="end"/>
        </w:r>
      </w:hyperlink>
    </w:p>
    <w:p w14:paraId="544FC7B0" w14:textId="01A166E7" w:rsidR="00702BC3" w:rsidRDefault="00702BC3">
      <w:pPr>
        <w:pStyle w:val="Sommario1"/>
        <w:tabs>
          <w:tab w:val="left" w:pos="440"/>
          <w:tab w:val="right" w:leader="dot" w:pos="9628"/>
        </w:tabs>
        <w:rPr>
          <w:rFonts w:eastAsiaTheme="minorEastAsia"/>
          <w:noProof/>
          <w:lang w:eastAsia="it-IT"/>
        </w:rPr>
      </w:pPr>
      <w:hyperlink w:anchor="_Toc26972040" w:history="1">
        <w:r w:rsidRPr="00234AA2">
          <w:rPr>
            <w:rStyle w:val="Collegamentoipertestuale"/>
            <w:caps/>
            <w:noProof/>
          </w:rPr>
          <w:t>6.</w:t>
        </w:r>
        <w:r>
          <w:rPr>
            <w:rFonts w:eastAsiaTheme="minorEastAsia"/>
            <w:noProof/>
            <w:lang w:eastAsia="it-IT"/>
          </w:rPr>
          <w:tab/>
        </w:r>
        <w:r w:rsidRPr="00234AA2">
          <w:rPr>
            <w:rStyle w:val="Collegamentoipertestuale"/>
            <w:caps/>
            <w:noProof/>
          </w:rPr>
          <w:t>Verifica della restituzione</w:t>
        </w:r>
        <w:r>
          <w:rPr>
            <w:noProof/>
            <w:webHidden/>
          </w:rPr>
          <w:tab/>
        </w:r>
        <w:r>
          <w:rPr>
            <w:noProof/>
            <w:webHidden/>
          </w:rPr>
          <w:fldChar w:fldCharType="begin"/>
        </w:r>
        <w:r>
          <w:rPr>
            <w:noProof/>
            <w:webHidden/>
          </w:rPr>
          <w:instrText xml:space="preserve"> PAGEREF _Toc26972040 \h </w:instrText>
        </w:r>
        <w:r>
          <w:rPr>
            <w:noProof/>
            <w:webHidden/>
          </w:rPr>
        </w:r>
        <w:r>
          <w:rPr>
            <w:noProof/>
            <w:webHidden/>
          </w:rPr>
          <w:fldChar w:fldCharType="separate"/>
        </w:r>
        <w:r>
          <w:rPr>
            <w:noProof/>
            <w:webHidden/>
          </w:rPr>
          <w:t>11</w:t>
        </w:r>
        <w:r>
          <w:rPr>
            <w:noProof/>
            <w:webHidden/>
          </w:rPr>
          <w:fldChar w:fldCharType="end"/>
        </w:r>
      </w:hyperlink>
    </w:p>
    <w:p w14:paraId="13AC7D83" w14:textId="0A69EAEF" w:rsidR="00702BC3" w:rsidRDefault="00702BC3">
      <w:pPr>
        <w:pStyle w:val="Sommario1"/>
        <w:tabs>
          <w:tab w:val="left" w:pos="440"/>
          <w:tab w:val="right" w:leader="dot" w:pos="9628"/>
        </w:tabs>
        <w:rPr>
          <w:rFonts w:eastAsiaTheme="minorEastAsia"/>
          <w:noProof/>
          <w:lang w:eastAsia="it-IT"/>
        </w:rPr>
      </w:pPr>
      <w:hyperlink w:anchor="_Toc26972041" w:history="1">
        <w:r w:rsidRPr="00234AA2">
          <w:rPr>
            <w:rStyle w:val="Collegamentoipertestuale"/>
            <w:caps/>
            <w:noProof/>
          </w:rPr>
          <w:t>7.</w:t>
        </w:r>
        <w:r>
          <w:rPr>
            <w:rFonts w:eastAsiaTheme="minorEastAsia"/>
            <w:noProof/>
            <w:lang w:eastAsia="it-IT"/>
          </w:rPr>
          <w:tab/>
        </w:r>
        <w:r w:rsidRPr="00234AA2">
          <w:rPr>
            <w:rStyle w:val="Collegamentoipertestuale"/>
            <w:caps/>
            <w:noProof/>
          </w:rPr>
          <w:t>Cancellazione dei documenti</w:t>
        </w:r>
        <w:r>
          <w:rPr>
            <w:noProof/>
            <w:webHidden/>
          </w:rPr>
          <w:tab/>
        </w:r>
        <w:r>
          <w:rPr>
            <w:noProof/>
            <w:webHidden/>
          </w:rPr>
          <w:fldChar w:fldCharType="begin"/>
        </w:r>
        <w:r>
          <w:rPr>
            <w:noProof/>
            <w:webHidden/>
          </w:rPr>
          <w:instrText xml:space="preserve"> PAGEREF _Toc26972041 \h </w:instrText>
        </w:r>
        <w:r>
          <w:rPr>
            <w:noProof/>
            <w:webHidden/>
          </w:rPr>
        </w:r>
        <w:r>
          <w:rPr>
            <w:noProof/>
            <w:webHidden/>
          </w:rPr>
          <w:fldChar w:fldCharType="separate"/>
        </w:r>
        <w:r>
          <w:rPr>
            <w:noProof/>
            <w:webHidden/>
          </w:rPr>
          <w:t>12</w:t>
        </w:r>
        <w:r>
          <w:rPr>
            <w:noProof/>
            <w:webHidden/>
          </w:rPr>
          <w:fldChar w:fldCharType="end"/>
        </w:r>
      </w:hyperlink>
    </w:p>
    <w:p w14:paraId="5B57C482" w14:textId="3FB35CCF" w:rsidR="00702BC3" w:rsidRDefault="00702BC3">
      <w:pPr>
        <w:pStyle w:val="Sommario1"/>
        <w:tabs>
          <w:tab w:val="left" w:pos="440"/>
          <w:tab w:val="right" w:leader="dot" w:pos="9628"/>
        </w:tabs>
        <w:rPr>
          <w:rFonts w:eastAsiaTheme="minorEastAsia"/>
          <w:noProof/>
          <w:lang w:eastAsia="it-IT"/>
        </w:rPr>
      </w:pPr>
      <w:hyperlink w:anchor="_Toc26972042" w:history="1">
        <w:r w:rsidRPr="00234AA2">
          <w:rPr>
            <w:rStyle w:val="Collegamentoipertestuale"/>
            <w:caps/>
            <w:noProof/>
          </w:rPr>
          <w:t>8.</w:t>
        </w:r>
        <w:r>
          <w:rPr>
            <w:rFonts w:eastAsiaTheme="minorEastAsia"/>
            <w:noProof/>
            <w:lang w:eastAsia="it-IT"/>
          </w:rPr>
          <w:tab/>
        </w:r>
        <w:r w:rsidRPr="00234AA2">
          <w:rPr>
            <w:rStyle w:val="Collegamentoipertestuale"/>
            <w:caps/>
            <w:noProof/>
          </w:rPr>
          <w:t>MATRICE DELLE RESPONSABILITA’</w:t>
        </w:r>
        <w:r>
          <w:rPr>
            <w:noProof/>
            <w:webHidden/>
          </w:rPr>
          <w:tab/>
        </w:r>
        <w:r>
          <w:rPr>
            <w:noProof/>
            <w:webHidden/>
          </w:rPr>
          <w:fldChar w:fldCharType="begin"/>
        </w:r>
        <w:r>
          <w:rPr>
            <w:noProof/>
            <w:webHidden/>
          </w:rPr>
          <w:instrText xml:space="preserve"> PAGEREF _Toc26972042 \h </w:instrText>
        </w:r>
        <w:r>
          <w:rPr>
            <w:noProof/>
            <w:webHidden/>
          </w:rPr>
        </w:r>
        <w:r>
          <w:rPr>
            <w:noProof/>
            <w:webHidden/>
          </w:rPr>
          <w:fldChar w:fldCharType="separate"/>
        </w:r>
        <w:r>
          <w:rPr>
            <w:noProof/>
            <w:webHidden/>
          </w:rPr>
          <w:t>13</w:t>
        </w:r>
        <w:r>
          <w:rPr>
            <w:noProof/>
            <w:webHidden/>
          </w:rPr>
          <w:fldChar w:fldCharType="end"/>
        </w:r>
      </w:hyperlink>
    </w:p>
    <w:p w14:paraId="511A98BA" w14:textId="3BD556CE" w:rsidR="00702BC3" w:rsidRDefault="00702BC3">
      <w:pPr>
        <w:pStyle w:val="Sommario1"/>
        <w:tabs>
          <w:tab w:val="left" w:pos="440"/>
          <w:tab w:val="right" w:leader="dot" w:pos="9628"/>
        </w:tabs>
        <w:rPr>
          <w:rFonts w:eastAsiaTheme="minorEastAsia"/>
          <w:noProof/>
          <w:lang w:eastAsia="it-IT"/>
        </w:rPr>
      </w:pPr>
      <w:hyperlink w:anchor="_Toc26972043" w:history="1">
        <w:r w:rsidRPr="00234AA2">
          <w:rPr>
            <w:rStyle w:val="Collegamentoipertestuale"/>
            <w:caps/>
            <w:noProof/>
          </w:rPr>
          <w:t>9.</w:t>
        </w:r>
        <w:r>
          <w:rPr>
            <w:rFonts w:eastAsiaTheme="minorEastAsia"/>
            <w:noProof/>
            <w:lang w:eastAsia="it-IT"/>
          </w:rPr>
          <w:tab/>
        </w:r>
        <w:r w:rsidRPr="00234AA2">
          <w:rPr>
            <w:rStyle w:val="Collegamentoipertestuale"/>
            <w:caps/>
            <w:noProof/>
          </w:rPr>
          <w:t>APPENDICE</w:t>
        </w:r>
        <w:r>
          <w:rPr>
            <w:noProof/>
            <w:webHidden/>
          </w:rPr>
          <w:tab/>
        </w:r>
        <w:r>
          <w:rPr>
            <w:noProof/>
            <w:webHidden/>
          </w:rPr>
          <w:fldChar w:fldCharType="begin"/>
        </w:r>
        <w:r>
          <w:rPr>
            <w:noProof/>
            <w:webHidden/>
          </w:rPr>
          <w:instrText xml:space="preserve"> PAGEREF _Toc26972043 \h </w:instrText>
        </w:r>
        <w:r>
          <w:rPr>
            <w:noProof/>
            <w:webHidden/>
          </w:rPr>
        </w:r>
        <w:r>
          <w:rPr>
            <w:noProof/>
            <w:webHidden/>
          </w:rPr>
          <w:fldChar w:fldCharType="separate"/>
        </w:r>
        <w:r>
          <w:rPr>
            <w:noProof/>
            <w:webHidden/>
          </w:rPr>
          <w:t>14</w:t>
        </w:r>
        <w:r>
          <w:rPr>
            <w:noProof/>
            <w:webHidden/>
          </w:rPr>
          <w:fldChar w:fldCharType="end"/>
        </w:r>
      </w:hyperlink>
    </w:p>
    <w:p w14:paraId="0461E7D3" w14:textId="0FCB97A1" w:rsidR="00702BC3" w:rsidRDefault="00702BC3">
      <w:pPr>
        <w:pStyle w:val="Sommario2"/>
        <w:tabs>
          <w:tab w:val="right" w:leader="dot" w:pos="9628"/>
        </w:tabs>
        <w:rPr>
          <w:rFonts w:eastAsiaTheme="minorEastAsia"/>
          <w:noProof/>
          <w:sz w:val="22"/>
          <w:lang w:eastAsia="it-IT"/>
        </w:rPr>
      </w:pPr>
      <w:hyperlink w:anchor="_Toc26972044" w:history="1">
        <w:r w:rsidRPr="00234AA2">
          <w:rPr>
            <w:rStyle w:val="Collegamentoipertestuale"/>
            <w:noProof/>
          </w:rPr>
          <w:t>Organizzazione dell’Area FTP</w:t>
        </w:r>
        <w:r>
          <w:rPr>
            <w:noProof/>
            <w:webHidden/>
          </w:rPr>
          <w:tab/>
        </w:r>
        <w:r>
          <w:rPr>
            <w:noProof/>
            <w:webHidden/>
          </w:rPr>
          <w:fldChar w:fldCharType="begin"/>
        </w:r>
        <w:r>
          <w:rPr>
            <w:noProof/>
            <w:webHidden/>
          </w:rPr>
          <w:instrText xml:space="preserve"> PAGEREF _Toc26972044 \h </w:instrText>
        </w:r>
        <w:r>
          <w:rPr>
            <w:noProof/>
            <w:webHidden/>
          </w:rPr>
        </w:r>
        <w:r>
          <w:rPr>
            <w:noProof/>
            <w:webHidden/>
          </w:rPr>
          <w:fldChar w:fldCharType="separate"/>
        </w:r>
        <w:r>
          <w:rPr>
            <w:noProof/>
            <w:webHidden/>
          </w:rPr>
          <w:t>14</w:t>
        </w:r>
        <w:r>
          <w:rPr>
            <w:noProof/>
            <w:webHidden/>
          </w:rPr>
          <w:fldChar w:fldCharType="end"/>
        </w:r>
      </w:hyperlink>
    </w:p>
    <w:p w14:paraId="4E27C10B" w14:textId="3B072B5F" w:rsidR="00827484" w:rsidRDefault="004223D6" w:rsidP="00022794">
      <w:r>
        <w:fldChar w:fldCharType="end"/>
      </w:r>
    </w:p>
    <w:p w14:paraId="66259650" w14:textId="1084B94F" w:rsidR="00022794" w:rsidRDefault="00702BC3" w:rsidP="00702BC3">
      <w:pPr>
        <w:tabs>
          <w:tab w:val="left" w:pos="2828"/>
        </w:tabs>
      </w:pPr>
      <w:r>
        <w:tab/>
      </w:r>
      <w:bookmarkStart w:id="0" w:name="_GoBack"/>
      <w:bookmarkEnd w:id="0"/>
    </w:p>
    <w:p w14:paraId="4B047AAA" w14:textId="77777777" w:rsidR="00022794" w:rsidRDefault="00022794" w:rsidP="00022794"/>
    <w:p w14:paraId="05E2B26A" w14:textId="77777777" w:rsidR="00022794" w:rsidRDefault="00022794">
      <w:pPr>
        <w:rPr>
          <w:rFonts w:asciiTheme="majorHAnsi" w:eastAsiaTheme="majorEastAsia" w:hAnsiTheme="majorHAnsi" w:cstheme="majorBidi"/>
          <w:b/>
          <w:color w:val="D71016"/>
          <w:sz w:val="32"/>
          <w:szCs w:val="32"/>
          <w:lang w:val="en-GB"/>
        </w:rPr>
      </w:pPr>
      <w:r>
        <w:rPr>
          <w:lang w:val="en-GB"/>
        </w:rPr>
        <w:br w:type="page"/>
      </w:r>
    </w:p>
    <w:p w14:paraId="64E33A23" w14:textId="666342BE" w:rsidR="006972F7" w:rsidRDefault="004870E1" w:rsidP="000E653E">
      <w:pPr>
        <w:pStyle w:val="Titolo1"/>
        <w:rPr>
          <w:lang w:val="en-GB"/>
        </w:rPr>
      </w:pPr>
      <w:bookmarkStart w:id="1" w:name="_Toc26972029"/>
      <w:r w:rsidRPr="4781129E">
        <w:rPr>
          <w:lang w:val="en-GB"/>
        </w:rPr>
        <w:lastRenderedPageBreak/>
        <w:t>INTRODUZIONE</w:t>
      </w:r>
      <w:bookmarkEnd w:id="1"/>
    </w:p>
    <w:p w14:paraId="0904684A" w14:textId="0C55D8AC" w:rsidR="004870E1" w:rsidRPr="00A874F8" w:rsidRDefault="005C01AF" w:rsidP="004870E1">
      <w:pPr>
        <w:pStyle w:val="Titolo2"/>
      </w:pPr>
      <w:bookmarkStart w:id="2" w:name="_Toc26972030"/>
      <w:r w:rsidRPr="00A874F8">
        <w:t>Scopo della procedura</w:t>
      </w:r>
      <w:bookmarkEnd w:id="2"/>
    </w:p>
    <w:p w14:paraId="47490FDA" w14:textId="77777777" w:rsidR="00A44834" w:rsidRDefault="00A44834" w:rsidP="00A44834">
      <w:r w:rsidRPr="00686CBE">
        <w:rPr>
          <w:color w:val="000000" w:themeColor="text1"/>
        </w:rPr>
        <w:t>La Procedura descrive il modo in cui il Polo Archivistico Regionale dell’Emilia-Romagna (</w:t>
      </w:r>
      <w:proofErr w:type="spellStart"/>
      <w:r w:rsidRPr="00686CBE">
        <w:rPr>
          <w:color w:val="000000" w:themeColor="text1"/>
        </w:rPr>
        <w:t>ParER</w:t>
      </w:r>
      <w:proofErr w:type="spellEnd"/>
      <w:r w:rsidRPr="00686CBE">
        <w:rPr>
          <w:color w:val="000000" w:themeColor="text1"/>
        </w:rPr>
        <w:t xml:space="preserve">) definisce le modalità di restituzione dei documenti all’Ente produttore a seguito della cessazione </w:t>
      </w:r>
      <w:r>
        <w:rPr>
          <w:color w:val="000000" w:themeColor="text1"/>
        </w:rPr>
        <w:t>dell’Accordo</w:t>
      </w:r>
      <w:r w:rsidRPr="00686CBE">
        <w:rPr>
          <w:color w:val="000000" w:themeColor="text1"/>
        </w:rPr>
        <w:t xml:space="preserve"> di erogazione del servizio di conservazione.</w:t>
      </w:r>
    </w:p>
    <w:p w14:paraId="4BF90080" w14:textId="77777777" w:rsidR="00A874F8" w:rsidRPr="00A874F8" w:rsidRDefault="00A874F8" w:rsidP="00022794">
      <w:pPr>
        <w:rPr>
          <w:rFonts w:ascii="Open Sans" w:hAnsi="Open Sans" w:cs="Open Sans"/>
        </w:rPr>
      </w:pPr>
    </w:p>
    <w:p w14:paraId="681F8398" w14:textId="078A9B0E" w:rsidR="005C01AF" w:rsidRPr="005C01AF" w:rsidRDefault="005C01AF" w:rsidP="005C01AF">
      <w:pPr>
        <w:pStyle w:val="Titolo2"/>
      </w:pPr>
      <w:bookmarkStart w:id="3" w:name="_Toc26972031"/>
      <w:r w:rsidRPr="005C01AF">
        <w:t>Schema</w:t>
      </w:r>
      <w:bookmarkEnd w:id="3"/>
    </w:p>
    <w:p w14:paraId="73B84C3F" w14:textId="447E1D24" w:rsidR="00A874F8" w:rsidRDefault="00403731" w:rsidP="00022794">
      <w:pPr>
        <w:rPr>
          <w:rFonts w:ascii="Open Sans" w:hAnsi="Open Sans" w:cs="Open Sans"/>
        </w:rPr>
      </w:pPr>
      <w:r w:rsidRPr="006A2E2B">
        <w:rPr>
          <w:noProof/>
          <w:lang w:eastAsia="it-IT"/>
        </w:rPr>
        <w:drawing>
          <wp:inline distT="0" distB="0" distL="0" distR="0" wp14:anchorId="4A3BF860" wp14:editId="58A81D6F">
            <wp:extent cx="6095410" cy="30765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84" b="5686"/>
                    <a:stretch/>
                  </pic:blipFill>
                  <pic:spPr bwMode="auto">
                    <a:xfrm>
                      <a:off x="0" y="0"/>
                      <a:ext cx="6096528" cy="3077139"/>
                    </a:xfrm>
                    <a:prstGeom prst="rect">
                      <a:avLst/>
                    </a:prstGeom>
                    <a:ln>
                      <a:noFill/>
                    </a:ln>
                    <a:extLst>
                      <a:ext uri="{53640926-AAD7-44D8-BBD7-CCE9431645EC}">
                        <a14:shadowObscured xmlns:a14="http://schemas.microsoft.com/office/drawing/2010/main"/>
                      </a:ext>
                    </a:extLst>
                  </pic:spPr>
                </pic:pic>
              </a:graphicData>
            </a:graphic>
          </wp:inline>
        </w:drawing>
      </w:r>
    </w:p>
    <w:p w14:paraId="3530C48C" w14:textId="77777777" w:rsidR="00C01F9F" w:rsidRDefault="00C01F9F" w:rsidP="00022794">
      <w:pPr>
        <w:rPr>
          <w:rFonts w:ascii="Open Sans" w:hAnsi="Open Sans" w:cs="Open Sans"/>
        </w:rPr>
      </w:pPr>
    </w:p>
    <w:p w14:paraId="23FEA232" w14:textId="549EA36D" w:rsidR="005C01AF" w:rsidRPr="005C01AF" w:rsidRDefault="005C01AF" w:rsidP="005C01AF">
      <w:pPr>
        <w:pStyle w:val="Titolo2"/>
      </w:pPr>
      <w:bookmarkStart w:id="4" w:name="_Toc26972032"/>
      <w:r>
        <w:t>Campo di applicazione</w:t>
      </w:r>
      <w:bookmarkEnd w:id="4"/>
    </w:p>
    <w:p w14:paraId="46DB49A4" w14:textId="77777777" w:rsidR="00F13EBD" w:rsidRPr="009F3D9B" w:rsidRDefault="00F13EBD" w:rsidP="4781129E">
      <w:pPr>
        <w:jc w:val="both"/>
      </w:pPr>
      <w:r>
        <w:t>La Procedura si applica a tutte le restituzioni dei documenti a seguito della cessazione dell’erogazione del servizio di conservazione agli Enti convenzionati per chiusura del contratto oppure recesso anticipato, dettagliando quanto riportato nel Manuale di Conservazione.</w:t>
      </w:r>
    </w:p>
    <w:p w14:paraId="65A4E826" w14:textId="77777777" w:rsidR="00F13EBD" w:rsidRDefault="00F13EBD" w:rsidP="00F13EBD">
      <w:bookmarkStart w:id="5" w:name="_25ljm7mq3bu7" w:colFirst="0" w:colLast="0"/>
      <w:bookmarkStart w:id="6" w:name="_2i2uusfwawfa" w:colFirst="0" w:colLast="0"/>
      <w:bookmarkEnd w:id="5"/>
      <w:bookmarkEnd w:id="6"/>
      <w:r>
        <w:br w:type="page"/>
      </w:r>
    </w:p>
    <w:p w14:paraId="7F21487C" w14:textId="19E78298" w:rsidR="006972F7" w:rsidRPr="00BA11D3" w:rsidRDefault="00FE36B4" w:rsidP="000E653E">
      <w:pPr>
        <w:pStyle w:val="Titolo1"/>
        <w:rPr>
          <w:caps/>
          <w:lang w:val="en-GB"/>
        </w:rPr>
      </w:pPr>
      <w:bookmarkStart w:id="7" w:name="_Toc26972033"/>
      <w:r w:rsidRPr="4781129E">
        <w:rPr>
          <w:caps/>
          <w:lang w:val="en-GB"/>
        </w:rPr>
        <w:lastRenderedPageBreak/>
        <w:t>Cessazione dell’Accordo</w:t>
      </w:r>
      <w:bookmarkEnd w:id="7"/>
    </w:p>
    <w:p w14:paraId="5BBF7441" w14:textId="77777777" w:rsidR="00A057A4" w:rsidRPr="00A830C0" w:rsidRDefault="00A057A4" w:rsidP="4781129E">
      <w:pPr>
        <w:jc w:val="both"/>
      </w:pPr>
      <w:r>
        <w:t>Precondizione per procedere alla restituzione dei documenti è l’effettiva cessazione dell’accordo che è determinata dai seguenti elementi:</w:t>
      </w:r>
    </w:p>
    <w:p w14:paraId="5ADBB5D5" w14:textId="0EEE90FA" w:rsidR="00A057A4" w:rsidRPr="00634688" w:rsidRDefault="00A057A4" w:rsidP="00634688">
      <w:pPr>
        <w:pStyle w:val="Paragrafoelenco"/>
        <w:numPr>
          <w:ilvl w:val="0"/>
          <w:numId w:val="12"/>
        </w:numPr>
        <w:spacing w:before="100"/>
        <w:jc w:val="both"/>
        <w:rPr>
          <w:rFonts w:ascii="Open Sans" w:eastAsia="Open Sans" w:hAnsi="Open Sans" w:cs="Open Sans"/>
        </w:rPr>
      </w:pPr>
      <w:r w:rsidRPr="00634688">
        <w:rPr>
          <w:rFonts w:ascii="Open Sans" w:eastAsia="Open Sans" w:hAnsi="Open Sans" w:cs="Open Sans"/>
        </w:rPr>
        <w:t>Scadenza dell’accordo e volontà espressa dall’ente produttore o da Parer di non procedere a</w:t>
      </w:r>
      <w:r w:rsidR="005E6DC1" w:rsidRPr="00634688">
        <w:rPr>
          <w:rFonts w:ascii="Open Sans" w:eastAsia="Open Sans" w:hAnsi="Open Sans" w:cs="Open Sans"/>
        </w:rPr>
        <w:t>d una nuova sottoscrizione</w:t>
      </w:r>
      <w:r w:rsidRPr="00634688">
        <w:rPr>
          <w:rFonts w:ascii="Open Sans" w:eastAsia="Open Sans" w:hAnsi="Open Sans" w:cs="Open Sans"/>
        </w:rPr>
        <w:t>;</w:t>
      </w:r>
    </w:p>
    <w:p w14:paraId="39DB8C83" w14:textId="77777777" w:rsidR="00A057A4" w:rsidRPr="00634688" w:rsidRDefault="00A057A4" w:rsidP="00634688">
      <w:pPr>
        <w:pStyle w:val="Paragrafoelenco"/>
        <w:numPr>
          <w:ilvl w:val="0"/>
          <w:numId w:val="12"/>
        </w:numPr>
        <w:spacing w:before="100"/>
        <w:jc w:val="both"/>
        <w:rPr>
          <w:rFonts w:ascii="Open Sans" w:eastAsia="Open Sans" w:hAnsi="Open Sans" w:cs="Open Sans"/>
        </w:rPr>
      </w:pPr>
      <w:r w:rsidRPr="00634688">
        <w:rPr>
          <w:rFonts w:ascii="Open Sans" w:eastAsia="Open Sans" w:hAnsi="Open Sans" w:cs="Open Sans"/>
        </w:rPr>
        <w:t>Recesso anticipato da parte dell’ente produttore o di Parer.</w:t>
      </w:r>
    </w:p>
    <w:p w14:paraId="36AA5927" w14:textId="77777777" w:rsidR="00A057A4" w:rsidRDefault="00A057A4" w:rsidP="00A057A4"/>
    <w:p w14:paraId="402B05A9" w14:textId="7097F1A8" w:rsidR="00A057A4" w:rsidRDefault="00A057A4" w:rsidP="4781129E">
      <w:pPr>
        <w:jc w:val="both"/>
      </w:pPr>
      <w:r>
        <w:t xml:space="preserve">La cessazione dell’accordo è formalizzata da una comunicazione del Produttore nella quale viene indicato se la restituzione deve avvenire direttamente al Produttore o al </w:t>
      </w:r>
      <w:r w:rsidR="04F1AFCB">
        <w:t>n</w:t>
      </w:r>
      <w:r>
        <w:t xml:space="preserve">uovo </w:t>
      </w:r>
      <w:r w:rsidR="07ACB1F3">
        <w:t>C</w:t>
      </w:r>
      <w:r>
        <w:t xml:space="preserve">onservatore e, in quest’ultimo caso, se il </w:t>
      </w:r>
      <w:r w:rsidR="4E4D87D0">
        <w:t>n</w:t>
      </w:r>
      <w:r>
        <w:t xml:space="preserve">uovo </w:t>
      </w:r>
      <w:r w:rsidR="57464EF5">
        <w:t>C</w:t>
      </w:r>
      <w:r>
        <w:t>onservatore utilizzerà lo stesso sistema di conservazione di Parer. In quest’ultimo caso la restituzione dell’archivio avverrà mediante la messa a disposizione delle Organizzazioni appartenenti all</w:t>
      </w:r>
      <w:r w:rsidR="5FFA2257">
        <w:t>’</w:t>
      </w:r>
      <w:r w:rsidR="0C2E80DB">
        <w:t>E</w:t>
      </w:r>
      <w:r>
        <w:t>nte</w:t>
      </w:r>
      <w:r w:rsidR="1674E623">
        <w:t xml:space="preserve"> P</w:t>
      </w:r>
      <w:r>
        <w:t>roduttore al Nuovo conservatore</w:t>
      </w:r>
      <w:r w:rsidR="5DF4E913">
        <w:t xml:space="preserve"> e </w:t>
      </w:r>
      <w:proofErr w:type="spellStart"/>
      <w:r w:rsidR="5DF4E913">
        <w:t>ParER</w:t>
      </w:r>
      <w:proofErr w:type="spellEnd"/>
      <w:r w:rsidR="5DF4E913">
        <w:t xml:space="preserve"> continuerà a svolgere un ruolo di Amministratore del Sistema</w:t>
      </w:r>
      <w:r>
        <w:t>.</w:t>
      </w:r>
    </w:p>
    <w:p w14:paraId="77170C12" w14:textId="4FB68851" w:rsidR="00C07B87" w:rsidRPr="004C69D6" w:rsidRDefault="00A057A4" w:rsidP="00380360">
      <w:pPr>
        <w:spacing w:before="100"/>
        <w:jc w:val="both"/>
      </w:pPr>
      <w:r w:rsidRPr="004C69D6">
        <w:t>L’effettiva cessazione dell’accordo viene registrata sul Sistema e, dalla data di fine validità indicata, le Organizzazioni dell’Ente produttore non possono più ricevere versamenti.</w:t>
      </w:r>
      <w:r w:rsidR="5AD882F2" w:rsidRPr="004C69D6">
        <w:t xml:space="preserve"> A tal fine è necessario sia disattivare l’utente/i automa collegato/i alla struttura </w:t>
      </w:r>
      <w:proofErr w:type="spellStart"/>
      <w:r w:rsidR="5AD882F2" w:rsidRPr="004C69D6">
        <w:t>S</w:t>
      </w:r>
      <w:r w:rsidR="004B3678" w:rsidRPr="004C69D6">
        <w:t>ac</w:t>
      </w:r>
      <w:r w:rsidR="5AD882F2" w:rsidRPr="004C69D6">
        <w:t>ER</w:t>
      </w:r>
      <w:proofErr w:type="spellEnd"/>
      <w:r w:rsidR="5AD882F2" w:rsidRPr="004C69D6">
        <w:t xml:space="preserve">, sia chiudere la validità della struttura/e presenti in </w:t>
      </w:r>
      <w:proofErr w:type="spellStart"/>
      <w:r w:rsidR="5AD882F2" w:rsidRPr="004C69D6">
        <w:t>S</w:t>
      </w:r>
      <w:r w:rsidR="004B3678" w:rsidRPr="004C69D6">
        <w:t>ac</w:t>
      </w:r>
      <w:r w:rsidR="5AD882F2" w:rsidRPr="004C69D6">
        <w:t>ER</w:t>
      </w:r>
      <w:proofErr w:type="spellEnd"/>
      <w:r w:rsidR="5AD882F2" w:rsidRPr="004C69D6">
        <w:t xml:space="preserve"> in relazione all’Ente convenzionato, alla medesima data della cessazione dell’accordo. La cessazione della struttura impedisce l’acquisizione di eventuali versamenti effettuati oltre la data di cessazione</w:t>
      </w:r>
      <w:r w:rsidR="00785B67" w:rsidRPr="004C69D6">
        <w:t>,</w:t>
      </w:r>
      <w:r w:rsidR="5AD882F2" w:rsidRPr="004C69D6">
        <w:t xml:space="preserve"> ma consente le azioni utili alla restituzione dell’archivio. </w:t>
      </w:r>
    </w:p>
    <w:p w14:paraId="6F5761FF" w14:textId="77777777" w:rsidR="00373977" w:rsidRPr="00A057A4" w:rsidRDefault="00373977">
      <w:pPr>
        <w:rPr>
          <w:rFonts w:ascii="Open Sans" w:hAnsi="Open Sans" w:cs="Open Sans"/>
        </w:rPr>
      </w:pPr>
      <w:r w:rsidRPr="00A057A4">
        <w:rPr>
          <w:rFonts w:ascii="Open Sans" w:hAnsi="Open Sans" w:cs="Open Sans"/>
        </w:rPr>
        <w:br w:type="page"/>
      </w:r>
    </w:p>
    <w:p w14:paraId="06576575" w14:textId="40F5DD72" w:rsidR="00373977" w:rsidRPr="00046BC2" w:rsidRDefault="00B63EFB" w:rsidP="00373977">
      <w:pPr>
        <w:pStyle w:val="Titolo1"/>
        <w:rPr>
          <w:caps/>
        </w:rPr>
      </w:pPr>
      <w:bookmarkStart w:id="8" w:name="_Toc26972034"/>
      <w:r w:rsidRPr="4781129E">
        <w:rPr>
          <w:caps/>
        </w:rPr>
        <w:lastRenderedPageBreak/>
        <w:t>Verifica e chiusura dei processi in corso</w:t>
      </w:r>
      <w:bookmarkEnd w:id="8"/>
    </w:p>
    <w:p w14:paraId="0F245330" w14:textId="77777777" w:rsidR="00376AF9" w:rsidRDefault="00376AF9" w:rsidP="4781129E">
      <w:pPr>
        <w:jc w:val="both"/>
      </w:pPr>
      <w:r>
        <w:t>A seguito della cessazione dell’accordo, l’Archivista di Riferimento (</w:t>
      </w:r>
      <w:proofErr w:type="spellStart"/>
      <w:r>
        <w:t>AdR</w:t>
      </w:r>
      <w:proofErr w:type="spellEnd"/>
      <w:r>
        <w:t>), una volta verificato che sul Sistema le informazioni sulla cessazione dell’accordo sono correttamente riportate, controlla che sulle Organizzazioni del Produttore non ci siano processi attivi, cioè che:</w:t>
      </w:r>
    </w:p>
    <w:p w14:paraId="7F98089D" w14:textId="646A1F2E" w:rsidR="00376AF9" w:rsidRPr="00634688" w:rsidRDefault="00376AF9" w:rsidP="00634688">
      <w:pPr>
        <w:pStyle w:val="Paragrafoelenco"/>
        <w:numPr>
          <w:ilvl w:val="0"/>
          <w:numId w:val="12"/>
        </w:numPr>
        <w:spacing w:before="100"/>
        <w:jc w:val="both"/>
        <w:rPr>
          <w:rFonts w:ascii="Open Sans" w:eastAsia="Open Sans" w:hAnsi="Open Sans" w:cs="Open Sans"/>
        </w:rPr>
      </w:pPr>
      <w:r w:rsidRPr="00634688">
        <w:rPr>
          <w:rFonts w:ascii="Open Sans" w:eastAsia="Open Sans" w:hAnsi="Open Sans" w:cs="Open Sans"/>
        </w:rPr>
        <w:t xml:space="preserve">sui Versatori non ci siano Oggetti da trasformare in corso di trasformazione o Oggetti da versare in </w:t>
      </w:r>
      <w:proofErr w:type="spellStart"/>
      <w:r w:rsidRPr="00634688">
        <w:rPr>
          <w:rFonts w:ascii="Open Sans" w:eastAsia="Open Sans" w:hAnsi="Open Sans" w:cs="Open Sans"/>
        </w:rPr>
        <w:t>Sac</w:t>
      </w:r>
      <w:r w:rsidR="00EE4400" w:rsidRPr="00634688">
        <w:rPr>
          <w:rFonts w:ascii="Open Sans" w:eastAsia="Open Sans" w:hAnsi="Open Sans" w:cs="Open Sans"/>
        </w:rPr>
        <w:t>ER</w:t>
      </w:r>
      <w:proofErr w:type="spellEnd"/>
      <w:r w:rsidRPr="00634688">
        <w:rPr>
          <w:rFonts w:ascii="Open Sans" w:eastAsia="Open Sans" w:hAnsi="Open Sans" w:cs="Open Sans"/>
        </w:rPr>
        <w:t xml:space="preserve"> in corso di versamento;</w:t>
      </w:r>
    </w:p>
    <w:p w14:paraId="068F6760" w14:textId="7F26C248" w:rsidR="00376AF9" w:rsidRPr="00634688" w:rsidRDefault="4FC50857" w:rsidP="00634688">
      <w:pPr>
        <w:pStyle w:val="Paragrafoelenco"/>
        <w:numPr>
          <w:ilvl w:val="0"/>
          <w:numId w:val="12"/>
        </w:numPr>
        <w:spacing w:before="100"/>
        <w:jc w:val="both"/>
      </w:pPr>
      <w:r w:rsidRPr="00634688">
        <w:rPr>
          <w:rFonts w:ascii="Open Sans" w:eastAsia="Open Sans" w:hAnsi="Open Sans" w:cs="Open Sans"/>
        </w:rPr>
        <w:t>sulle Strutture non ci siano Elenchi di versamento in lavorazione</w:t>
      </w:r>
      <w:r w:rsidR="24FCF641" w:rsidRPr="00634688">
        <w:rPr>
          <w:rFonts w:ascii="Open Sans" w:eastAsia="Open Sans" w:hAnsi="Open Sans" w:cs="Open Sans"/>
        </w:rPr>
        <w:t xml:space="preserve"> o Unità documentarie o altre aggregazioni non entrate nel processo di conservazione (“non selezionate da </w:t>
      </w:r>
      <w:proofErr w:type="spellStart"/>
      <w:r w:rsidR="24FCF641" w:rsidRPr="00634688">
        <w:rPr>
          <w:rFonts w:ascii="Open Sans" w:eastAsia="Open Sans" w:hAnsi="Open Sans" w:cs="Open Sans"/>
        </w:rPr>
        <w:t>scheduler</w:t>
      </w:r>
      <w:proofErr w:type="spellEnd"/>
      <w:r w:rsidR="24FCF641" w:rsidRPr="00634688">
        <w:rPr>
          <w:rFonts w:ascii="Open Sans" w:eastAsia="Open Sans" w:hAnsi="Open Sans" w:cs="Open Sans"/>
        </w:rPr>
        <w:t>”)</w:t>
      </w:r>
      <w:r w:rsidRPr="00634688">
        <w:rPr>
          <w:rFonts w:ascii="Open Sans" w:eastAsia="Open Sans" w:hAnsi="Open Sans" w:cs="Open Sans"/>
        </w:rPr>
        <w:t xml:space="preserve"> e che tutti gli AIP prodotti siano in stato “completato”</w:t>
      </w:r>
      <w:r w:rsidR="4FC3B6E0" w:rsidRPr="00634688">
        <w:rPr>
          <w:rFonts w:ascii="Open Sans" w:eastAsia="Open Sans" w:hAnsi="Open Sans" w:cs="Open Sans"/>
        </w:rPr>
        <w:t>, cioè firmati ed eventualmente marcati</w:t>
      </w:r>
      <w:r w:rsidR="4FC3B6E0" w:rsidRPr="00634688">
        <w:t xml:space="preserve"> temporalmente</w:t>
      </w:r>
      <w:r w:rsidRPr="00634688">
        <w:t xml:space="preserve">. </w:t>
      </w:r>
    </w:p>
    <w:p w14:paraId="467D7690" w14:textId="1DD20A6F" w:rsidR="00376AF9" w:rsidRDefault="00376AF9" w:rsidP="4781129E">
      <w:pPr>
        <w:spacing w:before="100"/>
        <w:jc w:val="both"/>
      </w:pPr>
      <w:r>
        <w:t xml:space="preserve">Qualora </w:t>
      </w:r>
      <w:proofErr w:type="spellStart"/>
      <w:r>
        <w:t>l’AdR</w:t>
      </w:r>
      <w:proofErr w:type="spellEnd"/>
      <w:r>
        <w:t xml:space="preserve"> riscontri l’anomalo perdurare dei processi anche in mancanza di nuovi versamenti, segnala il problema al </w:t>
      </w:r>
      <w:r w:rsidR="61067292">
        <w:t>Responsabile della Funzione Archivistica di Conservazione</w:t>
      </w:r>
      <w:r w:rsidR="7EF22BC5">
        <w:t>, che ne valuta la possibile soluzione</w:t>
      </w:r>
      <w:r w:rsidR="2518D392">
        <w:t xml:space="preserve"> eventualmente coinvolgendo il Supporto tecnico</w:t>
      </w:r>
      <w:r w:rsidR="61067292">
        <w:t>.</w:t>
      </w:r>
    </w:p>
    <w:p w14:paraId="71C15646" w14:textId="77777777" w:rsidR="0057052B" w:rsidRDefault="0057052B" w:rsidP="00376AF9">
      <w:pPr>
        <w:spacing w:before="100"/>
      </w:pPr>
    </w:p>
    <w:p w14:paraId="1EBD00C4" w14:textId="77777777" w:rsidR="00376AF9" w:rsidRPr="00A057A4" w:rsidRDefault="00376AF9" w:rsidP="00376AF9">
      <w:pPr>
        <w:rPr>
          <w:rFonts w:ascii="Open Sans" w:hAnsi="Open Sans" w:cs="Open Sans"/>
        </w:rPr>
      </w:pPr>
      <w:r w:rsidRPr="00A057A4">
        <w:rPr>
          <w:rFonts w:ascii="Open Sans" w:hAnsi="Open Sans" w:cs="Open Sans"/>
        </w:rPr>
        <w:br w:type="page"/>
      </w:r>
    </w:p>
    <w:p w14:paraId="3682FD7C" w14:textId="40751E19" w:rsidR="00450918" w:rsidRPr="00D97923" w:rsidRDefault="00450918" w:rsidP="4781129E">
      <w:pPr>
        <w:pStyle w:val="Titolo1"/>
        <w:rPr>
          <w:caps/>
        </w:rPr>
      </w:pPr>
      <w:bookmarkStart w:id="9" w:name="_Toc26972035"/>
      <w:r w:rsidRPr="00D97923">
        <w:rPr>
          <w:caps/>
        </w:rPr>
        <w:lastRenderedPageBreak/>
        <w:t xml:space="preserve">Predisposizione degli AIP da restituire e </w:t>
      </w:r>
      <w:r w:rsidR="5AD882F2" w:rsidRPr="00D97923">
        <w:rPr>
          <w:caps/>
        </w:rPr>
        <w:t>degli elenchi</w:t>
      </w:r>
      <w:r w:rsidRPr="00D97923">
        <w:rPr>
          <w:caps/>
        </w:rPr>
        <w:t xml:space="preserve"> di </w:t>
      </w:r>
      <w:r w:rsidR="70CEB1CD" w:rsidRPr="00D97923">
        <w:rPr>
          <w:caps/>
        </w:rPr>
        <w:t>trasferimento</w:t>
      </w:r>
      <w:bookmarkEnd w:id="9"/>
    </w:p>
    <w:p w14:paraId="1B5F5995" w14:textId="07879B69" w:rsidR="00C37CED" w:rsidRPr="00D97923" w:rsidRDefault="00C37CED" w:rsidP="4781129E">
      <w:pPr>
        <w:spacing w:before="100"/>
        <w:jc w:val="both"/>
      </w:pPr>
    </w:p>
    <w:p w14:paraId="7861C25D" w14:textId="4E556744" w:rsidR="00B338F6" w:rsidRPr="00D97923" w:rsidRDefault="00B338F6" w:rsidP="009B62B8">
      <w:pPr>
        <w:pStyle w:val="Titolo2"/>
      </w:pPr>
      <w:bookmarkStart w:id="10" w:name="_Toc26972036"/>
      <w:r w:rsidRPr="00D97923">
        <w:t>VERIFICA DEL CONTENUTO DELL’ARCHIVIO</w:t>
      </w:r>
      <w:bookmarkEnd w:id="10"/>
      <w:r w:rsidRPr="00D97923">
        <w:t xml:space="preserve"> </w:t>
      </w:r>
    </w:p>
    <w:p w14:paraId="11578168" w14:textId="6F3BCD89" w:rsidR="5AD882F2" w:rsidRPr="00D97923" w:rsidRDefault="5AD882F2" w:rsidP="5AD882F2">
      <w:pPr>
        <w:spacing w:before="100"/>
        <w:jc w:val="both"/>
      </w:pPr>
      <w:proofErr w:type="spellStart"/>
      <w:r w:rsidRPr="00D97923">
        <w:t>L’AdR</w:t>
      </w:r>
      <w:proofErr w:type="spellEnd"/>
      <w:r w:rsidRPr="00D97923">
        <w:t xml:space="preserve"> verifica il contenuto dell’archivio dell’ente, in particolare:</w:t>
      </w:r>
    </w:p>
    <w:p w14:paraId="0056CF88" w14:textId="66071672" w:rsidR="5AD882F2" w:rsidRPr="00D97923" w:rsidRDefault="5AD882F2" w:rsidP="00D97923">
      <w:pPr>
        <w:pStyle w:val="Paragrafoelenco"/>
        <w:numPr>
          <w:ilvl w:val="0"/>
          <w:numId w:val="13"/>
        </w:numPr>
        <w:spacing w:before="100"/>
        <w:jc w:val="both"/>
      </w:pPr>
      <w:r w:rsidRPr="00D97923">
        <w:t>verifica se vi siano Unità documentarie contenute in Volumi di Conservazione</w:t>
      </w:r>
      <w:r w:rsidRPr="00D97923">
        <w:rPr>
          <w:rStyle w:val="Rimandonotaapidipagina"/>
        </w:rPr>
        <w:footnoteReference w:id="2"/>
      </w:r>
      <w:r w:rsidRPr="00D97923">
        <w:t>. In tal caso è necessario creare le serie annuali in quanto la funzionalità di gestione delle serie consente di generare gli AIP di unità documentaria in stato “IN VOLUME DI CONSERVAZIONE”. Con la validazione delle serie, infatti, per le unità documentarie che sono prive di AIP perché in volume di conservazione viene generato il relativo AIP prima della firma della serie stessa. Nell’AIP dell’unità documentaria la firma dell’Indice è riportata nella cartella Aggregazioni/Serie;</w:t>
      </w:r>
    </w:p>
    <w:p w14:paraId="0A2FF19C" w14:textId="3F714D41" w:rsidR="5AD882F2" w:rsidRPr="00D97923" w:rsidRDefault="5AD882F2" w:rsidP="00D97923">
      <w:pPr>
        <w:pStyle w:val="Paragrafoelenco"/>
        <w:numPr>
          <w:ilvl w:val="0"/>
          <w:numId w:val="13"/>
        </w:numPr>
        <w:spacing w:before="100"/>
        <w:jc w:val="both"/>
      </w:pPr>
      <w:r w:rsidRPr="00D97923">
        <w:t xml:space="preserve">verifica se l’Ente produttore abbia trasferito con modalità manuale, tramite versatore di </w:t>
      </w:r>
      <w:proofErr w:type="spellStart"/>
      <w:r w:rsidRPr="00D97923">
        <w:t>PreINGest</w:t>
      </w:r>
      <w:proofErr w:type="spellEnd"/>
      <w:r w:rsidRPr="00D97923">
        <w:t>, oggetti da trasformare;</w:t>
      </w:r>
    </w:p>
    <w:p w14:paraId="6277EC23" w14:textId="18965B18" w:rsidR="5AD882F2" w:rsidRPr="00D97923" w:rsidRDefault="5AD882F2" w:rsidP="00D97923">
      <w:pPr>
        <w:pStyle w:val="Paragrafoelenco"/>
        <w:numPr>
          <w:ilvl w:val="0"/>
          <w:numId w:val="13"/>
        </w:numPr>
        <w:spacing w:before="100"/>
        <w:jc w:val="both"/>
      </w:pPr>
      <w:r w:rsidRPr="00D97923">
        <w:t>verifica la presenza di Serie di Unità documentaria.</w:t>
      </w:r>
    </w:p>
    <w:p w14:paraId="11EE9618" w14:textId="36526814" w:rsidR="5AD882F2" w:rsidRPr="00D97923" w:rsidRDefault="5AD882F2" w:rsidP="5AD882F2">
      <w:pPr>
        <w:spacing w:before="100"/>
        <w:jc w:val="both"/>
      </w:pPr>
    </w:p>
    <w:p w14:paraId="75DD4FB2" w14:textId="0D42BE77" w:rsidR="5AD882F2" w:rsidRPr="00D97923" w:rsidRDefault="5AD882F2" w:rsidP="009B62B8">
      <w:pPr>
        <w:pStyle w:val="Titolo2"/>
      </w:pPr>
      <w:bookmarkStart w:id="11" w:name="_Toc26972037"/>
      <w:r w:rsidRPr="00D97923">
        <w:t xml:space="preserve">APERTURA DI UNA </w:t>
      </w:r>
      <w:r w:rsidR="004C3A2F">
        <w:t>RICHIESTA DI SUPPORTO</w:t>
      </w:r>
      <w:bookmarkEnd w:id="11"/>
    </w:p>
    <w:p w14:paraId="3767979F" w14:textId="01FC3544" w:rsidR="5AD882F2" w:rsidRPr="00D97923" w:rsidRDefault="5AD882F2" w:rsidP="5AD882F2">
      <w:pPr>
        <w:spacing w:before="100"/>
        <w:jc w:val="both"/>
        <w:rPr>
          <w:rFonts w:ascii="Open Sans" w:eastAsia="Open Sans" w:hAnsi="Open Sans" w:cs="Open Sans"/>
        </w:rPr>
      </w:pPr>
      <w:r w:rsidRPr="00D97923">
        <w:t xml:space="preserve">A verifiche effettuate, </w:t>
      </w:r>
      <w:proofErr w:type="spellStart"/>
      <w:r w:rsidRPr="00D97923">
        <w:t>l’AdR</w:t>
      </w:r>
      <w:proofErr w:type="spellEnd"/>
      <w:r w:rsidRPr="00D97923">
        <w:t xml:space="preserve"> apre una segnalazione SUE in </w:t>
      </w:r>
      <w:proofErr w:type="spellStart"/>
      <w:r w:rsidRPr="00D97923">
        <w:t>Redmine</w:t>
      </w:r>
      <w:proofErr w:type="spellEnd"/>
      <w:r w:rsidRPr="00D97923">
        <w:t xml:space="preserve">, assegnandola al referente tecnico individuato dell’Area Servizi tecnologici e infrastrutture, e ponendo in qualità di Osservatori tutti i referenti </w:t>
      </w:r>
      <w:proofErr w:type="spellStart"/>
      <w:r w:rsidRPr="00D97923">
        <w:t>ParER</w:t>
      </w:r>
      <w:proofErr w:type="spellEnd"/>
      <w:r w:rsidRPr="00D97923">
        <w:t xml:space="preserve"> che verranno coinvolti per la parte di rispettiva competenza nel processo di restituzione dell’Archivio (</w:t>
      </w:r>
      <w:r w:rsidRPr="00D97923">
        <w:rPr>
          <w:rFonts w:ascii="Open Sans" w:eastAsia="Open Sans" w:hAnsi="Open Sans" w:cs="Open Sans"/>
        </w:rPr>
        <w:t>Responsabile sviluppo e manutenzione del sistema di conservazione, Responsabile funzione archivistica di conservazione, Responsabile Area Esercizio Servizi di Conservazione ed eventuali ulteriori Archivisti referenti per l’Ente).</w:t>
      </w:r>
    </w:p>
    <w:p w14:paraId="669FCACE" w14:textId="268D268F" w:rsidR="5AD882F2" w:rsidRPr="00D97923" w:rsidRDefault="5AD882F2" w:rsidP="5AD882F2">
      <w:pPr>
        <w:spacing w:before="100"/>
        <w:jc w:val="both"/>
        <w:rPr>
          <w:rFonts w:ascii="Open Sans" w:eastAsia="Open Sans" w:hAnsi="Open Sans" w:cs="Open Sans"/>
        </w:rPr>
      </w:pPr>
      <w:r w:rsidRPr="00D97923">
        <w:rPr>
          <w:rFonts w:ascii="Open Sans" w:eastAsia="Open Sans" w:hAnsi="Open Sans" w:cs="Open Sans"/>
        </w:rPr>
        <w:t>Nella SUE verranno indicati:</w:t>
      </w:r>
    </w:p>
    <w:p w14:paraId="670AE5B5" w14:textId="03DDB91E" w:rsidR="5AD882F2" w:rsidRPr="00D97923" w:rsidRDefault="5AD882F2" w:rsidP="5AD882F2">
      <w:pPr>
        <w:pStyle w:val="Paragrafoelenco"/>
        <w:numPr>
          <w:ilvl w:val="0"/>
          <w:numId w:val="12"/>
        </w:numPr>
        <w:spacing w:before="100"/>
        <w:jc w:val="both"/>
      </w:pPr>
      <w:r w:rsidRPr="00D97923">
        <w:rPr>
          <w:rFonts w:ascii="Open Sans" w:eastAsia="Open Sans" w:hAnsi="Open Sans" w:cs="Open Sans"/>
        </w:rPr>
        <w:t>l'eventuale presenza di Volumi di conservazione;</w:t>
      </w:r>
    </w:p>
    <w:p w14:paraId="6E9818F9" w14:textId="65C14015" w:rsidR="5AD882F2" w:rsidRPr="00D97923" w:rsidRDefault="5AD882F2" w:rsidP="5AD882F2">
      <w:pPr>
        <w:pStyle w:val="Paragrafoelenco"/>
        <w:numPr>
          <w:ilvl w:val="0"/>
          <w:numId w:val="12"/>
        </w:numPr>
        <w:spacing w:before="100"/>
        <w:jc w:val="both"/>
      </w:pPr>
      <w:r w:rsidRPr="00D97923">
        <w:rPr>
          <w:rFonts w:ascii="Open Sans" w:eastAsia="Open Sans" w:hAnsi="Open Sans" w:cs="Open Sans"/>
        </w:rPr>
        <w:t>l’eventuale necessità di creazione delle serie annuali in riferimento alle unità documentarie che, essendo contenute in un volume di conservazione, sono prive di AIP;</w:t>
      </w:r>
    </w:p>
    <w:p w14:paraId="091A2148" w14:textId="75EACD47" w:rsidR="003427EF" w:rsidRPr="00D97923" w:rsidRDefault="5AD882F2" w:rsidP="5AD882F2">
      <w:pPr>
        <w:pStyle w:val="Paragrafoelenco"/>
        <w:numPr>
          <w:ilvl w:val="0"/>
          <w:numId w:val="12"/>
        </w:numPr>
        <w:spacing w:before="100"/>
        <w:jc w:val="both"/>
      </w:pPr>
      <w:r w:rsidRPr="00D97923">
        <w:t>L’esito delle verifiche effettuate in relazione alla presenza della firma apposta sui Volumi di conservazione e sulle Serie di Unità documentarie già presenti.</w:t>
      </w:r>
    </w:p>
    <w:p w14:paraId="5C3F375B" w14:textId="60F1AFD4" w:rsidR="003427EF" w:rsidRPr="00D97923" w:rsidRDefault="5AD882F2" w:rsidP="5AD882F2">
      <w:pPr>
        <w:pStyle w:val="Paragrafoelenco"/>
        <w:numPr>
          <w:ilvl w:val="0"/>
          <w:numId w:val="12"/>
        </w:numPr>
        <w:spacing w:before="100"/>
        <w:jc w:val="both"/>
      </w:pPr>
      <w:r w:rsidRPr="00D97923">
        <w:lastRenderedPageBreak/>
        <w:t>Segnalazione della necessità di creare apposito Account per il referente che l’Ente indicherà per l’accesso all’Area FTP</w:t>
      </w:r>
      <w:r w:rsidRPr="00D97923">
        <w:rPr>
          <w:rFonts w:ascii="Open Sans" w:eastAsia="Open Sans" w:hAnsi="Open Sans" w:cs="Open Sans"/>
        </w:rPr>
        <w:t xml:space="preserve"> per il recupero degli “oggetti” conservati e degli elenchi di trasferimento di seguito specificati.</w:t>
      </w:r>
    </w:p>
    <w:p w14:paraId="1A1CF3DE" w14:textId="727E5C0C" w:rsidR="003427EF" w:rsidRPr="00D97923" w:rsidRDefault="5AD882F2" w:rsidP="5AD882F2">
      <w:pPr>
        <w:pStyle w:val="Paragrafoelenco"/>
        <w:numPr>
          <w:ilvl w:val="0"/>
          <w:numId w:val="12"/>
        </w:numPr>
        <w:spacing w:before="100"/>
        <w:jc w:val="both"/>
      </w:pPr>
      <w:r w:rsidRPr="00D97923">
        <w:rPr>
          <w:rFonts w:ascii="Open Sans" w:eastAsia="Open Sans" w:hAnsi="Open Sans" w:cs="Open Sans"/>
        </w:rPr>
        <w:t xml:space="preserve">Informazione dell’avvenuta creazione nell’area </w:t>
      </w:r>
      <w:r w:rsidRPr="00D97923">
        <w:rPr>
          <w:rFonts w:ascii="Verdana" w:eastAsia="Verdana" w:hAnsi="Verdana" w:cs="Verdana"/>
          <w:color w:val="222222"/>
        </w:rPr>
        <w:t>F</w:t>
      </w:r>
      <w:r w:rsidRPr="00D97923">
        <w:rPr>
          <w:rFonts w:ascii="Open Sans" w:eastAsia="Open Sans" w:hAnsi="Open Sans" w:cs="Open Sans"/>
        </w:rPr>
        <w:t>TP, dedicata alle restituzioni di archivio, dell'apposita cartella dell'ente tramite apposita funzionalità del Sistema.</w:t>
      </w:r>
    </w:p>
    <w:p w14:paraId="0F4A470F" w14:textId="3462199A" w:rsidR="5AD882F2" w:rsidRDefault="5AD882F2" w:rsidP="5AD882F2">
      <w:pPr>
        <w:spacing w:before="100"/>
        <w:jc w:val="both"/>
        <w:rPr>
          <w:rFonts w:ascii="Verdana" w:eastAsia="Verdana" w:hAnsi="Verdana" w:cs="Verdana"/>
          <w:color w:val="222222"/>
          <w:highlight w:val="yellow"/>
        </w:rPr>
      </w:pPr>
    </w:p>
    <w:p w14:paraId="5D41E1F7" w14:textId="6BA60B57" w:rsidR="5AD882F2" w:rsidRPr="008572C0" w:rsidRDefault="00FC6BCF" w:rsidP="009B62B8">
      <w:pPr>
        <w:pStyle w:val="Titolo2"/>
        <w:rPr>
          <w:rFonts w:eastAsia="Verdana"/>
        </w:rPr>
      </w:pPr>
      <w:bookmarkStart w:id="12" w:name="_Toc26972038"/>
      <w:r w:rsidRPr="008572C0">
        <w:rPr>
          <w:rFonts w:eastAsia="Verdana"/>
        </w:rPr>
        <w:t>PRODUZIONE DEGLI OGGETTI DA TRASFERIRE</w:t>
      </w:r>
      <w:bookmarkEnd w:id="12"/>
    </w:p>
    <w:p w14:paraId="52AA98F6" w14:textId="41926A5F" w:rsidR="00992114" w:rsidRPr="008572C0" w:rsidRDefault="00992114" w:rsidP="4781129E">
      <w:pPr>
        <w:spacing w:before="100"/>
        <w:jc w:val="both"/>
      </w:pPr>
      <w:r w:rsidRPr="008572C0">
        <w:t xml:space="preserve">Qualora il Nuovo conservatore non utilizzi il medesimo sistema di conservazione di Parer, </w:t>
      </w:r>
      <w:proofErr w:type="spellStart"/>
      <w:r w:rsidRPr="008572C0">
        <w:t>l’AdR</w:t>
      </w:r>
      <w:proofErr w:type="spellEnd"/>
      <w:r w:rsidRPr="008572C0">
        <w:t xml:space="preserve">, una volta verificato che tutti i processi sono completati, utilizzando le funzionalità del Sistema, scarica nell’area FTP dedicata, nella cartella assegnata all’ente convenzionato, tutti gli AIP suddivisi per Struttura e tutti gli </w:t>
      </w:r>
      <w:r w:rsidR="4FAADB37" w:rsidRPr="008572C0">
        <w:t>O</w:t>
      </w:r>
      <w:r w:rsidRPr="008572C0">
        <w:t>ggetti versati, suddivisi per Versatore.</w:t>
      </w:r>
    </w:p>
    <w:p w14:paraId="75BAFB91" w14:textId="37AA2773" w:rsidR="00992114" w:rsidRPr="008572C0" w:rsidRDefault="00992114" w:rsidP="4781129E">
      <w:pPr>
        <w:spacing w:before="100"/>
        <w:jc w:val="both"/>
      </w:pPr>
      <w:r w:rsidRPr="008572C0">
        <w:t xml:space="preserve">Sempre utilizzando le funzionalità del Sistema, </w:t>
      </w:r>
      <w:proofErr w:type="spellStart"/>
      <w:r w:rsidRPr="008572C0">
        <w:t>l’AdR</w:t>
      </w:r>
      <w:proofErr w:type="spellEnd"/>
      <w:r w:rsidRPr="008572C0">
        <w:t xml:space="preserve"> scarica gli elenchi analitici degli AIP e degli Oggetti </w:t>
      </w:r>
      <w:r w:rsidR="24192943" w:rsidRPr="008572C0">
        <w:t>versati</w:t>
      </w:r>
      <w:r w:rsidRPr="008572C0">
        <w:t>.</w:t>
      </w:r>
    </w:p>
    <w:p w14:paraId="2151E097" w14:textId="2427878D" w:rsidR="00992114" w:rsidRPr="008572C0" w:rsidRDefault="00992114" w:rsidP="4781129E">
      <w:pPr>
        <w:spacing w:before="100"/>
        <w:jc w:val="both"/>
      </w:pPr>
      <w:r w:rsidRPr="008572C0">
        <w:t xml:space="preserve">Una volta completato il processo di memorizzazione, </w:t>
      </w:r>
      <w:proofErr w:type="spellStart"/>
      <w:r w:rsidRPr="008572C0">
        <w:t>l’AdR</w:t>
      </w:r>
      <w:proofErr w:type="spellEnd"/>
      <w:r w:rsidRPr="008572C0">
        <w:t xml:space="preserve">, con l’eventuale ausilio del Supporto tecnico all’esercizio, </w:t>
      </w:r>
      <w:r w:rsidR="00273EF4" w:rsidRPr="008572C0">
        <w:t xml:space="preserve">tramite l’opportuna videata riassuntiva di </w:t>
      </w:r>
      <w:proofErr w:type="spellStart"/>
      <w:r w:rsidR="00273EF4" w:rsidRPr="008572C0">
        <w:t>SacER</w:t>
      </w:r>
      <w:proofErr w:type="spellEnd"/>
      <w:r w:rsidR="00273EF4" w:rsidRPr="008572C0">
        <w:t xml:space="preserve"> </w:t>
      </w:r>
      <w:r w:rsidRPr="008572C0">
        <w:t xml:space="preserve">controlla che gli AIP </w:t>
      </w:r>
      <w:r w:rsidR="5AD882F2" w:rsidRPr="008572C0">
        <w:t xml:space="preserve">delle UD </w:t>
      </w:r>
      <w:r w:rsidRPr="008572C0">
        <w:t>memorizzati nell’area FTP corrispondano a quelli definiti negli elenchi analitici.</w:t>
      </w:r>
    </w:p>
    <w:p w14:paraId="5D21BE85" w14:textId="26C0C381" w:rsidR="00992114" w:rsidRPr="008572C0" w:rsidRDefault="00992114" w:rsidP="00992114">
      <w:pPr>
        <w:spacing w:before="100"/>
      </w:pPr>
      <w:proofErr w:type="spellStart"/>
      <w:r w:rsidRPr="008572C0">
        <w:t>L’AdR</w:t>
      </w:r>
      <w:proofErr w:type="spellEnd"/>
      <w:r w:rsidRPr="008572C0">
        <w:t xml:space="preserve"> predispone </w:t>
      </w:r>
      <w:r w:rsidR="00B22BCB" w:rsidRPr="008572C0">
        <w:t xml:space="preserve">gli </w:t>
      </w:r>
      <w:r w:rsidRPr="008572C0">
        <w:t>elenc</w:t>
      </w:r>
      <w:r w:rsidR="00B22BCB" w:rsidRPr="008572C0">
        <w:t>hi</w:t>
      </w:r>
      <w:r w:rsidRPr="008572C0">
        <w:t xml:space="preserve"> di </w:t>
      </w:r>
      <w:r w:rsidR="1BC5493B" w:rsidRPr="008572C0">
        <w:t>trasferimento</w:t>
      </w:r>
      <w:r w:rsidRPr="008572C0">
        <w:t>:</w:t>
      </w:r>
    </w:p>
    <w:p w14:paraId="7296E0F6" w14:textId="12B75006" w:rsidR="00992114" w:rsidRPr="008572C0" w:rsidRDefault="00992114" w:rsidP="00EC15E9">
      <w:pPr>
        <w:pStyle w:val="Paragrafoelenco"/>
        <w:numPr>
          <w:ilvl w:val="0"/>
          <w:numId w:val="12"/>
        </w:numPr>
        <w:spacing w:before="100"/>
        <w:jc w:val="both"/>
        <w:rPr>
          <w:rFonts w:ascii="Open Sans" w:eastAsia="Open Sans" w:hAnsi="Open Sans" w:cs="Open Sans"/>
        </w:rPr>
      </w:pPr>
      <w:r w:rsidRPr="008572C0">
        <w:rPr>
          <w:rFonts w:ascii="Open Sans" w:eastAsia="Open Sans" w:hAnsi="Open Sans" w:cs="Open Sans"/>
        </w:rPr>
        <w:t xml:space="preserve">un elenco sintetico </w:t>
      </w:r>
      <w:r w:rsidR="7582A6FD" w:rsidRPr="008572C0">
        <w:rPr>
          <w:rFonts w:ascii="Open Sans" w:eastAsia="Open Sans" w:hAnsi="Open Sans" w:cs="Open Sans"/>
        </w:rPr>
        <w:t xml:space="preserve">di consistenza </w:t>
      </w:r>
      <w:r w:rsidRPr="008572C0">
        <w:rPr>
          <w:rFonts w:ascii="Open Sans" w:eastAsia="Open Sans" w:hAnsi="Open Sans" w:cs="Open Sans"/>
        </w:rPr>
        <w:t>dove sono indicati gli AIP totali, suddivisi per tipologia di oggetto conservato e annualità;</w:t>
      </w:r>
    </w:p>
    <w:p w14:paraId="214125BF" w14:textId="4B02A3E5" w:rsidR="00992114" w:rsidRPr="008572C0" w:rsidRDefault="00992114" w:rsidP="00EC15E9">
      <w:pPr>
        <w:pStyle w:val="Paragrafoelenco"/>
        <w:numPr>
          <w:ilvl w:val="0"/>
          <w:numId w:val="12"/>
        </w:numPr>
        <w:spacing w:before="100"/>
        <w:jc w:val="both"/>
        <w:rPr>
          <w:rFonts w:ascii="Open Sans" w:eastAsia="Open Sans" w:hAnsi="Open Sans" w:cs="Open Sans"/>
        </w:rPr>
      </w:pPr>
      <w:r w:rsidRPr="008572C0">
        <w:rPr>
          <w:rFonts w:ascii="Open Sans" w:eastAsia="Open Sans" w:hAnsi="Open Sans" w:cs="Open Sans"/>
        </w:rPr>
        <w:t xml:space="preserve">uno o più elenchi analitici </w:t>
      </w:r>
      <w:r w:rsidR="5AD882F2" w:rsidRPr="008572C0">
        <w:rPr>
          <w:rFonts w:ascii="Open Sans" w:eastAsia="Open Sans" w:hAnsi="Open Sans" w:cs="Open Sans"/>
        </w:rPr>
        <w:t>dei</w:t>
      </w:r>
      <w:r w:rsidRPr="008572C0">
        <w:rPr>
          <w:rFonts w:ascii="Open Sans" w:eastAsia="Open Sans" w:hAnsi="Open Sans" w:cs="Open Sans"/>
        </w:rPr>
        <w:t xml:space="preserve"> singoli AIP</w:t>
      </w:r>
      <w:r w:rsidR="5AD882F2" w:rsidRPr="008572C0">
        <w:rPr>
          <w:rFonts w:ascii="Open Sans" w:eastAsia="Open Sans" w:hAnsi="Open Sans" w:cs="Open Sans"/>
        </w:rPr>
        <w:t xml:space="preserve"> (di UD e di Serie) e dei Volumi di conservazione;</w:t>
      </w:r>
    </w:p>
    <w:p w14:paraId="54DF8D3F" w14:textId="4888F0FD" w:rsidR="5AD882F2" w:rsidRPr="008572C0" w:rsidRDefault="5AD882F2" w:rsidP="00EC15E9">
      <w:pPr>
        <w:pStyle w:val="Paragrafoelenco"/>
        <w:numPr>
          <w:ilvl w:val="0"/>
          <w:numId w:val="12"/>
        </w:numPr>
        <w:spacing w:before="100"/>
        <w:jc w:val="both"/>
        <w:rPr>
          <w:rFonts w:ascii="Open Sans" w:eastAsia="Open Sans" w:hAnsi="Open Sans" w:cs="Open Sans"/>
        </w:rPr>
      </w:pPr>
      <w:r w:rsidRPr="008572C0">
        <w:rPr>
          <w:rFonts w:ascii="Open Sans" w:eastAsia="Open Sans" w:hAnsi="Open Sans" w:cs="Open Sans"/>
        </w:rPr>
        <w:t xml:space="preserve">uno o più elenchi analitici nel quale sono indicati i singoli Oggetti versati tramite </w:t>
      </w:r>
      <w:proofErr w:type="spellStart"/>
      <w:r w:rsidRPr="008572C0">
        <w:rPr>
          <w:rFonts w:ascii="Open Sans" w:eastAsia="Open Sans" w:hAnsi="Open Sans" w:cs="Open Sans"/>
        </w:rPr>
        <w:t>PreINGest</w:t>
      </w:r>
      <w:proofErr w:type="spellEnd"/>
      <w:r w:rsidRPr="008572C0">
        <w:rPr>
          <w:rFonts w:ascii="Open Sans" w:eastAsia="Open Sans" w:hAnsi="Open Sans" w:cs="Open Sans"/>
        </w:rPr>
        <w:t xml:space="preserve">. </w:t>
      </w:r>
    </w:p>
    <w:p w14:paraId="258B5F49" w14:textId="7D66ACA4" w:rsidR="5AD882F2" w:rsidRPr="008572C0" w:rsidRDefault="5AD882F2" w:rsidP="5AD882F2">
      <w:pPr>
        <w:spacing w:after="0" w:line="276" w:lineRule="auto"/>
        <w:jc w:val="both"/>
      </w:pPr>
    </w:p>
    <w:p w14:paraId="3E4CDD45" w14:textId="2A3D4AC6" w:rsidR="5AD882F2" w:rsidRPr="008572C0" w:rsidRDefault="5AD882F2" w:rsidP="5AD882F2">
      <w:pPr>
        <w:spacing w:after="0" w:line="276" w:lineRule="auto"/>
        <w:jc w:val="both"/>
      </w:pPr>
      <w:r w:rsidRPr="008572C0">
        <w:t>Ad integrazione degli AIP delle UD già trasferiti nell'area FTP, nell'apposita cartella dell'ente, devono essere predisposti i seguenti oggetti e resi disponibili nella cartella "</w:t>
      </w:r>
      <w:proofErr w:type="spellStart"/>
      <w:r w:rsidRPr="008572C0">
        <w:t>Archivio_SIP</w:t>
      </w:r>
      <w:proofErr w:type="spellEnd"/>
      <w:r w:rsidRPr="008572C0">
        <w:t>":</w:t>
      </w:r>
    </w:p>
    <w:p w14:paraId="0A461105" w14:textId="708E80EA" w:rsidR="003C2469" w:rsidRPr="008572C0" w:rsidRDefault="5AD882F2" w:rsidP="006350EC">
      <w:pPr>
        <w:pStyle w:val="Paragrafoelenco"/>
        <w:numPr>
          <w:ilvl w:val="0"/>
          <w:numId w:val="14"/>
        </w:numPr>
        <w:spacing w:after="0" w:line="276" w:lineRule="auto"/>
        <w:jc w:val="both"/>
      </w:pPr>
      <w:r w:rsidRPr="008572C0">
        <w:t>elenco sintetico di consistenza ed elenchi analitici relativi agli AIP delle Serie, agli AIP delle UD, ai Volumi di Conservazione;</w:t>
      </w:r>
    </w:p>
    <w:p w14:paraId="610CDA80" w14:textId="784F9BB6" w:rsidR="003C2469" w:rsidRPr="008572C0" w:rsidRDefault="5AD882F2" w:rsidP="006350EC">
      <w:pPr>
        <w:pStyle w:val="Paragrafoelenco"/>
        <w:numPr>
          <w:ilvl w:val="0"/>
          <w:numId w:val="14"/>
        </w:numPr>
        <w:spacing w:after="0" w:line="276" w:lineRule="auto"/>
        <w:jc w:val="both"/>
      </w:pPr>
      <w:r w:rsidRPr="008572C0">
        <w:t>eventuali Pacchetti di Archiviazione (AIP) delle Serie;</w:t>
      </w:r>
    </w:p>
    <w:p w14:paraId="0F63BA3C" w14:textId="07DD525B" w:rsidR="5AD882F2" w:rsidRPr="008572C0" w:rsidRDefault="5AD882F2" w:rsidP="006350EC">
      <w:pPr>
        <w:pStyle w:val="Paragrafoelenco"/>
        <w:numPr>
          <w:ilvl w:val="0"/>
          <w:numId w:val="14"/>
        </w:numPr>
        <w:spacing w:after="0" w:line="276" w:lineRule="auto"/>
        <w:jc w:val="both"/>
      </w:pPr>
      <w:r w:rsidRPr="008572C0">
        <w:t>eventuali Prove di conservazione dei Volumi di conservazione;</w:t>
      </w:r>
    </w:p>
    <w:p w14:paraId="2F96A1F0" w14:textId="5D8485A9" w:rsidR="5AD882F2" w:rsidRPr="008572C0" w:rsidRDefault="5AD882F2" w:rsidP="5AD882F2">
      <w:pPr>
        <w:spacing w:after="0" w:line="276" w:lineRule="auto"/>
        <w:jc w:val="both"/>
      </w:pPr>
    </w:p>
    <w:p w14:paraId="00FADE58" w14:textId="03FDF46F" w:rsidR="5AD882F2" w:rsidRPr="008572C0" w:rsidRDefault="5AD882F2" w:rsidP="5AD882F2">
      <w:pPr>
        <w:spacing w:after="0" w:line="276" w:lineRule="auto"/>
        <w:jc w:val="both"/>
      </w:pPr>
      <w:r w:rsidRPr="008572C0">
        <w:t>Il link al percorso per accedere alla share di deposito ("</w:t>
      </w:r>
      <w:proofErr w:type="spellStart"/>
      <w:r w:rsidRPr="008572C0">
        <w:t>Archivio_SIP</w:t>
      </w:r>
      <w:proofErr w:type="spellEnd"/>
      <w:r w:rsidRPr="008572C0">
        <w:t>") dovrà essere riportato sulla SUE precedentemente aperta che verrà così aggiornata per consentire il trasferimento degli elementi suddetti nell’area FTP dedicata.</w:t>
      </w:r>
    </w:p>
    <w:p w14:paraId="5B51C4E9" w14:textId="3006BC1E" w:rsidR="00992114" w:rsidRDefault="00992114" w:rsidP="00992114">
      <w:pPr>
        <w:spacing w:before="100"/>
      </w:pPr>
      <w:r w:rsidRPr="008572C0">
        <w:t xml:space="preserve">Nel caso di </w:t>
      </w:r>
      <w:r w:rsidR="679748A0" w:rsidRPr="008572C0">
        <w:t>n</w:t>
      </w:r>
      <w:r w:rsidRPr="008572C0">
        <w:t>uovo</w:t>
      </w:r>
      <w:r w:rsidR="6FC641AF" w:rsidRPr="008572C0">
        <w:t xml:space="preserve"> C</w:t>
      </w:r>
      <w:r w:rsidRPr="008572C0">
        <w:t>onservatore subentrante nello stesso Sistema di conservazione, l’elenco di consistenza contiene solo l’elenco sintetico.</w:t>
      </w:r>
    </w:p>
    <w:p w14:paraId="153B4606" w14:textId="37F6E529" w:rsidR="00376AF9" w:rsidRPr="00BB4377" w:rsidRDefault="00BB4377" w:rsidP="00376AF9">
      <w:pPr>
        <w:pStyle w:val="Titolo1"/>
        <w:rPr>
          <w:caps/>
        </w:rPr>
      </w:pPr>
      <w:bookmarkStart w:id="13" w:name="_Toc26972039"/>
      <w:r w:rsidRPr="4781129E">
        <w:rPr>
          <w:caps/>
        </w:rPr>
        <w:lastRenderedPageBreak/>
        <w:t>Comunicazione all’ente della messa a disposizione degli oggetti conservati</w:t>
      </w:r>
      <w:bookmarkEnd w:id="13"/>
    </w:p>
    <w:p w14:paraId="57A672E4" w14:textId="502477D1" w:rsidR="00FE0C44" w:rsidRDefault="00FE0C44" w:rsidP="4781129E">
      <w:pPr>
        <w:jc w:val="both"/>
      </w:pPr>
      <w:proofErr w:type="spellStart"/>
      <w:r>
        <w:t>L’AdR</w:t>
      </w:r>
      <w:proofErr w:type="spellEnd"/>
      <w:r>
        <w:t xml:space="preserve"> predispone la comunicazione al Produttore della messa a disposizione degli oggetti conservati, che deve essere firmata dal Responsabile del Servizio, registrata a protocollo e inviata</w:t>
      </w:r>
      <w:r w:rsidR="00045F86">
        <w:t xml:space="preserve"> per vie formali</w:t>
      </w:r>
      <w:r w:rsidR="37FE3AB2">
        <w:t xml:space="preserve"> </w:t>
      </w:r>
      <w:r w:rsidR="5AD882F2">
        <w:t xml:space="preserve">(via PEC) </w:t>
      </w:r>
      <w:r w:rsidR="37FE3AB2">
        <w:t>all’Ente produttore e per conoscenza alla Soprintendenza archivistica di competenza</w:t>
      </w:r>
      <w:r>
        <w:t xml:space="preserve">. </w:t>
      </w:r>
    </w:p>
    <w:p w14:paraId="191A266C" w14:textId="0B8F9964" w:rsidR="7B18BF68" w:rsidRDefault="7B18BF68" w:rsidP="4781129E">
      <w:pPr>
        <w:jc w:val="both"/>
      </w:pPr>
      <w:r>
        <w:t>Nel caso in cui il nuovo Conservatore utilizzi lo stesso Sistema di conservazione tale comunicazione ha valore pieno di trasferimento.</w:t>
      </w:r>
    </w:p>
    <w:p w14:paraId="38D19A9A" w14:textId="6B373D65" w:rsidR="00FE0C44" w:rsidRDefault="00FE0C44" w:rsidP="4781129E">
      <w:pPr>
        <w:jc w:val="both"/>
      </w:pPr>
      <w:r>
        <w:t xml:space="preserve">Nel caso in cui il </w:t>
      </w:r>
      <w:r w:rsidR="001F3D55">
        <w:t>n</w:t>
      </w:r>
      <w:r>
        <w:t xml:space="preserve">uovo </w:t>
      </w:r>
      <w:r w:rsidR="001F3D55">
        <w:t>C</w:t>
      </w:r>
      <w:r>
        <w:t>onservatore non sia definito o utilizzi un altro Sistema di conservazione, la comunicazione dovrà contenere:</w:t>
      </w:r>
    </w:p>
    <w:p w14:paraId="5C24E0FB" w14:textId="0EB5016C" w:rsidR="00FE0C44" w:rsidRPr="00F54717" w:rsidRDefault="5AD882F2" w:rsidP="00352DB8">
      <w:pPr>
        <w:pStyle w:val="Paragrafoelenco"/>
        <w:numPr>
          <w:ilvl w:val="0"/>
          <w:numId w:val="12"/>
        </w:numPr>
        <w:spacing w:before="100"/>
        <w:jc w:val="both"/>
        <w:rPr>
          <w:rFonts w:ascii="Open Sans" w:eastAsia="Open Sans" w:hAnsi="Open Sans" w:cs="Open Sans"/>
        </w:rPr>
      </w:pPr>
      <w:r w:rsidRPr="00F54717">
        <w:rPr>
          <w:rFonts w:ascii="Open Sans" w:eastAsia="Open Sans" w:hAnsi="Open Sans" w:cs="Open Sans"/>
        </w:rPr>
        <w:t>gli elenchi</w:t>
      </w:r>
      <w:r w:rsidR="00FE0C44" w:rsidRPr="00F54717">
        <w:rPr>
          <w:rFonts w:ascii="Open Sans" w:eastAsia="Open Sans" w:hAnsi="Open Sans" w:cs="Open Sans"/>
        </w:rPr>
        <w:t xml:space="preserve"> di </w:t>
      </w:r>
      <w:r w:rsidR="5FD198FF" w:rsidRPr="00F54717">
        <w:rPr>
          <w:rFonts w:ascii="Open Sans" w:eastAsia="Open Sans" w:hAnsi="Open Sans" w:cs="Open Sans"/>
        </w:rPr>
        <w:t>trasferimento</w:t>
      </w:r>
      <w:r w:rsidR="00FE0C44" w:rsidRPr="00F54717">
        <w:rPr>
          <w:rFonts w:ascii="Open Sans" w:eastAsia="Open Sans" w:hAnsi="Open Sans" w:cs="Open Sans"/>
        </w:rPr>
        <w:t>, con relativa richiesta di verifica e segnalazione di eventuali anomalie;</w:t>
      </w:r>
    </w:p>
    <w:p w14:paraId="0DD7F1A0" w14:textId="77777777" w:rsidR="00FE0C44" w:rsidRPr="00F54717" w:rsidRDefault="00FE0C44" w:rsidP="00352DB8">
      <w:pPr>
        <w:pStyle w:val="Paragrafoelenco"/>
        <w:numPr>
          <w:ilvl w:val="0"/>
          <w:numId w:val="12"/>
        </w:numPr>
        <w:spacing w:before="100"/>
        <w:jc w:val="both"/>
        <w:rPr>
          <w:rFonts w:ascii="Open Sans" w:eastAsia="Open Sans" w:hAnsi="Open Sans" w:cs="Open Sans"/>
        </w:rPr>
      </w:pPr>
      <w:r w:rsidRPr="00F54717">
        <w:rPr>
          <w:rFonts w:ascii="Open Sans" w:eastAsia="Open Sans" w:hAnsi="Open Sans" w:cs="Open Sans"/>
        </w:rPr>
        <w:t>l’indicazione delle modalità con cui accedere agli oggetti conservati;</w:t>
      </w:r>
    </w:p>
    <w:p w14:paraId="19D41434" w14:textId="7B476AA8" w:rsidR="00FE0C44" w:rsidRPr="00F54717" w:rsidRDefault="5AD882F2" w:rsidP="00352DB8">
      <w:pPr>
        <w:pStyle w:val="Paragrafoelenco"/>
        <w:numPr>
          <w:ilvl w:val="0"/>
          <w:numId w:val="12"/>
        </w:numPr>
        <w:spacing w:before="100"/>
        <w:jc w:val="both"/>
        <w:rPr>
          <w:rFonts w:ascii="Open Sans" w:eastAsia="Open Sans" w:hAnsi="Open Sans" w:cs="Open Sans"/>
        </w:rPr>
      </w:pPr>
      <w:r w:rsidRPr="00F54717">
        <w:rPr>
          <w:rFonts w:ascii="Open Sans" w:eastAsia="Open Sans" w:hAnsi="Open Sans" w:cs="Open Sans"/>
        </w:rPr>
        <w:t>l'informazione che, in caso di mancato riscontro, rispetto all’esito della verifica, nei termini di 90 giorni dalla data di invio della comunicazione, si intenderanno confermati i dati trasmessi;</w:t>
      </w:r>
    </w:p>
    <w:p w14:paraId="305D44F1" w14:textId="406AA840" w:rsidR="00FE0C44" w:rsidRPr="00F54717" w:rsidRDefault="00FE0C44" w:rsidP="00352DB8">
      <w:pPr>
        <w:pStyle w:val="Paragrafoelenco"/>
        <w:numPr>
          <w:ilvl w:val="0"/>
          <w:numId w:val="12"/>
        </w:numPr>
        <w:spacing w:before="100"/>
        <w:jc w:val="both"/>
        <w:rPr>
          <w:rFonts w:ascii="Open Sans" w:eastAsia="Open Sans" w:hAnsi="Open Sans" w:cs="Open Sans"/>
        </w:rPr>
      </w:pPr>
      <w:r w:rsidRPr="00F54717">
        <w:rPr>
          <w:rFonts w:ascii="Open Sans" w:eastAsia="Open Sans" w:hAnsi="Open Sans" w:cs="Open Sans"/>
        </w:rPr>
        <w:t xml:space="preserve">la richiesta di comunicare a </w:t>
      </w:r>
      <w:proofErr w:type="spellStart"/>
      <w:r w:rsidRPr="00F54717">
        <w:rPr>
          <w:rFonts w:ascii="Open Sans" w:eastAsia="Open Sans" w:hAnsi="Open Sans" w:cs="Open Sans"/>
        </w:rPr>
        <w:t>ParER</w:t>
      </w:r>
      <w:proofErr w:type="spellEnd"/>
      <w:r w:rsidRPr="00F54717">
        <w:rPr>
          <w:rFonts w:ascii="Open Sans" w:eastAsia="Open Sans" w:hAnsi="Open Sans" w:cs="Open Sans"/>
        </w:rPr>
        <w:t xml:space="preserve"> il referente della restituzione a cui inviare le credenziali per accedere agli oggetti conservati.</w:t>
      </w:r>
    </w:p>
    <w:p w14:paraId="1A438928" w14:textId="0FDCAC70" w:rsidR="4781129E" w:rsidRPr="00F54717" w:rsidRDefault="4781129E" w:rsidP="4781129E">
      <w:pPr>
        <w:spacing w:after="0" w:line="276" w:lineRule="auto"/>
        <w:ind w:left="360"/>
        <w:jc w:val="both"/>
      </w:pPr>
    </w:p>
    <w:p w14:paraId="502656B3" w14:textId="525E118D" w:rsidR="00FE0C44" w:rsidRPr="00F54717" w:rsidRDefault="00FE0C44" w:rsidP="4781129E">
      <w:pPr>
        <w:jc w:val="both"/>
      </w:pPr>
      <w:r w:rsidRPr="00F54717">
        <w:t xml:space="preserve">Una volta ricevuta dal Produttore la comunicazione della nomina del referente della restituzione, </w:t>
      </w:r>
      <w:proofErr w:type="spellStart"/>
      <w:r w:rsidRPr="00F54717">
        <w:t>l’AdR</w:t>
      </w:r>
      <w:proofErr w:type="spellEnd"/>
      <w:r w:rsidRPr="00F54717">
        <w:t xml:space="preserve"> inoltra al Supporto tecnico la richiesta di creazione di </w:t>
      </w:r>
      <w:r w:rsidR="1D2C4D17" w:rsidRPr="00F54717">
        <w:t>un'utenza</w:t>
      </w:r>
      <w:r w:rsidRPr="00F54717">
        <w:t xml:space="preserve"> abilitata in sola lettura sulla cartella dell’ente convenzionato dell’area </w:t>
      </w:r>
      <w:r w:rsidR="1D9F4730" w:rsidRPr="00F54717">
        <w:t>FTP</w:t>
      </w:r>
      <w:r w:rsidRPr="00F54717">
        <w:t xml:space="preserve"> dove sono stati salvati gli oggetti conservati.</w:t>
      </w:r>
    </w:p>
    <w:p w14:paraId="69D8EC96" w14:textId="77777777" w:rsidR="00FE0C44" w:rsidRPr="00F54717" w:rsidRDefault="00FE0C44" w:rsidP="00FE0C44">
      <w:proofErr w:type="spellStart"/>
      <w:r w:rsidRPr="00F54717">
        <w:t>L’AdR</w:t>
      </w:r>
      <w:proofErr w:type="spellEnd"/>
      <w:r w:rsidRPr="00F54717">
        <w:t xml:space="preserve">, una volta ricevute le credenziali, le trasmette al referente per la restituzione. </w:t>
      </w:r>
    </w:p>
    <w:p w14:paraId="41F93559" w14:textId="0C697CAF" w:rsidR="00FE0C44" w:rsidRPr="00F54717" w:rsidRDefault="00FE0C44" w:rsidP="4781129E">
      <w:pPr>
        <w:jc w:val="both"/>
      </w:pPr>
      <w:r w:rsidRPr="00F54717">
        <w:t xml:space="preserve">Le credenziali sono valide per </w:t>
      </w:r>
      <w:r w:rsidR="00C54BF4">
        <w:t>9</w:t>
      </w:r>
      <w:r w:rsidR="00674767" w:rsidRPr="00F54717">
        <w:t>0</w:t>
      </w:r>
      <w:r w:rsidRPr="00F54717">
        <w:t xml:space="preserve"> giorni, trascorsi i quali, il Produttore deve inviare una nuova richiesta a Parer.</w:t>
      </w:r>
    </w:p>
    <w:p w14:paraId="27BC769A" w14:textId="77777777" w:rsidR="00FE0C44" w:rsidRDefault="00FE0C44" w:rsidP="4781129E">
      <w:pPr>
        <w:jc w:val="both"/>
      </w:pPr>
      <w:r w:rsidRPr="00F54717">
        <w:t>Nel caso in cui il Nuovo conservatore subentri nello stesso Sistema di conservazione, la</w:t>
      </w:r>
      <w:r>
        <w:t xml:space="preserve"> comunicazione dovrà contenere:</w:t>
      </w:r>
    </w:p>
    <w:p w14:paraId="31AECCD4" w14:textId="37BF3FFC" w:rsidR="00FE0C44" w:rsidRPr="00352DB8" w:rsidRDefault="00FE0C44" w:rsidP="00352DB8">
      <w:pPr>
        <w:pStyle w:val="Paragrafoelenco"/>
        <w:numPr>
          <w:ilvl w:val="0"/>
          <w:numId w:val="12"/>
        </w:numPr>
        <w:spacing w:before="100"/>
        <w:jc w:val="both"/>
        <w:rPr>
          <w:rFonts w:ascii="Open Sans" w:eastAsia="Open Sans" w:hAnsi="Open Sans" w:cs="Open Sans"/>
        </w:rPr>
      </w:pPr>
      <w:r w:rsidRPr="00352DB8">
        <w:rPr>
          <w:rFonts w:ascii="Open Sans" w:eastAsia="Open Sans" w:hAnsi="Open Sans" w:cs="Open Sans"/>
        </w:rPr>
        <w:t xml:space="preserve">l’elenco </w:t>
      </w:r>
      <w:r w:rsidR="77FA97CC" w:rsidRPr="00352DB8">
        <w:rPr>
          <w:rFonts w:ascii="Open Sans" w:eastAsia="Open Sans" w:hAnsi="Open Sans" w:cs="Open Sans"/>
        </w:rPr>
        <w:t xml:space="preserve">sintetico </w:t>
      </w:r>
      <w:r w:rsidRPr="00352DB8">
        <w:rPr>
          <w:rFonts w:ascii="Open Sans" w:eastAsia="Open Sans" w:hAnsi="Open Sans" w:cs="Open Sans"/>
        </w:rPr>
        <w:t xml:space="preserve">di consistenza, </w:t>
      </w:r>
    </w:p>
    <w:p w14:paraId="29BC6F61" w14:textId="3F0EAD13" w:rsidR="00FE0C44" w:rsidRPr="00352DB8" w:rsidRDefault="00FE0C44" w:rsidP="00352DB8">
      <w:pPr>
        <w:pStyle w:val="Paragrafoelenco"/>
        <w:numPr>
          <w:ilvl w:val="0"/>
          <w:numId w:val="12"/>
        </w:numPr>
        <w:spacing w:before="100"/>
        <w:jc w:val="both"/>
        <w:rPr>
          <w:rFonts w:ascii="Open Sans" w:eastAsia="Open Sans" w:hAnsi="Open Sans" w:cs="Open Sans"/>
        </w:rPr>
      </w:pPr>
      <w:r w:rsidRPr="00352DB8">
        <w:rPr>
          <w:rFonts w:ascii="Open Sans" w:eastAsia="Open Sans" w:hAnsi="Open Sans" w:cs="Open Sans"/>
        </w:rPr>
        <w:t xml:space="preserve">l’elenco delle Organizzazioni che saranno rese disponibili al </w:t>
      </w:r>
      <w:r w:rsidR="0AB6D6B4" w:rsidRPr="00352DB8">
        <w:rPr>
          <w:rFonts w:ascii="Open Sans" w:eastAsia="Open Sans" w:hAnsi="Open Sans" w:cs="Open Sans"/>
        </w:rPr>
        <w:t>n</w:t>
      </w:r>
      <w:r w:rsidRPr="00352DB8">
        <w:rPr>
          <w:rFonts w:ascii="Open Sans" w:eastAsia="Open Sans" w:hAnsi="Open Sans" w:cs="Open Sans"/>
        </w:rPr>
        <w:t xml:space="preserve">uovo </w:t>
      </w:r>
      <w:r w:rsidR="59B91178" w:rsidRPr="00352DB8">
        <w:rPr>
          <w:rFonts w:ascii="Open Sans" w:eastAsia="Open Sans" w:hAnsi="Open Sans" w:cs="Open Sans"/>
        </w:rPr>
        <w:t>C</w:t>
      </w:r>
      <w:r w:rsidRPr="00352DB8">
        <w:rPr>
          <w:rFonts w:ascii="Open Sans" w:eastAsia="Open Sans" w:hAnsi="Open Sans" w:cs="Open Sans"/>
        </w:rPr>
        <w:t>onservatore con relativa richiesta di autorizzare il nuovo Conservatore ad accedervi.</w:t>
      </w:r>
    </w:p>
    <w:p w14:paraId="3C97C710" w14:textId="22BDA62A" w:rsidR="4781129E" w:rsidRDefault="4781129E" w:rsidP="4781129E">
      <w:pPr>
        <w:spacing w:after="0" w:line="276" w:lineRule="auto"/>
        <w:ind w:left="360"/>
        <w:jc w:val="both"/>
      </w:pPr>
    </w:p>
    <w:p w14:paraId="17F029F0" w14:textId="45E10DBB" w:rsidR="22AE3BC5" w:rsidRDefault="22AE3BC5" w:rsidP="4781129E">
      <w:pPr>
        <w:spacing w:after="0" w:line="276" w:lineRule="auto"/>
        <w:jc w:val="both"/>
      </w:pPr>
      <w:r>
        <w:t>In tal caso, come detto</w:t>
      </w:r>
      <w:r w:rsidR="00C54BF4">
        <w:t>,</w:t>
      </w:r>
      <w:r>
        <w:t xml:space="preserve"> tale comunicazione vale come dichiarazione di trasferimento, che sarà pienamente operativo </w:t>
      </w:r>
      <w:r w:rsidR="410DA243">
        <w:t>con l’attivazione delle credenziali d’accesso alle Organizzazioni del nuovo Conservatore</w:t>
      </w:r>
      <w:r w:rsidR="64D771CE">
        <w:t>.</w:t>
      </w:r>
    </w:p>
    <w:p w14:paraId="3D099B7A" w14:textId="045B362E" w:rsidR="00FE0C44" w:rsidRDefault="00FE0C44" w:rsidP="00FE0C44">
      <w:pPr>
        <w:spacing w:before="100"/>
      </w:pPr>
      <w:r>
        <w:lastRenderedPageBreak/>
        <w:t xml:space="preserve">Una volta ricevuta dal Produttore l’autorizzazione all’accesso da parte del </w:t>
      </w:r>
      <w:r w:rsidR="2E616B3C">
        <w:t>n</w:t>
      </w:r>
      <w:r>
        <w:t xml:space="preserve">uovo </w:t>
      </w:r>
      <w:r w:rsidR="79B940DC">
        <w:t>C</w:t>
      </w:r>
      <w:r>
        <w:t xml:space="preserve">onservatore alle proprie Organizzazioni, </w:t>
      </w:r>
      <w:proofErr w:type="spellStart"/>
      <w:r>
        <w:t>l’AdR</w:t>
      </w:r>
      <w:proofErr w:type="spellEnd"/>
      <w:r>
        <w:t xml:space="preserve"> richiede al Supporto tecnico di predisporre il Sistema in modo da consentire al Nuovo conservatore di accedere all’Ente convenzionato del Produttore e alle relative Organizzazioni. </w:t>
      </w:r>
    </w:p>
    <w:p w14:paraId="46038656" w14:textId="77777777" w:rsidR="00376AF9" w:rsidRPr="00A057A4" w:rsidRDefault="00376AF9" w:rsidP="00376AF9">
      <w:pPr>
        <w:rPr>
          <w:rFonts w:ascii="Open Sans" w:hAnsi="Open Sans" w:cs="Open Sans"/>
        </w:rPr>
      </w:pPr>
      <w:r w:rsidRPr="00A057A4">
        <w:rPr>
          <w:rFonts w:ascii="Open Sans" w:hAnsi="Open Sans" w:cs="Open Sans"/>
        </w:rPr>
        <w:br w:type="page"/>
      </w:r>
    </w:p>
    <w:p w14:paraId="104571C1" w14:textId="67B4CBE6" w:rsidR="00376AF9" w:rsidRPr="002E0586" w:rsidRDefault="002E0586" w:rsidP="00376AF9">
      <w:pPr>
        <w:pStyle w:val="Titolo1"/>
        <w:rPr>
          <w:caps/>
        </w:rPr>
      </w:pPr>
      <w:bookmarkStart w:id="14" w:name="_Toc26972040"/>
      <w:r w:rsidRPr="4781129E">
        <w:rPr>
          <w:caps/>
        </w:rPr>
        <w:lastRenderedPageBreak/>
        <w:t>Verifica della restituzione</w:t>
      </w:r>
      <w:bookmarkEnd w:id="14"/>
    </w:p>
    <w:p w14:paraId="512AF789" w14:textId="34281F41" w:rsidR="00CF1FA7" w:rsidRPr="00AF40AA" w:rsidRDefault="00CF1FA7" w:rsidP="000860FA">
      <w:pPr>
        <w:jc w:val="both"/>
      </w:pPr>
      <w:r>
        <w:t>Le procedure di verifica sono svolte dal Produttore e hanno l’obiettivo di verificare che gli oggetti restituiti, messi a disposizione nell’area</w:t>
      </w:r>
      <w:r w:rsidR="019DDFA3">
        <w:t xml:space="preserve"> FTP</w:t>
      </w:r>
      <w:r>
        <w:t xml:space="preserve">, corrispondano a quelli indicati </w:t>
      </w:r>
      <w:r w:rsidR="5AD882F2">
        <w:t>negli elenchi</w:t>
      </w:r>
      <w:r>
        <w:t xml:space="preserve"> di </w:t>
      </w:r>
      <w:r w:rsidR="7155AEA0" w:rsidRPr="00AF40AA">
        <w:t>trasferimento</w:t>
      </w:r>
      <w:r w:rsidRPr="00AF40AA">
        <w:t xml:space="preserve"> che a loro volta corrispondano a tutti gli oggetti</w:t>
      </w:r>
      <w:r w:rsidR="19802DB1" w:rsidRPr="00AF40AA">
        <w:t xml:space="preserve"> versati e </w:t>
      </w:r>
      <w:r w:rsidRPr="00AF40AA">
        <w:t>conservati.</w:t>
      </w:r>
    </w:p>
    <w:p w14:paraId="0CA66228" w14:textId="75AEDF77" w:rsidR="00D2311C" w:rsidRPr="00AF40AA" w:rsidRDefault="00D2311C" w:rsidP="000860FA">
      <w:pPr>
        <w:jc w:val="both"/>
      </w:pPr>
      <w:r w:rsidRPr="00AF40AA">
        <w:t xml:space="preserve">Se </w:t>
      </w:r>
      <w:r w:rsidR="5AD882F2" w:rsidRPr="00AF40AA">
        <w:t>l’Ente produttore</w:t>
      </w:r>
      <w:r w:rsidRPr="00AF40AA">
        <w:t xml:space="preserve"> chiede di accedere a </w:t>
      </w:r>
      <w:proofErr w:type="spellStart"/>
      <w:r w:rsidRPr="00AF40AA">
        <w:t>SacER</w:t>
      </w:r>
      <w:proofErr w:type="spellEnd"/>
      <w:r w:rsidRPr="00AF40AA">
        <w:t xml:space="preserve"> per effettuare i controlli</w:t>
      </w:r>
      <w:r w:rsidR="5AD882F2" w:rsidRPr="00AF40AA">
        <w:t>,</w:t>
      </w:r>
      <w:r w:rsidR="00E53169" w:rsidRPr="00AF40AA">
        <w:t xml:space="preserve"> </w:t>
      </w:r>
      <w:proofErr w:type="spellStart"/>
      <w:r w:rsidR="00E53169" w:rsidRPr="00AF40AA">
        <w:t>ParER</w:t>
      </w:r>
      <w:proofErr w:type="spellEnd"/>
      <w:r w:rsidR="00E53169" w:rsidRPr="00AF40AA">
        <w:t xml:space="preserve"> </w:t>
      </w:r>
      <w:r w:rsidR="5AD882F2" w:rsidRPr="00AF40AA">
        <w:t>provvederà</w:t>
      </w:r>
      <w:r w:rsidR="00E53169" w:rsidRPr="00AF40AA">
        <w:t xml:space="preserve"> a </w:t>
      </w:r>
      <w:r w:rsidR="5AD882F2" w:rsidRPr="00AF40AA">
        <w:t>configurare/</w:t>
      </w:r>
      <w:r w:rsidR="00E53169" w:rsidRPr="00AF40AA">
        <w:t>riattivare l’uten</w:t>
      </w:r>
      <w:r w:rsidR="00FE193E" w:rsidRPr="00AF40AA">
        <w:t>te</w:t>
      </w:r>
      <w:r w:rsidR="5AD882F2" w:rsidRPr="00AF40AA">
        <w:t xml:space="preserve"> richiesto.</w:t>
      </w:r>
    </w:p>
    <w:p w14:paraId="786723CC" w14:textId="5075F3E4" w:rsidR="00CF1FA7" w:rsidRDefault="528CB550" w:rsidP="000860FA">
      <w:pPr>
        <w:jc w:val="both"/>
      </w:pPr>
      <w:r>
        <w:t xml:space="preserve">La verifica non risulta necessaria nel caso in cui il nuovo conservatore subentri nel medesimo Sistema accedendo alle </w:t>
      </w:r>
      <w:r w:rsidR="3FE45F89">
        <w:t>Organizzazioni già presenti sul Sistema</w:t>
      </w:r>
      <w:r w:rsidR="721F5A67">
        <w:t>. In tal caso infatti non si procederà con nessuna cancellazione ed eventuali problemi potranno ess</w:t>
      </w:r>
      <w:r w:rsidR="2D3BB1E5">
        <w:t>ere risolti anche successivamente dal nuovo Conservatore.</w:t>
      </w:r>
    </w:p>
    <w:p w14:paraId="27D551EE" w14:textId="6A3E8089" w:rsidR="00CF1FA7" w:rsidRDefault="00CF1FA7" w:rsidP="000860FA">
      <w:pPr>
        <w:jc w:val="both"/>
      </w:pPr>
      <w:proofErr w:type="spellStart"/>
      <w:r>
        <w:t>ParER</w:t>
      </w:r>
      <w:proofErr w:type="spellEnd"/>
      <w:r>
        <w:t xml:space="preserve">, su richiesta del Produttore, può fornire a quest’ultimo, o al </w:t>
      </w:r>
      <w:r w:rsidR="16C9AC35">
        <w:t>n</w:t>
      </w:r>
      <w:r>
        <w:t xml:space="preserve">uovo </w:t>
      </w:r>
      <w:r w:rsidR="39ACCEED">
        <w:t>C</w:t>
      </w:r>
      <w:r>
        <w:t>onservatore, supporto tecnico e archivistico per agevolare le operazioni di verifica.</w:t>
      </w:r>
    </w:p>
    <w:p w14:paraId="1B240229" w14:textId="77BF379C" w:rsidR="00376AF9" w:rsidRPr="00A057A4" w:rsidRDefault="00CF1FA7" w:rsidP="000860FA">
      <w:pPr>
        <w:jc w:val="both"/>
      </w:pPr>
      <w:r>
        <w:t xml:space="preserve">Una volta concluso positivamente il processo di verifica, il Produttore ne dà comunicazione a </w:t>
      </w:r>
      <w:proofErr w:type="spellStart"/>
      <w:r>
        <w:t>ParER</w:t>
      </w:r>
      <w:proofErr w:type="spellEnd"/>
      <w:r>
        <w:t>.</w:t>
      </w:r>
    </w:p>
    <w:p w14:paraId="03B5D88F" w14:textId="2A30D943" w:rsidR="00376AF9" w:rsidRPr="00A057A4" w:rsidRDefault="00CF1FA7" w:rsidP="000860FA">
      <w:pPr>
        <w:jc w:val="both"/>
        <w:rPr>
          <w:rFonts w:ascii="Open Sans" w:hAnsi="Open Sans" w:cs="Open Sans"/>
        </w:rPr>
      </w:pPr>
      <w:r>
        <w:t xml:space="preserve"> </w:t>
      </w:r>
      <w:r w:rsidR="00376AF9" w:rsidRPr="4781129E">
        <w:rPr>
          <w:rFonts w:ascii="Open Sans" w:hAnsi="Open Sans" w:cs="Open Sans"/>
        </w:rPr>
        <w:br w:type="page"/>
      </w:r>
    </w:p>
    <w:p w14:paraId="7241A7A9" w14:textId="36551D96" w:rsidR="00376AF9" w:rsidRPr="00154799" w:rsidRDefault="00154799" w:rsidP="00376AF9">
      <w:pPr>
        <w:pStyle w:val="Titolo1"/>
        <w:rPr>
          <w:caps/>
        </w:rPr>
      </w:pPr>
      <w:bookmarkStart w:id="15" w:name="_Toc26972041"/>
      <w:r w:rsidRPr="4781129E">
        <w:rPr>
          <w:caps/>
        </w:rPr>
        <w:lastRenderedPageBreak/>
        <w:t>Cancellazione dei documenti</w:t>
      </w:r>
      <w:bookmarkEnd w:id="15"/>
    </w:p>
    <w:p w14:paraId="19430062" w14:textId="39A4302B" w:rsidR="00D0321E" w:rsidRPr="00AF40AA" w:rsidRDefault="00D0321E" w:rsidP="4781129E">
      <w:pPr>
        <w:jc w:val="both"/>
      </w:pPr>
      <w:proofErr w:type="spellStart"/>
      <w:r w:rsidRPr="00AF40AA">
        <w:t>ParER</w:t>
      </w:r>
      <w:proofErr w:type="spellEnd"/>
      <w:r w:rsidRPr="00AF40AA">
        <w:t>, una volta ricevuta la comunicazione dal Produttore dell’avvenuta positiva conclusione della verifica della restituzione</w:t>
      </w:r>
      <w:r w:rsidR="00570CEC" w:rsidRPr="00AF40AA">
        <w:t>, e comunque non prima di 90 giorni</w:t>
      </w:r>
      <w:r w:rsidRPr="00AF40AA">
        <w:t xml:space="preserve">, comunica </w:t>
      </w:r>
      <w:r w:rsidR="5AD882F2" w:rsidRPr="00AF40AA">
        <w:rPr>
          <w:rFonts w:ascii="Open Sans" w:eastAsia="Open Sans" w:hAnsi="Open Sans" w:cs="Open Sans"/>
        </w:rPr>
        <w:t>con seconda comunicazione</w:t>
      </w:r>
      <w:r w:rsidR="5AD882F2" w:rsidRPr="00AF40AA">
        <w:t xml:space="preserve"> </w:t>
      </w:r>
      <w:r w:rsidRPr="00AF40AA">
        <w:t>all’Ente produttore e alla Soprintendenza archivistica di riferimento l’intenzione di procedere alla cancellazione dei documenti entro novanta giorni.</w:t>
      </w:r>
    </w:p>
    <w:p w14:paraId="51F9604E" w14:textId="77777777" w:rsidR="00D0321E" w:rsidRDefault="00D0321E" w:rsidP="4781129E">
      <w:pPr>
        <w:jc w:val="both"/>
      </w:pPr>
      <w:r w:rsidRPr="00AF40AA">
        <w:t>Entro quel lasso di tempo Produttore e Soprintendenza possono chiedere informazioni o chiarimenti</w:t>
      </w:r>
      <w:r>
        <w:t xml:space="preserve"> in merito. Trascorso tale termine, </w:t>
      </w:r>
      <w:proofErr w:type="spellStart"/>
      <w:r>
        <w:t>ParER</w:t>
      </w:r>
      <w:proofErr w:type="spellEnd"/>
      <w:r>
        <w:t xml:space="preserve"> procede alla cancellazione dei documenti. </w:t>
      </w:r>
    </w:p>
    <w:p w14:paraId="33E346F4" w14:textId="77777777" w:rsidR="00D0321E" w:rsidRDefault="00D0321E" w:rsidP="4781129E">
      <w:pPr>
        <w:jc w:val="both"/>
      </w:pPr>
      <w:r>
        <w:t>Una volta completata la cancellazione, ne viene data comunicazione al Produttore e alla Soprintendenza.</w:t>
      </w:r>
    </w:p>
    <w:p w14:paraId="3125E0CC" w14:textId="628A0846" w:rsidR="00643B83" w:rsidRDefault="00643B83">
      <w:r>
        <w:br w:type="page"/>
      </w:r>
    </w:p>
    <w:p w14:paraId="3373ACA6" w14:textId="77777777" w:rsidR="00E00531" w:rsidRPr="00EE338F" w:rsidRDefault="00E00531" w:rsidP="00E00531">
      <w:pPr>
        <w:pStyle w:val="Titolo1"/>
        <w:rPr>
          <w:caps/>
        </w:rPr>
      </w:pPr>
      <w:bookmarkStart w:id="16" w:name="_Toc13476965"/>
      <w:bookmarkStart w:id="17" w:name="_Toc26972042"/>
      <w:r w:rsidRPr="4781129E">
        <w:rPr>
          <w:caps/>
        </w:rPr>
        <w:lastRenderedPageBreak/>
        <w:t>MATRICE DELLE RESPONSABILITA’</w:t>
      </w:r>
      <w:bookmarkEnd w:id="16"/>
      <w:bookmarkEnd w:id="17"/>
    </w:p>
    <w:tbl>
      <w:tblPr>
        <w:tblStyle w:val="Grigliatabellachiara"/>
        <w:tblW w:w="0" w:type="auto"/>
        <w:tblLayout w:type="fixed"/>
        <w:tblLook w:val="04A0" w:firstRow="1" w:lastRow="0" w:firstColumn="1" w:lastColumn="0" w:noHBand="0" w:noVBand="1"/>
      </w:tblPr>
      <w:tblGrid>
        <w:gridCol w:w="1777"/>
        <w:gridCol w:w="1053"/>
        <w:gridCol w:w="993"/>
        <w:gridCol w:w="1134"/>
        <w:gridCol w:w="1417"/>
        <w:gridCol w:w="1418"/>
        <w:gridCol w:w="850"/>
        <w:gridCol w:w="986"/>
      </w:tblGrid>
      <w:tr w:rsidR="00874F93" w14:paraId="5181636E" w14:textId="77777777" w:rsidTr="4781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77B319D1" w14:textId="77777777" w:rsidR="00D8359D" w:rsidRDefault="00D8359D" w:rsidP="00D8359D">
            <w:pPr>
              <w:jc w:val="right"/>
              <w:rPr>
                <w:rFonts w:cs="Arial"/>
                <w:b w:val="0"/>
                <w:sz w:val="14"/>
              </w:rPr>
            </w:pPr>
            <w:r w:rsidRPr="00167061">
              <w:rPr>
                <w:rFonts w:cs="Arial"/>
                <w:sz w:val="14"/>
              </w:rPr>
              <w:t>RUOLI</w:t>
            </w:r>
          </w:p>
          <w:p w14:paraId="2CF26C00" w14:textId="77777777" w:rsidR="00D8359D" w:rsidRPr="00167061" w:rsidRDefault="00D8359D" w:rsidP="00D8359D">
            <w:pPr>
              <w:jc w:val="right"/>
              <w:rPr>
                <w:rFonts w:cs="Arial"/>
                <w:b w:val="0"/>
                <w:sz w:val="14"/>
              </w:rPr>
            </w:pPr>
            <w:r w:rsidRPr="00167061">
              <w:rPr>
                <w:rFonts w:cs="Arial"/>
                <w:sz w:val="14"/>
              </w:rPr>
              <w:t>ORGANIZZATIVI</w:t>
            </w:r>
          </w:p>
          <w:p w14:paraId="6B260640" w14:textId="77777777" w:rsidR="00D8359D" w:rsidRPr="00167061" w:rsidRDefault="00D8359D" w:rsidP="00D8359D">
            <w:pPr>
              <w:rPr>
                <w:rFonts w:cs="Arial"/>
                <w:b w:val="0"/>
                <w:sz w:val="14"/>
              </w:rPr>
            </w:pPr>
          </w:p>
          <w:p w14:paraId="2CCAC5AE" w14:textId="77777777" w:rsidR="00D8359D" w:rsidRDefault="00D8359D" w:rsidP="00D8359D">
            <w:pPr>
              <w:rPr>
                <w:lang w:val="en-GB"/>
              </w:rPr>
            </w:pPr>
            <w:r w:rsidRPr="00167061">
              <w:rPr>
                <w:rFonts w:cs="Arial"/>
                <w:sz w:val="14"/>
              </w:rPr>
              <w:t>ATTIVITA’</w:t>
            </w:r>
          </w:p>
        </w:tc>
        <w:tc>
          <w:tcPr>
            <w:tcW w:w="1053" w:type="dxa"/>
          </w:tcPr>
          <w:p w14:paraId="7A0E6492" w14:textId="6B23103C"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322269">
              <w:rPr>
                <w:color w:val="0D0D0D" w:themeColor="text1" w:themeTint="F2"/>
                <w:sz w:val="16"/>
                <w:szCs w:val="16"/>
              </w:rPr>
              <w:t>Archivista referente dell’Ente</w:t>
            </w:r>
          </w:p>
        </w:tc>
        <w:tc>
          <w:tcPr>
            <w:tcW w:w="993" w:type="dxa"/>
          </w:tcPr>
          <w:p w14:paraId="1535365E" w14:textId="275204F5"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lang w:val="en-GB"/>
              </w:rPr>
            </w:pPr>
            <w:r w:rsidRPr="00322269">
              <w:rPr>
                <w:color w:val="0D0D0D" w:themeColor="text1" w:themeTint="F2"/>
                <w:sz w:val="16"/>
                <w:szCs w:val="16"/>
              </w:rPr>
              <w:t>Supporto tecnico</w:t>
            </w:r>
          </w:p>
        </w:tc>
        <w:tc>
          <w:tcPr>
            <w:tcW w:w="1134" w:type="dxa"/>
          </w:tcPr>
          <w:p w14:paraId="35737B68" w14:textId="3E5DD5DC"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322269">
              <w:rPr>
                <w:color w:val="0D0D0D" w:themeColor="text1" w:themeTint="F2"/>
                <w:sz w:val="16"/>
                <w:szCs w:val="16"/>
              </w:rPr>
              <w:t>Ente produttore</w:t>
            </w:r>
          </w:p>
        </w:tc>
        <w:tc>
          <w:tcPr>
            <w:tcW w:w="1417" w:type="dxa"/>
          </w:tcPr>
          <w:p w14:paraId="2A5214A8" w14:textId="6F10280A"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322269">
              <w:rPr>
                <w:color w:val="0D0D0D" w:themeColor="text1" w:themeTint="F2"/>
                <w:sz w:val="16"/>
                <w:szCs w:val="16"/>
              </w:rPr>
              <w:t>Responsabile funzione archivistica conservazione</w:t>
            </w:r>
          </w:p>
        </w:tc>
        <w:tc>
          <w:tcPr>
            <w:tcW w:w="1418" w:type="dxa"/>
          </w:tcPr>
          <w:p w14:paraId="29EF3CA3" w14:textId="0AF642F2"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322269">
              <w:rPr>
                <w:color w:val="0D0D0D" w:themeColor="text1" w:themeTint="F2"/>
                <w:sz w:val="16"/>
                <w:szCs w:val="16"/>
              </w:rPr>
              <w:t>Responsabile esercizio sistemi di conservazione</w:t>
            </w:r>
          </w:p>
        </w:tc>
        <w:tc>
          <w:tcPr>
            <w:tcW w:w="850" w:type="dxa"/>
          </w:tcPr>
          <w:p w14:paraId="59F5F741" w14:textId="67D18470"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322269">
              <w:rPr>
                <w:color w:val="0D0D0D" w:themeColor="text1" w:themeTint="F2"/>
                <w:sz w:val="16"/>
                <w:szCs w:val="16"/>
              </w:rPr>
              <w:t>Soprintendenza archivistica</w:t>
            </w:r>
          </w:p>
        </w:tc>
        <w:tc>
          <w:tcPr>
            <w:tcW w:w="986" w:type="dxa"/>
          </w:tcPr>
          <w:p w14:paraId="4C1B61BD" w14:textId="0DAB33C1" w:rsidR="00D8359D" w:rsidRPr="00322269" w:rsidRDefault="00D8359D" w:rsidP="00D8359D">
            <w:pPr>
              <w:cnfStyle w:val="100000000000" w:firstRow="1" w:lastRow="0" w:firstColumn="0" w:lastColumn="0" w:oddVBand="0" w:evenVBand="0" w:oddHBand="0" w:evenHBand="0" w:firstRowFirstColumn="0" w:firstRowLastColumn="0" w:lastRowFirstColumn="0" w:lastRowLastColumn="0"/>
              <w:rPr>
                <w:color w:val="0D0D0D" w:themeColor="text1" w:themeTint="F2"/>
                <w:lang w:val="en-GB"/>
              </w:rPr>
            </w:pPr>
            <w:r w:rsidRPr="00322269">
              <w:rPr>
                <w:color w:val="0D0D0D" w:themeColor="text1" w:themeTint="F2"/>
                <w:sz w:val="16"/>
                <w:szCs w:val="16"/>
              </w:rPr>
              <w:t>Responsabile del Servizio</w:t>
            </w:r>
          </w:p>
        </w:tc>
      </w:tr>
      <w:tr w:rsidR="00874F93" w14:paraId="2E28D468" w14:textId="77777777" w:rsidTr="4781129E">
        <w:tc>
          <w:tcPr>
            <w:cnfStyle w:val="001000000000" w:firstRow="0" w:lastRow="0" w:firstColumn="1" w:lastColumn="0" w:oddVBand="0" w:evenVBand="0" w:oddHBand="0" w:evenHBand="0" w:firstRowFirstColumn="0" w:firstRowLastColumn="0" w:lastRowFirstColumn="0" w:lastRowLastColumn="0"/>
            <w:tcW w:w="1777" w:type="dxa"/>
          </w:tcPr>
          <w:p w14:paraId="6BD04FA5" w14:textId="4AFFCD06" w:rsidR="00AE6A46" w:rsidRPr="00573B59" w:rsidRDefault="00AE6A46" w:rsidP="00AE6A46">
            <w:pPr>
              <w:rPr>
                <w:color w:val="0D0D0D" w:themeColor="text1" w:themeTint="F2"/>
                <w:lang w:val="en-GB"/>
              </w:rPr>
            </w:pPr>
            <w:r w:rsidRPr="00573B59">
              <w:rPr>
                <w:color w:val="0D0D0D" w:themeColor="text1" w:themeTint="F2"/>
                <w:sz w:val="16"/>
                <w:szCs w:val="16"/>
              </w:rPr>
              <w:t>Cessazione dell’accordo</w:t>
            </w:r>
          </w:p>
        </w:tc>
        <w:tc>
          <w:tcPr>
            <w:tcW w:w="1053" w:type="dxa"/>
            <w:vAlign w:val="center"/>
          </w:tcPr>
          <w:p w14:paraId="318C613B" w14:textId="7524F29F" w:rsidR="00AE6A46" w:rsidRPr="004F6986" w:rsidRDefault="00AC7804"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bCs/>
                <w:sz w:val="18"/>
                <w:szCs w:val="18"/>
                <w:lang w:val="en-GB"/>
              </w:rPr>
              <w:t>R</w:t>
            </w:r>
          </w:p>
        </w:tc>
        <w:tc>
          <w:tcPr>
            <w:tcW w:w="993" w:type="dxa"/>
            <w:vAlign w:val="center"/>
          </w:tcPr>
          <w:p w14:paraId="717AEAAC" w14:textId="601FAF3B"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I</w:t>
            </w:r>
          </w:p>
        </w:tc>
        <w:tc>
          <w:tcPr>
            <w:tcW w:w="1134" w:type="dxa"/>
            <w:vAlign w:val="center"/>
          </w:tcPr>
          <w:p w14:paraId="1389CB50" w14:textId="3A924FF6"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R</w:t>
            </w:r>
          </w:p>
        </w:tc>
        <w:tc>
          <w:tcPr>
            <w:tcW w:w="1417" w:type="dxa"/>
            <w:vAlign w:val="center"/>
          </w:tcPr>
          <w:p w14:paraId="2849753C" w14:textId="50365CC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I</w:t>
            </w:r>
          </w:p>
        </w:tc>
        <w:tc>
          <w:tcPr>
            <w:tcW w:w="1418" w:type="dxa"/>
            <w:vAlign w:val="center"/>
          </w:tcPr>
          <w:p w14:paraId="252348FA" w14:textId="10F9736A"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C</w:t>
            </w:r>
          </w:p>
        </w:tc>
        <w:tc>
          <w:tcPr>
            <w:tcW w:w="850" w:type="dxa"/>
            <w:vAlign w:val="center"/>
          </w:tcPr>
          <w:p w14:paraId="55B371EA" w14:textId="4CCD573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986" w:type="dxa"/>
            <w:vAlign w:val="center"/>
          </w:tcPr>
          <w:p w14:paraId="602608B4" w14:textId="618EC12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sidRPr="00041068">
              <w:rPr>
                <w:b/>
              </w:rPr>
              <w:t>A</w:t>
            </w:r>
          </w:p>
        </w:tc>
      </w:tr>
      <w:tr w:rsidR="00AE6A46" w14:paraId="10D33895" w14:textId="77777777" w:rsidTr="478112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6F696CA6" w14:textId="52693E43" w:rsidR="00AE6A46" w:rsidRPr="00573B59" w:rsidRDefault="00AE6A46" w:rsidP="00AE6A46">
            <w:pPr>
              <w:rPr>
                <w:color w:val="0D0D0D" w:themeColor="text1" w:themeTint="F2"/>
              </w:rPr>
            </w:pPr>
            <w:r w:rsidRPr="00573B59">
              <w:rPr>
                <w:color w:val="0D0D0D" w:themeColor="text1" w:themeTint="F2"/>
                <w:sz w:val="16"/>
                <w:szCs w:val="16"/>
              </w:rPr>
              <w:t>Verifica e chiusura dei processi in corso</w:t>
            </w:r>
          </w:p>
        </w:tc>
        <w:tc>
          <w:tcPr>
            <w:tcW w:w="1053" w:type="dxa"/>
            <w:vAlign w:val="center"/>
          </w:tcPr>
          <w:p w14:paraId="3A7A1876" w14:textId="4931E070" w:rsidR="00AE6A46" w:rsidRPr="004F6986" w:rsidRDefault="58521DC5" w:rsidP="4781129E">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sidRPr="4781129E">
              <w:rPr>
                <w:b/>
                <w:bCs/>
              </w:rPr>
              <w:t>R</w:t>
            </w:r>
          </w:p>
        </w:tc>
        <w:tc>
          <w:tcPr>
            <w:tcW w:w="993" w:type="dxa"/>
            <w:vAlign w:val="center"/>
          </w:tcPr>
          <w:p w14:paraId="79093FF4" w14:textId="3049FA82"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Pr>
                <w:b/>
              </w:rPr>
              <w:t>C</w:t>
            </w:r>
          </w:p>
        </w:tc>
        <w:tc>
          <w:tcPr>
            <w:tcW w:w="1134" w:type="dxa"/>
            <w:vAlign w:val="center"/>
          </w:tcPr>
          <w:p w14:paraId="72E772B7" w14:textId="211C10F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p>
        </w:tc>
        <w:tc>
          <w:tcPr>
            <w:tcW w:w="1417" w:type="dxa"/>
            <w:vAlign w:val="center"/>
          </w:tcPr>
          <w:p w14:paraId="3428D915" w14:textId="2785A2FD" w:rsidR="00AE6A46" w:rsidRPr="004F6986" w:rsidRDefault="070B13B8" w:rsidP="00130B85">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sidRPr="4781129E">
              <w:rPr>
                <w:b/>
                <w:bCs/>
              </w:rPr>
              <w:t>A</w:t>
            </w:r>
          </w:p>
        </w:tc>
        <w:tc>
          <w:tcPr>
            <w:tcW w:w="1418" w:type="dxa"/>
            <w:vAlign w:val="center"/>
          </w:tcPr>
          <w:p w14:paraId="1E1CC52F" w14:textId="7777777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p>
        </w:tc>
        <w:tc>
          <w:tcPr>
            <w:tcW w:w="850" w:type="dxa"/>
            <w:vAlign w:val="center"/>
          </w:tcPr>
          <w:p w14:paraId="50C56BA6" w14:textId="7777777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p>
        </w:tc>
        <w:tc>
          <w:tcPr>
            <w:tcW w:w="986" w:type="dxa"/>
            <w:vAlign w:val="center"/>
          </w:tcPr>
          <w:p w14:paraId="40BF9566" w14:textId="7777777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p>
        </w:tc>
      </w:tr>
      <w:tr w:rsidR="00AE6A46" w14:paraId="0287D7B6" w14:textId="77777777" w:rsidTr="4781129E">
        <w:tc>
          <w:tcPr>
            <w:cnfStyle w:val="001000000000" w:firstRow="0" w:lastRow="0" w:firstColumn="1" w:lastColumn="0" w:oddVBand="0" w:evenVBand="0" w:oddHBand="0" w:evenHBand="0" w:firstRowFirstColumn="0" w:firstRowLastColumn="0" w:lastRowFirstColumn="0" w:lastRowLastColumn="0"/>
            <w:tcW w:w="1777" w:type="dxa"/>
          </w:tcPr>
          <w:p w14:paraId="122E6D65" w14:textId="2A867D70" w:rsidR="00AE6A46" w:rsidRPr="00573B59" w:rsidRDefault="00AE6A46" w:rsidP="00AE6A46">
            <w:pPr>
              <w:rPr>
                <w:color w:val="0D0D0D" w:themeColor="text1" w:themeTint="F2"/>
              </w:rPr>
            </w:pPr>
            <w:r w:rsidRPr="00573B59">
              <w:rPr>
                <w:color w:val="0D0D0D" w:themeColor="text1" w:themeTint="F2"/>
                <w:sz w:val="16"/>
                <w:szCs w:val="16"/>
              </w:rPr>
              <w:t>Predisposizione degli AIP da restituire e dell’elenco di consistenza</w:t>
            </w:r>
          </w:p>
        </w:tc>
        <w:tc>
          <w:tcPr>
            <w:tcW w:w="1053" w:type="dxa"/>
            <w:vAlign w:val="center"/>
          </w:tcPr>
          <w:p w14:paraId="1A277730" w14:textId="2C51DB1E"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A/R</w:t>
            </w:r>
          </w:p>
        </w:tc>
        <w:tc>
          <w:tcPr>
            <w:tcW w:w="993" w:type="dxa"/>
            <w:vAlign w:val="center"/>
          </w:tcPr>
          <w:p w14:paraId="77142874" w14:textId="21D38258"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C</w:t>
            </w:r>
          </w:p>
        </w:tc>
        <w:tc>
          <w:tcPr>
            <w:tcW w:w="1134" w:type="dxa"/>
            <w:vAlign w:val="center"/>
          </w:tcPr>
          <w:p w14:paraId="5B60D6EF" w14:textId="4A3C3B5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1417" w:type="dxa"/>
            <w:vAlign w:val="center"/>
          </w:tcPr>
          <w:p w14:paraId="2D228523" w14:textId="61047038" w:rsidR="00AE6A46" w:rsidRPr="004F6986" w:rsidRDefault="3BB9D77A" w:rsidP="00130B85">
            <w:pPr>
              <w:spacing w:line="259" w:lineRule="auto"/>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sidRPr="4781129E">
              <w:rPr>
                <w:b/>
                <w:bCs/>
              </w:rPr>
              <w:t>C</w:t>
            </w:r>
          </w:p>
        </w:tc>
        <w:tc>
          <w:tcPr>
            <w:tcW w:w="1418" w:type="dxa"/>
            <w:vAlign w:val="center"/>
          </w:tcPr>
          <w:p w14:paraId="205A624A" w14:textId="7777777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850" w:type="dxa"/>
            <w:vAlign w:val="center"/>
          </w:tcPr>
          <w:p w14:paraId="46796ACD" w14:textId="7777777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986" w:type="dxa"/>
            <w:vAlign w:val="center"/>
          </w:tcPr>
          <w:p w14:paraId="3B0323F9" w14:textId="77777777"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r>
      <w:tr w:rsidR="00874F93" w14:paraId="490F6372" w14:textId="77777777" w:rsidTr="478112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06B02D6" w14:textId="0486F726" w:rsidR="00AE6A46" w:rsidRPr="00573B59" w:rsidRDefault="00AE6A46" w:rsidP="00AE6A46">
            <w:pPr>
              <w:rPr>
                <w:color w:val="0D0D0D" w:themeColor="text1" w:themeTint="F2"/>
              </w:rPr>
            </w:pPr>
            <w:r w:rsidRPr="00573B59">
              <w:rPr>
                <w:color w:val="0D0D0D" w:themeColor="text1" w:themeTint="F2"/>
                <w:sz w:val="16"/>
                <w:szCs w:val="16"/>
              </w:rPr>
              <w:t>Comunicazione all’ente della messa a disposizione degli oggetti conservati</w:t>
            </w:r>
          </w:p>
        </w:tc>
        <w:tc>
          <w:tcPr>
            <w:tcW w:w="1053" w:type="dxa"/>
            <w:vAlign w:val="center"/>
          </w:tcPr>
          <w:p w14:paraId="14589B8C" w14:textId="1291DFC2"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rPr>
            </w:pPr>
            <w:r>
              <w:rPr>
                <w:b/>
              </w:rPr>
              <w:t>R</w:t>
            </w:r>
          </w:p>
        </w:tc>
        <w:tc>
          <w:tcPr>
            <w:tcW w:w="993" w:type="dxa"/>
            <w:vAlign w:val="center"/>
          </w:tcPr>
          <w:p w14:paraId="2653FF23" w14:textId="0141DFBC"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rPr>
            </w:pPr>
            <w:r>
              <w:rPr>
                <w:b/>
              </w:rPr>
              <w:t>R</w:t>
            </w:r>
          </w:p>
        </w:tc>
        <w:tc>
          <w:tcPr>
            <w:tcW w:w="1134" w:type="dxa"/>
            <w:vAlign w:val="center"/>
          </w:tcPr>
          <w:p w14:paraId="7F6F9ACF" w14:textId="5730E2FF"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rPr>
            </w:pPr>
          </w:p>
        </w:tc>
        <w:tc>
          <w:tcPr>
            <w:tcW w:w="1417" w:type="dxa"/>
            <w:vAlign w:val="center"/>
          </w:tcPr>
          <w:p w14:paraId="7792E0C5" w14:textId="319A1034" w:rsidR="00AE6A46" w:rsidRPr="004F6986" w:rsidRDefault="12BFE588" w:rsidP="00130B85">
            <w:pPr>
              <w:spacing w:line="259" w:lineRule="auto"/>
              <w:jc w:val="center"/>
              <w:cnfStyle w:val="000000010000" w:firstRow="0" w:lastRow="0" w:firstColumn="0" w:lastColumn="0" w:oddVBand="0" w:evenVBand="0" w:oddHBand="0" w:evenHBand="1" w:firstRowFirstColumn="0" w:firstRowLastColumn="0" w:lastRowFirstColumn="0" w:lastRowLastColumn="0"/>
              <w:rPr>
                <w:b/>
                <w:bCs/>
                <w:sz w:val="18"/>
                <w:szCs w:val="18"/>
              </w:rPr>
            </w:pPr>
            <w:r w:rsidRPr="4781129E">
              <w:rPr>
                <w:b/>
                <w:bCs/>
              </w:rPr>
              <w:t>C</w:t>
            </w:r>
          </w:p>
        </w:tc>
        <w:tc>
          <w:tcPr>
            <w:tcW w:w="1418" w:type="dxa"/>
            <w:vAlign w:val="center"/>
          </w:tcPr>
          <w:p w14:paraId="58C5E338" w14:textId="3D301179"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rPr>
            </w:pPr>
          </w:p>
        </w:tc>
        <w:tc>
          <w:tcPr>
            <w:tcW w:w="850" w:type="dxa"/>
            <w:vAlign w:val="center"/>
          </w:tcPr>
          <w:p w14:paraId="3AAACCB6" w14:textId="5CE92D29" w:rsidR="00AE6A46" w:rsidRPr="004F6986" w:rsidRDefault="220D13C6" w:rsidP="000860FA">
            <w:pPr>
              <w:jc w:val="center"/>
              <w:cnfStyle w:val="000000010000" w:firstRow="0" w:lastRow="0" w:firstColumn="0" w:lastColumn="0" w:oddVBand="0" w:evenVBand="0" w:oddHBand="0" w:evenHBand="1" w:firstRowFirstColumn="0" w:firstRowLastColumn="0" w:lastRowFirstColumn="0" w:lastRowLastColumn="0"/>
              <w:rPr>
                <w:b/>
                <w:bCs/>
                <w:sz w:val="18"/>
                <w:szCs w:val="18"/>
              </w:rPr>
            </w:pPr>
            <w:r w:rsidRPr="4781129E">
              <w:rPr>
                <w:b/>
                <w:bCs/>
              </w:rPr>
              <w:t>I</w:t>
            </w:r>
          </w:p>
        </w:tc>
        <w:tc>
          <w:tcPr>
            <w:tcW w:w="986" w:type="dxa"/>
            <w:vAlign w:val="center"/>
          </w:tcPr>
          <w:p w14:paraId="457C3523" w14:textId="368A0621"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rPr>
            </w:pPr>
            <w:r w:rsidRPr="00041068">
              <w:rPr>
                <w:b/>
              </w:rPr>
              <w:t>A</w:t>
            </w:r>
          </w:p>
        </w:tc>
      </w:tr>
      <w:tr w:rsidR="00874F93" w14:paraId="60D4A832" w14:textId="77777777" w:rsidTr="4781129E">
        <w:tc>
          <w:tcPr>
            <w:cnfStyle w:val="001000000000" w:firstRow="0" w:lastRow="0" w:firstColumn="1" w:lastColumn="0" w:oddVBand="0" w:evenVBand="0" w:oddHBand="0" w:evenHBand="0" w:firstRowFirstColumn="0" w:firstRowLastColumn="0" w:lastRowFirstColumn="0" w:lastRowLastColumn="0"/>
            <w:tcW w:w="1777" w:type="dxa"/>
          </w:tcPr>
          <w:p w14:paraId="6E66DD2F" w14:textId="48C42EE4" w:rsidR="00AE6A46" w:rsidRPr="00573B59" w:rsidRDefault="00AE6A46" w:rsidP="00AE6A46">
            <w:pPr>
              <w:rPr>
                <w:color w:val="0D0D0D" w:themeColor="text1" w:themeTint="F2"/>
              </w:rPr>
            </w:pPr>
            <w:r w:rsidRPr="00573B59">
              <w:rPr>
                <w:color w:val="0D0D0D" w:themeColor="text1" w:themeTint="F2"/>
                <w:sz w:val="16"/>
                <w:szCs w:val="16"/>
              </w:rPr>
              <w:t>Verifica della restituzione</w:t>
            </w:r>
          </w:p>
        </w:tc>
        <w:tc>
          <w:tcPr>
            <w:tcW w:w="1053" w:type="dxa"/>
            <w:vAlign w:val="center"/>
          </w:tcPr>
          <w:p w14:paraId="7B404CEE" w14:textId="44814EFE"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C</w:t>
            </w:r>
          </w:p>
        </w:tc>
        <w:tc>
          <w:tcPr>
            <w:tcW w:w="993" w:type="dxa"/>
            <w:vAlign w:val="center"/>
          </w:tcPr>
          <w:p w14:paraId="6CD44636" w14:textId="2FC04C2D"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C</w:t>
            </w:r>
          </w:p>
        </w:tc>
        <w:tc>
          <w:tcPr>
            <w:tcW w:w="1134" w:type="dxa"/>
            <w:vAlign w:val="center"/>
          </w:tcPr>
          <w:p w14:paraId="26967A48" w14:textId="0407E50B"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Pr>
                <w:b/>
              </w:rPr>
              <w:t>A/R</w:t>
            </w:r>
          </w:p>
        </w:tc>
        <w:tc>
          <w:tcPr>
            <w:tcW w:w="1417" w:type="dxa"/>
            <w:vAlign w:val="center"/>
          </w:tcPr>
          <w:p w14:paraId="75DDEEF3" w14:textId="4CE9AB87" w:rsidR="00AE6A46" w:rsidRPr="004F6986" w:rsidRDefault="6B3AE377" w:rsidP="00130B85">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r w:rsidRPr="4781129E">
              <w:rPr>
                <w:b/>
                <w:bCs/>
              </w:rPr>
              <w:t>I</w:t>
            </w:r>
          </w:p>
        </w:tc>
        <w:tc>
          <w:tcPr>
            <w:tcW w:w="1418" w:type="dxa"/>
            <w:vAlign w:val="center"/>
          </w:tcPr>
          <w:p w14:paraId="5E24D577" w14:textId="6B618385"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850" w:type="dxa"/>
            <w:vAlign w:val="center"/>
          </w:tcPr>
          <w:p w14:paraId="461E135E" w14:textId="16FF8393"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c>
          <w:tcPr>
            <w:tcW w:w="986" w:type="dxa"/>
            <w:vAlign w:val="center"/>
          </w:tcPr>
          <w:p w14:paraId="0AD9CE86" w14:textId="6367546C" w:rsidR="00AE6A46" w:rsidRPr="004F6986" w:rsidRDefault="00AE6A46" w:rsidP="00AE6A46">
            <w:pPr>
              <w:jc w:val="center"/>
              <w:cnfStyle w:val="000000000000" w:firstRow="0" w:lastRow="0" w:firstColumn="0" w:lastColumn="0" w:oddVBand="0" w:evenVBand="0" w:oddHBand="0" w:evenHBand="0" w:firstRowFirstColumn="0" w:firstRowLastColumn="0" w:lastRowFirstColumn="0" w:lastRowLastColumn="0"/>
              <w:rPr>
                <w:b/>
                <w:bCs/>
                <w:sz w:val="18"/>
                <w:szCs w:val="18"/>
                <w:lang w:val="en-GB"/>
              </w:rPr>
            </w:pPr>
          </w:p>
        </w:tc>
      </w:tr>
      <w:tr w:rsidR="00874F93" w14:paraId="4A9C55E9" w14:textId="77777777" w:rsidTr="478112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594564DF" w14:textId="2947C29C" w:rsidR="00AE6A46" w:rsidRPr="00573B59" w:rsidRDefault="00AE6A46" w:rsidP="00AE6A46">
            <w:pPr>
              <w:rPr>
                <w:color w:val="0D0D0D" w:themeColor="text1" w:themeTint="F2"/>
                <w:lang w:val="en-GB"/>
              </w:rPr>
            </w:pPr>
            <w:r w:rsidRPr="00573B59">
              <w:rPr>
                <w:color w:val="0D0D0D" w:themeColor="text1" w:themeTint="F2"/>
                <w:sz w:val="16"/>
                <w:szCs w:val="16"/>
              </w:rPr>
              <w:t>Cancellazione dei documenti</w:t>
            </w:r>
          </w:p>
        </w:tc>
        <w:tc>
          <w:tcPr>
            <w:tcW w:w="1053" w:type="dxa"/>
            <w:vAlign w:val="center"/>
          </w:tcPr>
          <w:p w14:paraId="563BAFA1" w14:textId="4AA003D1"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Pr>
                <w:b/>
              </w:rPr>
              <w:t>I</w:t>
            </w:r>
          </w:p>
        </w:tc>
        <w:tc>
          <w:tcPr>
            <w:tcW w:w="993" w:type="dxa"/>
            <w:vAlign w:val="center"/>
          </w:tcPr>
          <w:p w14:paraId="4ACD8D8D" w14:textId="77BF43E3"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Pr>
                <w:b/>
              </w:rPr>
              <w:t>R</w:t>
            </w:r>
          </w:p>
        </w:tc>
        <w:tc>
          <w:tcPr>
            <w:tcW w:w="1134" w:type="dxa"/>
            <w:vAlign w:val="center"/>
          </w:tcPr>
          <w:p w14:paraId="4ABC40CD" w14:textId="7F9C48EE"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Pr>
                <w:b/>
              </w:rPr>
              <w:t>C</w:t>
            </w:r>
          </w:p>
        </w:tc>
        <w:tc>
          <w:tcPr>
            <w:tcW w:w="1417" w:type="dxa"/>
            <w:vAlign w:val="center"/>
          </w:tcPr>
          <w:p w14:paraId="330EC580" w14:textId="021A3C6B"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Pr>
                <w:b/>
              </w:rPr>
              <w:t>A</w:t>
            </w:r>
          </w:p>
        </w:tc>
        <w:tc>
          <w:tcPr>
            <w:tcW w:w="1418" w:type="dxa"/>
            <w:vAlign w:val="center"/>
          </w:tcPr>
          <w:p w14:paraId="58BB8ED9" w14:textId="438C9503"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sidRPr="003453BD">
              <w:rPr>
                <w:b/>
              </w:rPr>
              <w:t>I</w:t>
            </w:r>
          </w:p>
        </w:tc>
        <w:tc>
          <w:tcPr>
            <w:tcW w:w="850" w:type="dxa"/>
            <w:vAlign w:val="center"/>
          </w:tcPr>
          <w:p w14:paraId="2E640262" w14:textId="63B84E4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r w:rsidRPr="006C01E7">
              <w:rPr>
                <w:b/>
              </w:rPr>
              <w:t>C</w:t>
            </w:r>
          </w:p>
        </w:tc>
        <w:tc>
          <w:tcPr>
            <w:tcW w:w="986" w:type="dxa"/>
            <w:vAlign w:val="center"/>
          </w:tcPr>
          <w:p w14:paraId="4DBC447D" w14:textId="77777777" w:rsidR="00AE6A46" w:rsidRPr="004F6986" w:rsidRDefault="00AE6A46" w:rsidP="00AE6A46">
            <w:pPr>
              <w:jc w:val="center"/>
              <w:cnfStyle w:val="000000010000" w:firstRow="0" w:lastRow="0" w:firstColumn="0" w:lastColumn="0" w:oddVBand="0" w:evenVBand="0" w:oddHBand="0" w:evenHBand="1" w:firstRowFirstColumn="0" w:firstRowLastColumn="0" w:lastRowFirstColumn="0" w:lastRowLastColumn="0"/>
              <w:rPr>
                <w:b/>
                <w:bCs/>
                <w:sz w:val="18"/>
                <w:szCs w:val="18"/>
                <w:lang w:val="en-GB"/>
              </w:rPr>
            </w:pPr>
          </w:p>
        </w:tc>
      </w:tr>
    </w:tbl>
    <w:p w14:paraId="6A98B810" w14:textId="77777777" w:rsidR="00E00531" w:rsidRPr="0072276D" w:rsidRDefault="00E00531" w:rsidP="00E00531">
      <w:pPr>
        <w:rPr>
          <w:rFonts w:ascii="Open Sans" w:hAnsi="Open Sans" w:cs="Open Sans"/>
        </w:rPr>
      </w:pPr>
    </w:p>
    <w:p w14:paraId="7FDA37A4" w14:textId="77777777" w:rsidR="00E00531" w:rsidRPr="00FA3566" w:rsidRDefault="00E00531" w:rsidP="00E00531">
      <w:pPr>
        <w:pStyle w:val="Paragrafoelenco"/>
        <w:numPr>
          <w:ilvl w:val="0"/>
          <w:numId w:val="8"/>
        </w:numPr>
        <w:rPr>
          <w:rFonts w:ascii="Open Sans" w:hAnsi="Open Sans" w:cs="Open Sans"/>
        </w:rPr>
      </w:pPr>
      <w:r w:rsidRPr="00FA3566">
        <w:rPr>
          <w:rFonts w:ascii="Open Sans" w:hAnsi="Open Sans" w:cs="Open Sans"/>
          <w:b/>
        </w:rPr>
        <w:t>R, Responsible</w:t>
      </w:r>
      <w:r w:rsidRPr="00FA3566">
        <w:rPr>
          <w:rFonts w:ascii="Open Sans" w:hAnsi="Open Sans" w:cs="Open Sans"/>
        </w:rPr>
        <w:t xml:space="preserve">: ha il compito di svolgere una particolare attività </w:t>
      </w:r>
    </w:p>
    <w:p w14:paraId="71959C1D" w14:textId="77777777" w:rsidR="00E00531" w:rsidRPr="00FA3566" w:rsidRDefault="00E00531" w:rsidP="00E00531">
      <w:pPr>
        <w:pStyle w:val="Paragrafoelenco"/>
        <w:numPr>
          <w:ilvl w:val="0"/>
          <w:numId w:val="8"/>
        </w:numPr>
        <w:rPr>
          <w:rFonts w:ascii="Open Sans" w:hAnsi="Open Sans" w:cs="Open Sans"/>
        </w:rPr>
      </w:pPr>
      <w:r w:rsidRPr="00FA3566">
        <w:rPr>
          <w:rFonts w:ascii="Open Sans" w:hAnsi="Open Sans" w:cs="Open Sans"/>
          <w:b/>
        </w:rPr>
        <w:t xml:space="preserve">A, </w:t>
      </w:r>
      <w:proofErr w:type="spellStart"/>
      <w:r w:rsidRPr="00FA3566">
        <w:rPr>
          <w:rFonts w:ascii="Open Sans" w:hAnsi="Open Sans" w:cs="Open Sans"/>
          <w:b/>
        </w:rPr>
        <w:t>Accountable</w:t>
      </w:r>
      <w:proofErr w:type="spellEnd"/>
      <w:r w:rsidRPr="00FA3566">
        <w:rPr>
          <w:rFonts w:ascii="Open Sans" w:hAnsi="Open Sans" w:cs="Open Sans"/>
        </w:rPr>
        <w:t xml:space="preserve">: è responsabile dei risultati dell’attività o ha un ruolo di approvatore  </w:t>
      </w:r>
    </w:p>
    <w:p w14:paraId="13930963" w14:textId="77777777" w:rsidR="00E00531" w:rsidRPr="00FA3566" w:rsidRDefault="00E00531" w:rsidP="00E00531">
      <w:pPr>
        <w:pStyle w:val="Paragrafoelenco"/>
        <w:numPr>
          <w:ilvl w:val="0"/>
          <w:numId w:val="8"/>
        </w:numPr>
        <w:rPr>
          <w:rFonts w:ascii="Open Sans" w:hAnsi="Open Sans" w:cs="Open Sans"/>
        </w:rPr>
      </w:pPr>
      <w:r w:rsidRPr="00FA3566">
        <w:rPr>
          <w:rFonts w:ascii="Open Sans" w:hAnsi="Open Sans" w:cs="Open Sans"/>
          <w:b/>
        </w:rPr>
        <w:t xml:space="preserve">C, </w:t>
      </w:r>
      <w:proofErr w:type="spellStart"/>
      <w:r w:rsidRPr="00FA3566">
        <w:rPr>
          <w:rFonts w:ascii="Open Sans" w:hAnsi="Open Sans" w:cs="Open Sans"/>
          <w:b/>
        </w:rPr>
        <w:t>Consulted</w:t>
      </w:r>
      <w:proofErr w:type="spellEnd"/>
      <w:r w:rsidRPr="00FA3566">
        <w:rPr>
          <w:rFonts w:ascii="Open Sans" w:hAnsi="Open Sans" w:cs="Open Sans"/>
        </w:rPr>
        <w:t xml:space="preserve">: è coinvolto attivamente </w:t>
      </w:r>
      <w:proofErr w:type="spellStart"/>
      <w:r w:rsidRPr="00FA3566">
        <w:rPr>
          <w:rFonts w:ascii="Open Sans" w:hAnsi="Open Sans" w:cs="Open Sans"/>
        </w:rPr>
        <w:t>ne</w:t>
      </w:r>
      <w:r>
        <w:rPr>
          <w:rFonts w:ascii="Open Sans" w:hAnsi="Open Sans" w:cs="Open Sans"/>
        </w:rPr>
        <w:t>la</w:t>
      </w:r>
      <w:proofErr w:type="spellEnd"/>
      <w:r>
        <w:rPr>
          <w:rFonts w:ascii="Open Sans" w:hAnsi="Open Sans" w:cs="Open Sans"/>
        </w:rPr>
        <w:t xml:space="preserve"> procedura</w:t>
      </w:r>
      <w:r w:rsidRPr="00FA3566">
        <w:rPr>
          <w:rFonts w:ascii="Open Sans" w:hAnsi="Open Sans" w:cs="Open Sans"/>
        </w:rPr>
        <w:t xml:space="preserve"> indirizzando le azioni da compiere o le decisioni da prendere </w:t>
      </w:r>
    </w:p>
    <w:p w14:paraId="0ADBD064" w14:textId="77777777" w:rsidR="00E00531" w:rsidRPr="00FA3566" w:rsidRDefault="00E00531" w:rsidP="00E00531">
      <w:pPr>
        <w:pStyle w:val="Paragrafoelenco"/>
        <w:numPr>
          <w:ilvl w:val="0"/>
          <w:numId w:val="8"/>
        </w:numPr>
        <w:rPr>
          <w:rFonts w:ascii="Open Sans" w:hAnsi="Open Sans" w:cs="Open Sans"/>
        </w:rPr>
      </w:pPr>
      <w:r w:rsidRPr="00FA3566">
        <w:rPr>
          <w:rFonts w:ascii="Open Sans" w:hAnsi="Open Sans" w:cs="Open Sans"/>
          <w:b/>
        </w:rPr>
        <w:t xml:space="preserve">I, </w:t>
      </w:r>
      <w:proofErr w:type="spellStart"/>
      <w:r w:rsidRPr="00FA3566">
        <w:rPr>
          <w:rFonts w:ascii="Open Sans" w:hAnsi="Open Sans" w:cs="Open Sans"/>
          <w:b/>
        </w:rPr>
        <w:t>Informed</w:t>
      </w:r>
      <w:proofErr w:type="spellEnd"/>
      <w:r w:rsidRPr="00FA3566">
        <w:rPr>
          <w:rFonts w:ascii="Open Sans" w:hAnsi="Open Sans" w:cs="Open Sans"/>
        </w:rPr>
        <w:t>: è mantenuto informato sulle azioni da compiere o sulle decisioni prese. Il soggetto informato non può influenzare il risultato</w:t>
      </w:r>
    </w:p>
    <w:p w14:paraId="37D541BD" w14:textId="3A19C9A0" w:rsidR="00A8057E" w:rsidRDefault="00A8057E">
      <w:pPr>
        <w:rPr>
          <w:rFonts w:ascii="Open Sans" w:hAnsi="Open Sans" w:cs="Open Sans"/>
        </w:rPr>
      </w:pPr>
      <w:r>
        <w:rPr>
          <w:rFonts w:ascii="Open Sans" w:hAnsi="Open Sans" w:cs="Open Sans"/>
        </w:rPr>
        <w:br w:type="page"/>
      </w:r>
    </w:p>
    <w:p w14:paraId="662BD1BA" w14:textId="086609AE" w:rsidR="00A8057E" w:rsidRPr="00EE338F" w:rsidRDefault="0093624C" w:rsidP="00A8057E">
      <w:pPr>
        <w:pStyle w:val="Titolo1"/>
        <w:rPr>
          <w:caps/>
        </w:rPr>
      </w:pPr>
      <w:bookmarkStart w:id="18" w:name="_Toc26972043"/>
      <w:r>
        <w:rPr>
          <w:caps/>
        </w:rPr>
        <w:lastRenderedPageBreak/>
        <w:t>APPENDICE</w:t>
      </w:r>
      <w:bookmarkEnd w:id="18"/>
    </w:p>
    <w:p w14:paraId="4E61A861" w14:textId="77777777" w:rsidR="00C44909" w:rsidRDefault="00C44909" w:rsidP="00841B2D">
      <w:pPr>
        <w:pStyle w:val="NormaleWeb"/>
        <w:spacing w:line="348" w:lineRule="atLeast"/>
        <w:rPr>
          <w:rFonts w:ascii="Verdana" w:hAnsi="Verdana"/>
          <w:color w:val="222222"/>
        </w:rPr>
      </w:pPr>
    </w:p>
    <w:p w14:paraId="0007F457" w14:textId="39DB7A08" w:rsidR="00C44909" w:rsidRDefault="00C44909" w:rsidP="00E544C1">
      <w:pPr>
        <w:pStyle w:val="Titolo2"/>
      </w:pPr>
      <w:bookmarkStart w:id="19" w:name="_Toc26972044"/>
      <w:r>
        <w:t>Organizzazione dell’Area FTP</w:t>
      </w:r>
      <w:bookmarkEnd w:id="19"/>
    </w:p>
    <w:p w14:paraId="138825F9" w14:textId="13856888" w:rsidR="00841B2D" w:rsidRDefault="00841B2D" w:rsidP="00841B2D">
      <w:pPr>
        <w:pStyle w:val="NormaleWeb"/>
        <w:spacing w:line="348" w:lineRule="atLeast"/>
        <w:rPr>
          <w:rFonts w:ascii="Verdana" w:hAnsi="Verdana"/>
          <w:color w:val="222222"/>
        </w:rPr>
      </w:pPr>
      <w:r>
        <w:rPr>
          <w:rFonts w:ascii="Verdana" w:hAnsi="Verdana"/>
          <w:color w:val="222222"/>
        </w:rPr>
        <w:t xml:space="preserve">L’organizzazione dell’Area FTP di restituzione, e analogamente </w:t>
      </w:r>
      <w:r w:rsidR="008C4E9B">
        <w:rPr>
          <w:rFonts w:ascii="Verdana" w:hAnsi="Verdana"/>
          <w:color w:val="222222"/>
        </w:rPr>
        <w:t>della share di deposito</w:t>
      </w:r>
      <w:r w:rsidR="003C2064">
        <w:rPr>
          <w:rFonts w:ascii="Verdana" w:hAnsi="Verdana"/>
          <w:color w:val="222222"/>
        </w:rPr>
        <w:t xml:space="preserve"> </w:t>
      </w:r>
      <w:r w:rsidR="00622F0C">
        <w:rPr>
          <w:rFonts w:ascii="Verdana" w:hAnsi="Verdana"/>
          <w:color w:val="222222"/>
        </w:rPr>
        <w:t xml:space="preserve">riempita manualmente </w:t>
      </w:r>
      <w:proofErr w:type="spellStart"/>
      <w:r w:rsidR="00622F0C">
        <w:rPr>
          <w:rFonts w:ascii="Verdana" w:hAnsi="Verdana"/>
          <w:color w:val="222222"/>
        </w:rPr>
        <w:t>dall’AdR</w:t>
      </w:r>
      <w:proofErr w:type="spellEnd"/>
      <w:r w:rsidR="00C44909">
        <w:rPr>
          <w:rFonts w:ascii="Verdana" w:hAnsi="Verdana"/>
          <w:color w:val="222222"/>
        </w:rPr>
        <w:t>,</w:t>
      </w:r>
      <w:r>
        <w:rPr>
          <w:rFonts w:ascii="Verdana" w:hAnsi="Verdana"/>
          <w:color w:val="222222"/>
        </w:rPr>
        <w:t xml:space="preserve"> deve essere la seguente (tra parentesi esempi di denominazione basati su Provincia di Lecco):</w:t>
      </w:r>
    </w:p>
    <w:p w14:paraId="38AE1250" w14:textId="1EBFA283" w:rsidR="00841B2D" w:rsidRDefault="00841B2D" w:rsidP="00841B2D">
      <w:pPr>
        <w:pStyle w:val="PreformattatoHTML"/>
        <w:spacing w:line="348" w:lineRule="atLeast"/>
        <w:rPr>
          <w:color w:val="222222"/>
        </w:rPr>
      </w:pPr>
      <w:r>
        <w:rPr>
          <w:rStyle w:val="CodiceHTML"/>
          <w:color w:val="222222"/>
        </w:rPr>
        <w:t>ROOT ente (PROVINCIA_DI_LECCO)</w:t>
      </w:r>
      <w:r>
        <w:br/>
      </w:r>
      <w:r>
        <w:rPr>
          <w:rStyle w:val="CodiceHTML"/>
          <w:color w:val="222222"/>
        </w:rPr>
        <w:t xml:space="preserve">   Ente </w:t>
      </w:r>
      <w:proofErr w:type="spellStart"/>
      <w:r>
        <w:rPr>
          <w:rStyle w:val="CodiceHTML"/>
          <w:color w:val="222222"/>
        </w:rPr>
        <w:t>Sacer</w:t>
      </w:r>
      <w:proofErr w:type="spellEnd"/>
      <w:r>
        <w:rPr>
          <w:rStyle w:val="CodiceHTML"/>
          <w:color w:val="222222"/>
        </w:rPr>
        <w:t xml:space="preserve"> (provincia di lecco)</w:t>
      </w:r>
      <w:r>
        <w:br/>
      </w:r>
      <w:r>
        <w:rPr>
          <w:rStyle w:val="CodiceHTML"/>
          <w:color w:val="222222"/>
        </w:rPr>
        <w:t xml:space="preserve">    Struttura (</w:t>
      </w:r>
      <w:proofErr w:type="spellStart"/>
      <w:r>
        <w:rPr>
          <w:rStyle w:val="CodiceHTML"/>
          <w:color w:val="222222"/>
        </w:rPr>
        <w:t>p_lc</w:t>
      </w:r>
      <w:proofErr w:type="spellEnd"/>
      <w:r>
        <w:rPr>
          <w:rStyle w:val="CodiceHTML"/>
          <w:color w:val="222222"/>
        </w:rPr>
        <w:t>)</w:t>
      </w:r>
      <w:r>
        <w:br/>
      </w:r>
      <w:r>
        <w:rPr>
          <w:rStyle w:val="CodiceHTML"/>
          <w:color w:val="222222"/>
        </w:rPr>
        <w:t xml:space="preserve">      Unità documentarie</w:t>
      </w:r>
      <w:r>
        <w:br/>
      </w:r>
      <w:r>
        <w:rPr>
          <w:rStyle w:val="CodiceHTML"/>
          <w:color w:val="222222"/>
        </w:rPr>
        <w:t xml:space="preserve">        Anno 1</w:t>
      </w:r>
      <w:r>
        <w:br/>
      </w:r>
      <w:r>
        <w:rPr>
          <w:rStyle w:val="CodiceHTML"/>
          <w:color w:val="222222"/>
        </w:rPr>
        <w:t xml:space="preserve">        Anno ...</w:t>
      </w:r>
      <w:r>
        <w:br/>
      </w:r>
      <w:r>
        <w:rPr>
          <w:rStyle w:val="CodiceHTML"/>
          <w:color w:val="222222"/>
        </w:rPr>
        <w:t xml:space="preserve">        Anno n</w:t>
      </w:r>
      <w:r>
        <w:br/>
      </w:r>
      <w:r>
        <w:rPr>
          <w:rStyle w:val="CodiceHTML"/>
          <w:color w:val="222222"/>
        </w:rPr>
        <w:t xml:space="preserve">      Serie unità documentarie (gestione manuale)</w:t>
      </w:r>
      <w:r>
        <w:br/>
      </w:r>
      <w:r>
        <w:rPr>
          <w:rStyle w:val="CodiceHTML"/>
          <w:color w:val="222222"/>
        </w:rPr>
        <w:t xml:space="preserve">      Volumi di conservazione (gestione manuale)</w:t>
      </w:r>
      <w:r>
        <w:br/>
      </w:r>
      <w:r>
        <w:rPr>
          <w:rStyle w:val="CodiceHTML"/>
          <w:color w:val="222222"/>
        </w:rPr>
        <w:t xml:space="preserve">   Versatore </w:t>
      </w:r>
      <w:proofErr w:type="spellStart"/>
      <w:r>
        <w:rPr>
          <w:rStyle w:val="CodiceHTML"/>
          <w:color w:val="222222"/>
        </w:rPr>
        <w:t>Ping</w:t>
      </w:r>
      <w:proofErr w:type="spellEnd"/>
      <w:r>
        <w:rPr>
          <w:rStyle w:val="CodiceHTML"/>
          <w:color w:val="222222"/>
        </w:rPr>
        <w:t xml:space="preserve"> (</w:t>
      </w:r>
      <w:proofErr w:type="spellStart"/>
      <w:r>
        <w:rPr>
          <w:rStyle w:val="CodiceHTML"/>
          <w:color w:val="222222"/>
        </w:rPr>
        <w:t>PROVLECCO_p_lc</w:t>
      </w:r>
      <w:proofErr w:type="spellEnd"/>
      <w:r>
        <w:rPr>
          <w:rStyle w:val="CodiceHTML"/>
          <w:color w:val="222222"/>
        </w:rPr>
        <w:t>) (gestione manuale)</w:t>
      </w:r>
      <w:r>
        <w:br/>
      </w:r>
      <w:r>
        <w:rPr>
          <w:rStyle w:val="CodiceHTML"/>
          <w:color w:val="222222"/>
        </w:rPr>
        <w:t xml:space="preserve">    Oggetti da trasformare (gestione manuale)</w:t>
      </w:r>
    </w:p>
    <w:p w14:paraId="20011FC0" w14:textId="169857D2" w:rsidR="00A8057E" w:rsidRDefault="00A8057E" w:rsidP="00376AF9">
      <w:pPr>
        <w:rPr>
          <w:rFonts w:ascii="Open Sans" w:hAnsi="Open Sans" w:cs="Open Sans"/>
        </w:rPr>
      </w:pPr>
    </w:p>
    <w:p w14:paraId="6D6DCBC8" w14:textId="282FB636" w:rsidR="00E544C1" w:rsidRDefault="00E544C1" w:rsidP="00376AF9">
      <w:pPr>
        <w:rPr>
          <w:rFonts w:ascii="Open Sans" w:hAnsi="Open Sans" w:cs="Open Sans"/>
        </w:rPr>
      </w:pPr>
    </w:p>
    <w:p w14:paraId="496E0783" w14:textId="77777777" w:rsidR="00E544C1" w:rsidRPr="00845DE4" w:rsidRDefault="00E544C1" w:rsidP="00376AF9">
      <w:pPr>
        <w:rPr>
          <w:rFonts w:ascii="Open Sans" w:hAnsi="Open Sans" w:cs="Open Sans"/>
        </w:rPr>
      </w:pPr>
    </w:p>
    <w:sectPr w:rsidR="00E544C1" w:rsidRPr="00845DE4" w:rsidSect="00992A5E">
      <w:headerReference w:type="default" r:id="rId16"/>
      <w:footerReference w:type="default" r:id="rId17"/>
      <w:headerReference w:type="first" r:id="rId18"/>
      <w:footerReference w:type="first" r:id="rId19"/>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48407" w14:textId="77777777" w:rsidR="00FE0A13" w:rsidRDefault="00FE0A13" w:rsidP="00154D3D">
      <w:pPr>
        <w:spacing w:after="0" w:line="240" w:lineRule="auto"/>
      </w:pPr>
      <w:r>
        <w:separator/>
      </w:r>
    </w:p>
  </w:endnote>
  <w:endnote w:type="continuationSeparator" w:id="0">
    <w:p w14:paraId="6C484064" w14:textId="77777777" w:rsidR="00FE0A13" w:rsidRDefault="00FE0A13" w:rsidP="00154D3D">
      <w:pPr>
        <w:spacing w:after="0" w:line="240" w:lineRule="auto"/>
      </w:pPr>
      <w:r>
        <w:continuationSeparator/>
      </w:r>
    </w:p>
  </w:endnote>
  <w:endnote w:type="continuationNotice" w:id="1">
    <w:p w14:paraId="36CAE94C" w14:textId="77777777" w:rsidR="00FE0A13" w:rsidRDefault="00FE0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893527"/>
      <w:docPartObj>
        <w:docPartGallery w:val="Page Numbers (Bottom of Page)"/>
        <w:docPartUnique/>
      </w:docPartObj>
    </w:sdtPr>
    <w:sdtEndPr>
      <w:rPr>
        <w:sz w:val="18"/>
        <w:szCs w:val="18"/>
      </w:rPr>
    </w:sdtEndPr>
    <w:sdtContent>
      <w:p w14:paraId="6D4AC8B4" w14:textId="77777777" w:rsidR="00154D3D" w:rsidRPr="000F5C67" w:rsidRDefault="00154D3D" w:rsidP="006972F7">
        <w:pPr>
          <w:pStyle w:val="Pidipagina"/>
          <w:jc w:val="center"/>
          <w:rPr>
            <w:sz w:val="18"/>
            <w:szCs w:val="18"/>
          </w:rPr>
        </w:pPr>
        <w:r w:rsidRPr="000F5C67">
          <w:rPr>
            <w:sz w:val="18"/>
            <w:szCs w:val="18"/>
          </w:rPr>
          <w:fldChar w:fldCharType="begin"/>
        </w:r>
        <w:r w:rsidRPr="000F5C67">
          <w:rPr>
            <w:sz w:val="18"/>
            <w:szCs w:val="18"/>
          </w:rPr>
          <w:instrText>PAGE   \* MERGEFORMAT</w:instrText>
        </w:r>
        <w:r w:rsidRPr="000F5C67">
          <w:rPr>
            <w:sz w:val="18"/>
            <w:szCs w:val="18"/>
          </w:rPr>
          <w:fldChar w:fldCharType="separate"/>
        </w:r>
        <w:r w:rsidRPr="000F5C67">
          <w:rPr>
            <w:sz w:val="18"/>
            <w:szCs w:val="18"/>
          </w:rPr>
          <w:t>2</w:t>
        </w:r>
        <w:r w:rsidRPr="000F5C67">
          <w:rPr>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40" w:type="dxa"/>
        <w:left w:w="40" w:type="dxa"/>
        <w:bottom w:w="40" w:type="dxa"/>
        <w:right w:w="40" w:type="dxa"/>
      </w:tblCellMar>
      <w:tblLook w:val="04A0" w:firstRow="1" w:lastRow="0" w:firstColumn="1" w:lastColumn="0" w:noHBand="0" w:noVBand="1"/>
    </w:tblPr>
    <w:tblGrid>
      <w:gridCol w:w="1418"/>
      <w:gridCol w:w="1134"/>
      <w:gridCol w:w="3260"/>
      <w:gridCol w:w="1843"/>
      <w:gridCol w:w="48"/>
      <w:gridCol w:w="519"/>
      <w:gridCol w:w="1416"/>
    </w:tblGrid>
    <w:tr w:rsidR="00433293" w:rsidRPr="00992A5E" w14:paraId="10FFAA12" w14:textId="77777777" w:rsidTr="4781129E">
      <w:tc>
        <w:tcPr>
          <w:tcW w:w="1418" w:type="dxa"/>
          <w:tcBorders>
            <w:top w:val="nil"/>
            <w:bottom w:val="single" w:sz="4" w:space="0" w:color="D9D9D9" w:themeColor="background1" w:themeShade="D9"/>
          </w:tcBorders>
        </w:tcPr>
        <w:p w14:paraId="3832A44A" w14:textId="77777777" w:rsidR="00433293" w:rsidRPr="000E273B" w:rsidRDefault="00433293" w:rsidP="00433293">
          <w:pPr>
            <w:rPr>
              <w:rFonts w:ascii="Open Sans" w:hAnsi="Open Sans" w:cs="Open Sans"/>
              <w:b/>
              <w:sz w:val="16"/>
            </w:rPr>
          </w:pPr>
          <w:r w:rsidRPr="000E273B">
            <w:rPr>
              <w:rFonts w:ascii="Open Sans" w:hAnsi="Open Sans" w:cs="Open Sans"/>
              <w:b/>
              <w:sz w:val="16"/>
            </w:rPr>
            <w:t>Redazione</w:t>
          </w:r>
        </w:p>
      </w:tc>
      <w:tc>
        <w:tcPr>
          <w:tcW w:w="1134" w:type="dxa"/>
          <w:tcBorders>
            <w:top w:val="nil"/>
            <w:bottom w:val="single" w:sz="4" w:space="0" w:color="D9D9D9" w:themeColor="background1" w:themeShade="D9"/>
          </w:tcBorders>
        </w:tcPr>
        <w:p w14:paraId="09D57285" w14:textId="77777777" w:rsidR="00433293" w:rsidRPr="000E273B" w:rsidRDefault="00433293" w:rsidP="00433293">
          <w:pPr>
            <w:rPr>
              <w:rFonts w:ascii="Open Sans" w:hAnsi="Open Sans" w:cs="Open Sans"/>
              <w:sz w:val="16"/>
            </w:rPr>
          </w:pPr>
          <w:r w:rsidRPr="000E273B">
            <w:rPr>
              <w:rFonts w:ascii="Open Sans" w:hAnsi="Open Sans" w:cs="Open Sans"/>
              <w:sz w:val="16"/>
            </w:rPr>
            <w:t>Redattore:</w:t>
          </w:r>
        </w:p>
      </w:tc>
      <w:tc>
        <w:tcPr>
          <w:tcW w:w="5103" w:type="dxa"/>
          <w:gridSpan w:val="2"/>
          <w:tcBorders>
            <w:top w:val="nil"/>
            <w:bottom w:val="single" w:sz="4" w:space="0" w:color="D9D9D9" w:themeColor="background1" w:themeShade="D9"/>
          </w:tcBorders>
        </w:tcPr>
        <w:p w14:paraId="5C96FE4E" w14:textId="29BA184E" w:rsidR="00433293" w:rsidRPr="000E273B" w:rsidRDefault="00433293" w:rsidP="00433293">
          <w:pPr>
            <w:rPr>
              <w:rFonts w:ascii="Open Sans" w:hAnsi="Open Sans" w:cs="Open Sans"/>
              <w:sz w:val="16"/>
            </w:rPr>
          </w:pPr>
          <w:r>
            <w:rPr>
              <w:rFonts w:ascii="Open Sans" w:hAnsi="Open Sans" w:cs="Open Sans"/>
              <w:sz w:val="16"/>
            </w:rPr>
            <w:t>Giovanni Galazzini</w:t>
          </w:r>
        </w:p>
      </w:tc>
      <w:tc>
        <w:tcPr>
          <w:tcW w:w="567" w:type="dxa"/>
          <w:gridSpan w:val="2"/>
          <w:tcBorders>
            <w:top w:val="nil"/>
            <w:bottom w:val="single" w:sz="4" w:space="0" w:color="D9D9D9" w:themeColor="background1" w:themeShade="D9"/>
          </w:tcBorders>
        </w:tcPr>
        <w:p w14:paraId="27A6D3B3" w14:textId="77777777" w:rsidR="00433293" w:rsidRPr="000E273B" w:rsidRDefault="00433293" w:rsidP="00433293">
          <w:pPr>
            <w:rPr>
              <w:rFonts w:ascii="Open Sans" w:hAnsi="Open Sans" w:cs="Open Sans"/>
              <w:sz w:val="16"/>
            </w:rPr>
          </w:pPr>
          <w:r w:rsidRPr="000E273B">
            <w:rPr>
              <w:rFonts w:ascii="Open Sans" w:hAnsi="Open Sans" w:cs="Open Sans"/>
              <w:sz w:val="16"/>
            </w:rPr>
            <w:t>Data:</w:t>
          </w:r>
        </w:p>
      </w:tc>
      <w:tc>
        <w:tcPr>
          <w:tcW w:w="1416" w:type="dxa"/>
          <w:tcBorders>
            <w:top w:val="nil"/>
            <w:bottom w:val="single" w:sz="4" w:space="0" w:color="D9D9D9" w:themeColor="background1" w:themeShade="D9"/>
          </w:tcBorders>
        </w:tcPr>
        <w:p w14:paraId="461439F1" w14:textId="2503EDA6" w:rsidR="00433293" w:rsidRPr="000E273B" w:rsidRDefault="00433293" w:rsidP="00433293">
          <w:pPr>
            <w:rPr>
              <w:rFonts w:ascii="Open Sans" w:hAnsi="Open Sans" w:cs="Open Sans"/>
              <w:sz w:val="16"/>
            </w:rPr>
          </w:pPr>
          <w:proofErr w:type="spellStart"/>
          <w:r w:rsidRPr="00A108B8">
            <w:rPr>
              <w:sz w:val="16"/>
              <w:szCs w:val="16"/>
              <w:highlight w:val="yellow"/>
            </w:rPr>
            <w:t>Xx</w:t>
          </w:r>
          <w:proofErr w:type="spellEnd"/>
          <w:r w:rsidRPr="00A108B8">
            <w:rPr>
              <w:sz w:val="16"/>
              <w:szCs w:val="16"/>
              <w:highlight w:val="yellow"/>
            </w:rPr>
            <w:t>/xx/</w:t>
          </w:r>
          <w:proofErr w:type="spellStart"/>
          <w:r w:rsidRPr="00A108B8">
            <w:rPr>
              <w:sz w:val="16"/>
              <w:szCs w:val="16"/>
              <w:highlight w:val="yellow"/>
            </w:rPr>
            <w:t>xxxx</w:t>
          </w:r>
          <w:proofErr w:type="spellEnd"/>
        </w:p>
      </w:tc>
    </w:tr>
    <w:tr w:rsidR="00433293" w:rsidRPr="00992A5E" w14:paraId="694CD939" w14:textId="77777777" w:rsidTr="4781129E">
      <w:tc>
        <w:tcPr>
          <w:tcW w:w="1418" w:type="dxa"/>
          <w:tcBorders>
            <w:top w:val="single" w:sz="4" w:space="0" w:color="D9D9D9" w:themeColor="background1" w:themeShade="D9"/>
            <w:bottom w:val="single" w:sz="4" w:space="0" w:color="D9D9D9" w:themeColor="background1" w:themeShade="D9"/>
          </w:tcBorders>
        </w:tcPr>
        <w:p w14:paraId="3B2C2E02" w14:textId="77777777" w:rsidR="00433293" w:rsidRPr="000E273B" w:rsidRDefault="00433293" w:rsidP="00433293">
          <w:pPr>
            <w:rPr>
              <w:rFonts w:ascii="Open Sans" w:hAnsi="Open Sans" w:cs="Open Sans"/>
              <w:b/>
              <w:sz w:val="16"/>
            </w:rPr>
          </w:pPr>
          <w:r w:rsidRPr="000E273B">
            <w:rPr>
              <w:rFonts w:ascii="Open Sans" w:hAnsi="Open Sans" w:cs="Open Sans"/>
              <w:b/>
              <w:sz w:val="16"/>
            </w:rPr>
            <w:t>Verifica</w:t>
          </w:r>
        </w:p>
      </w:tc>
      <w:tc>
        <w:tcPr>
          <w:tcW w:w="1134" w:type="dxa"/>
          <w:tcBorders>
            <w:top w:val="single" w:sz="4" w:space="0" w:color="D9D9D9" w:themeColor="background1" w:themeShade="D9"/>
            <w:bottom w:val="single" w:sz="4" w:space="0" w:color="D9D9D9" w:themeColor="background1" w:themeShade="D9"/>
          </w:tcBorders>
        </w:tcPr>
        <w:p w14:paraId="28EDE8C8" w14:textId="77777777" w:rsidR="00433293" w:rsidRPr="000E273B" w:rsidRDefault="00433293" w:rsidP="00433293">
          <w:pPr>
            <w:rPr>
              <w:rFonts w:ascii="Open Sans" w:hAnsi="Open Sans" w:cs="Open Sans"/>
              <w:sz w:val="16"/>
            </w:rPr>
          </w:pPr>
          <w:r w:rsidRPr="000E273B">
            <w:rPr>
              <w:rFonts w:ascii="Open Sans" w:hAnsi="Open Sans" w:cs="Open Sans"/>
              <w:sz w:val="16"/>
            </w:rPr>
            <w:t>Verificatore:</w:t>
          </w:r>
        </w:p>
      </w:tc>
      <w:tc>
        <w:tcPr>
          <w:tcW w:w="5103" w:type="dxa"/>
          <w:gridSpan w:val="2"/>
          <w:tcBorders>
            <w:top w:val="single" w:sz="4" w:space="0" w:color="D9D9D9" w:themeColor="background1" w:themeShade="D9"/>
            <w:bottom w:val="single" w:sz="4" w:space="0" w:color="D9D9D9" w:themeColor="background1" w:themeShade="D9"/>
          </w:tcBorders>
        </w:tcPr>
        <w:p w14:paraId="4A080344" w14:textId="58504273" w:rsidR="00433293" w:rsidRPr="000E273B" w:rsidRDefault="009A7E1E" w:rsidP="00433293">
          <w:pPr>
            <w:rPr>
              <w:rFonts w:ascii="Open Sans" w:hAnsi="Open Sans" w:cs="Open Sans"/>
              <w:sz w:val="16"/>
            </w:rPr>
          </w:pPr>
          <w:r>
            <w:rPr>
              <w:rFonts w:ascii="Open Sans" w:hAnsi="Open Sans" w:cs="Open Sans"/>
              <w:sz w:val="16"/>
            </w:rPr>
            <w:t>Marco Calzolari</w:t>
          </w:r>
        </w:p>
      </w:tc>
      <w:tc>
        <w:tcPr>
          <w:tcW w:w="567" w:type="dxa"/>
          <w:gridSpan w:val="2"/>
          <w:tcBorders>
            <w:top w:val="single" w:sz="4" w:space="0" w:color="D9D9D9" w:themeColor="background1" w:themeShade="D9"/>
            <w:bottom w:val="single" w:sz="4" w:space="0" w:color="D9D9D9" w:themeColor="background1" w:themeShade="D9"/>
          </w:tcBorders>
        </w:tcPr>
        <w:p w14:paraId="307233E7" w14:textId="77777777" w:rsidR="00433293" w:rsidRPr="000E273B" w:rsidRDefault="00433293" w:rsidP="00433293">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283DE37C" w14:textId="55C819C8" w:rsidR="00433293" w:rsidRPr="000E273B" w:rsidRDefault="00433293" w:rsidP="00433293">
          <w:pPr>
            <w:rPr>
              <w:sz w:val="16"/>
              <w:szCs w:val="16"/>
              <w:highlight w:val="yellow"/>
            </w:rPr>
          </w:pPr>
          <w:proofErr w:type="spellStart"/>
          <w:r w:rsidRPr="00A108B8">
            <w:rPr>
              <w:sz w:val="16"/>
              <w:szCs w:val="16"/>
              <w:highlight w:val="yellow"/>
            </w:rPr>
            <w:t>Xx</w:t>
          </w:r>
          <w:proofErr w:type="spellEnd"/>
          <w:r w:rsidRPr="00A108B8">
            <w:rPr>
              <w:sz w:val="16"/>
              <w:szCs w:val="16"/>
              <w:highlight w:val="yellow"/>
            </w:rPr>
            <w:t>/xx/</w:t>
          </w:r>
          <w:proofErr w:type="spellStart"/>
          <w:r w:rsidRPr="00A108B8">
            <w:rPr>
              <w:sz w:val="16"/>
              <w:szCs w:val="16"/>
              <w:highlight w:val="yellow"/>
            </w:rPr>
            <w:t>xxxx</w:t>
          </w:r>
          <w:proofErr w:type="spellEnd"/>
        </w:p>
      </w:tc>
    </w:tr>
    <w:tr w:rsidR="000225A6" w:rsidRPr="00992A5E" w14:paraId="6FA07B33" w14:textId="77777777" w:rsidTr="4781129E">
      <w:tc>
        <w:tcPr>
          <w:tcW w:w="1418" w:type="dxa"/>
          <w:tcBorders>
            <w:top w:val="single" w:sz="4" w:space="0" w:color="D9D9D9" w:themeColor="background1" w:themeShade="D9"/>
            <w:bottom w:val="single" w:sz="4" w:space="0" w:color="D9D9D9" w:themeColor="background1" w:themeShade="D9"/>
          </w:tcBorders>
        </w:tcPr>
        <w:p w14:paraId="44363CFE" w14:textId="77777777" w:rsidR="000225A6" w:rsidRPr="000E273B" w:rsidRDefault="000225A6" w:rsidP="000225A6">
          <w:pPr>
            <w:rPr>
              <w:rFonts w:ascii="Open Sans" w:hAnsi="Open Sans" w:cs="Open Sans"/>
              <w:b/>
              <w:sz w:val="16"/>
            </w:rPr>
          </w:pPr>
          <w:r w:rsidRPr="000E273B">
            <w:rPr>
              <w:rFonts w:ascii="Open Sans" w:hAnsi="Open Sans" w:cs="Open Sans"/>
              <w:b/>
              <w:sz w:val="16"/>
            </w:rPr>
            <w:t>Approvazione</w:t>
          </w:r>
        </w:p>
      </w:tc>
      <w:tc>
        <w:tcPr>
          <w:tcW w:w="1134" w:type="dxa"/>
          <w:tcBorders>
            <w:top w:val="single" w:sz="4" w:space="0" w:color="D9D9D9" w:themeColor="background1" w:themeShade="D9"/>
            <w:bottom w:val="single" w:sz="4" w:space="0" w:color="D9D9D9" w:themeColor="background1" w:themeShade="D9"/>
          </w:tcBorders>
        </w:tcPr>
        <w:p w14:paraId="6FCEBB94" w14:textId="77777777" w:rsidR="000225A6" w:rsidRPr="000E273B" w:rsidRDefault="000225A6" w:rsidP="000225A6">
          <w:pPr>
            <w:rPr>
              <w:rFonts w:ascii="Open Sans" w:hAnsi="Open Sans" w:cs="Open Sans"/>
              <w:sz w:val="16"/>
            </w:rPr>
          </w:pPr>
          <w:r w:rsidRPr="000E273B">
            <w:rPr>
              <w:rFonts w:ascii="Open Sans" w:hAnsi="Open Sans" w:cs="Open Sans"/>
              <w:sz w:val="16"/>
            </w:rPr>
            <w:t>Approvatore:</w:t>
          </w:r>
        </w:p>
      </w:tc>
      <w:tc>
        <w:tcPr>
          <w:tcW w:w="5103" w:type="dxa"/>
          <w:gridSpan w:val="2"/>
          <w:tcBorders>
            <w:top w:val="single" w:sz="4" w:space="0" w:color="D9D9D9" w:themeColor="background1" w:themeShade="D9"/>
            <w:bottom w:val="single" w:sz="4" w:space="0" w:color="D9D9D9" w:themeColor="background1" w:themeShade="D9"/>
          </w:tcBorders>
        </w:tcPr>
        <w:p w14:paraId="227D8274" w14:textId="0A6C9CCA" w:rsidR="000225A6" w:rsidRPr="000E273B" w:rsidRDefault="000225A6" w:rsidP="000225A6">
          <w:pPr>
            <w:rPr>
              <w:rFonts w:ascii="Open Sans" w:hAnsi="Open Sans" w:cs="Open Sans"/>
              <w:sz w:val="16"/>
            </w:rPr>
          </w:pPr>
          <w:r>
            <w:rPr>
              <w:rFonts w:ascii="Open Sans" w:hAnsi="Open Sans" w:cs="Open Sans"/>
              <w:sz w:val="16"/>
            </w:rPr>
            <w:t>Marco Calzolari</w:t>
          </w:r>
        </w:p>
      </w:tc>
      <w:tc>
        <w:tcPr>
          <w:tcW w:w="567" w:type="dxa"/>
          <w:gridSpan w:val="2"/>
          <w:tcBorders>
            <w:top w:val="single" w:sz="4" w:space="0" w:color="D9D9D9" w:themeColor="background1" w:themeShade="D9"/>
            <w:bottom w:val="single" w:sz="4" w:space="0" w:color="D9D9D9" w:themeColor="background1" w:themeShade="D9"/>
          </w:tcBorders>
        </w:tcPr>
        <w:p w14:paraId="1E4C24BD" w14:textId="23AC4270" w:rsidR="000225A6" w:rsidRPr="000E273B" w:rsidRDefault="000225A6" w:rsidP="000225A6">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6A2A30D6" w14:textId="6D1C7FBD" w:rsidR="000225A6" w:rsidRPr="000E273B" w:rsidRDefault="000225A6" w:rsidP="000225A6">
          <w:pPr>
            <w:rPr>
              <w:rFonts w:ascii="Open Sans" w:hAnsi="Open Sans" w:cs="Open Sans"/>
              <w:sz w:val="16"/>
            </w:rPr>
          </w:pPr>
          <w:proofErr w:type="spellStart"/>
          <w:r w:rsidRPr="003015F3">
            <w:rPr>
              <w:sz w:val="16"/>
              <w:szCs w:val="16"/>
              <w:highlight w:val="yellow"/>
            </w:rPr>
            <w:t>Xx</w:t>
          </w:r>
          <w:proofErr w:type="spellEnd"/>
          <w:r w:rsidRPr="003015F3">
            <w:rPr>
              <w:sz w:val="16"/>
              <w:szCs w:val="16"/>
              <w:highlight w:val="yellow"/>
            </w:rPr>
            <w:t>/xx/</w:t>
          </w:r>
          <w:proofErr w:type="spellStart"/>
          <w:r w:rsidRPr="003015F3">
            <w:rPr>
              <w:sz w:val="16"/>
              <w:szCs w:val="16"/>
              <w:highlight w:val="yellow"/>
            </w:rPr>
            <w:t>xxxx</w:t>
          </w:r>
          <w:proofErr w:type="spellEnd"/>
        </w:p>
      </w:tc>
    </w:tr>
    <w:tr w:rsidR="00FC6C28" w:rsidRPr="000C2303" w14:paraId="5330DE5B" w14:textId="77777777" w:rsidTr="4781129E">
      <w:tc>
        <w:tcPr>
          <w:tcW w:w="1418" w:type="dxa"/>
          <w:tcBorders>
            <w:top w:val="single" w:sz="4" w:space="0" w:color="D9D9D9" w:themeColor="background1" w:themeShade="D9"/>
            <w:bottom w:val="single" w:sz="4" w:space="0" w:color="D9D9D9" w:themeColor="background1" w:themeShade="D9"/>
          </w:tcBorders>
        </w:tcPr>
        <w:p w14:paraId="7AA33E39" w14:textId="77777777" w:rsidR="00FC6C28" w:rsidRPr="000E273B" w:rsidRDefault="00FC6C28" w:rsidP="00C20E99">
          <w:pPr>
            <w:rPr>
              <w:rFonts w:ascii="Open Sans" w:hAnsi="Open Sans" w:cs="Open Sans"/>
              <w:b/>
              <w:sz w:val="16"/>
            </w:rPr>
          </w:pPr>
          <w:r w:rsidRPr="000E273B">
            <w:rPr>
              <w:rFonts w:ascii="Open Sans" w:hAnsi="Open Sans" w:cs="Open Sans"/>
              <w:b/>
              <w:sz w:val="16"/>
            </w:rPr>
            <w:t>Versione</w:t>
          </w:r>
        </w:p>
      </w:tc>
      <w:tc>
        <w:tcPr>
          <w:tcW w:w="4394" w:type="dxa"/>
          <w:gridSpan w:val="2"/>
          <w:tcBorders>
            <w:top w:val="single" w:sz="4" w:space="0" w:color="D9D9D9" w:themeColor="background1" w:themeShade="D9"/>
            <w:bottom w:val="single" w:sz="4" w:space="0" w:color="D9D9D9" w:themeColor="background1" w:themeShade="D9"/>
          </w:tcBorders>
        </w:tcPr>
        <w:p w14:paraId="639703B8" w14:textId="181A5612" w:rsidR="00FC6C28" w:rsidRPr="000E273B" w:rsidRDefault="00193E9C" w:rsidP="00C20E99">
          <w:pPr>
            <w:rPr>
              <w:rFonts w:ascii="Open Sans" w:hAnsi="Open Sans" w:cs="Open Sans"/>
              <w:sz w:val="16"/>
            </w:rPr>
          </w:pPr>
          <w:r>
            <w:rPr>
              <w:rFonts w:ascii="Open Sans" w:hAnsi="Open Sans" w:cs="Open Sans"/>
              <w:sz w:val="16"/>
            </w:rPr>
            <w:t>4</w:t>
          </w:r>
          <w:r w:rsidR="00F05804">
            <w:rPr>
              <w:rFonts w:ascii="Open Sans" w:hAnsi="Open Sans" w:cs="Open Sans"/>
              <w:sz w:val="16"/>
            </w:rPr>
            <w:t>.</w:t>
          </w:r>
          <w:r w:rsidR="002D5881">
            <w:rPr>
              <w:rFonts w:ascii="Open Sans" w:hAnsi="Open Sans" w:cs="Open Sans"/>
              <w:sz w:val="16"/>
            </w:rPr>
            <w:t>0</w:t>
          </w:r>
        </w:p>
      </w:tc>
      <w:tc>
        <w:tcPr>
          <w:tcW w:w="2410" w:type="dxa"/>
          <w:gridSpan w:val="3"/>
          <w:tcBorders>
            <w:top w:val="single" w:sz="4" w:space="0" w:color="D9D9D9" w:themeColor="background1" w:themeShade="D9"/>
            <w:bottom w:val="single" w:sz="4" w:space="0" w:color="D9D9D9" w:themeColor="background1" w:themeShade="D9"/>
            <w:right w:val="nil"/>
          </w:tcBorders>
        </w:tcPr>
        <w:p w14:paraId="3376A327" w14:textId="77777777" w:rsidR="00FC6C28" w:rsidRPr="000E273B" w:rsidRDefault="00FC6C28" w:rsidP="00C20E99">
          <w:pPr>
            <w:rPr>
              <w:rFonts w:ascii="Open Sans" w:hAnsi="Open Sans" w:cs="Open Sans"/>
              <w:sz w:val="16"/>
            </w:rPr>
          </w:pPr>
          <w:r w:rsidRPr="000E273B">
            <w:rPr>
              <w:rFonts w:ascii="Open Sans" w:hAnsi="Open Sans" w:cs="Open Sans"/>
              <w:b/>
              <w:sz w:val="16"/>
            </w:rPr>
            <w:t>Riservatezza</w:t>
          </w:r>
        </w:p>
      </w:tc>
      <w:tc>
        <w:tcPr>
          <w:tcW w:w="1416" w:type="dxa"/>
          <w:tcBorders>
            <w:top w:val="single" w:sz="4" w:space="0" w:color="D9D9D9" w:themeColor="background1" w:themeShade="D9"/>
            <w:left w:val="nil"/>
            <w:bottom w:val="single" w:sz="4" w:space="0" w:color="D9D9D9" w:themeColor="background1" w:themeShade="D9"/>
          </w:tcBorders>
        </w:tcPr>
        <w:p w14:paraId="695DEBED" w14:textId="73F92619" w:rsidR="00FC6C28" w:rsidRPr="000E273B" w:rsidRDefault="00A916FB" w:rsidP="00C20E99">
          <w:pPr>
            <w:rPr>
              <w:rFonts w:ascii="Open Sans" w:hAnsi="Open Sans" w:cs="Open Sans"/>
              <w:sz w:val="16"/>
            </w:rPr>
          </w:pPr>
          <w:r>
            <w:rPr>
              <w:rFonts w:ascii="Open Sans" w:hAnsi="Open Sans" w:cs="Open Sans"/>
              <w:sz w:val="16"/>
            </w:rPr>
            <w:t>Enti convenzionati</w:t>
          </w:r>
        </w:p>
      </w:tc>
    </w:tr>
    <w:tr w:rsidR="005101FD" w:rsidRPr="00992A5E" w14:paraId="495A5535" w14:textId="50064A5B" w:rsidTr="4781129E">
      <w:trPr>
        <w:trHeight w:val="264"/>
      </w:trPr>
      <w:tc>
        <w:tcPr>
          <w:tcW w:w="1418" w:type="dxa"/>
          <w:vMerge w:val="restart"/>
          <w:tcBorders>
            <w:top w:val="single" w:sz="4" w:space="0" w:color="D9D9D9" w:themeColor="background1" w:themeShade="D9"/>
          </w:tcBorders>
        </w:tcPr>
        <w:p w14:paraId="14CF1B2F" w14:textId="3E3E5E07" w:rsidR="005101FD" w:rsidRPr="000E273B" w:rsidRDefault="005101FD" w:rsidP="00C20E99">
          <w:pPr>
            <w:rPr>
              <w:rFonts w:ascii="Open Sans" w:hAnsi="Open Sans" w:cs="Open Sans"/>
              <w:sz w:val="16"/>
            </w:rPr>
          </w:pPr>
          <w:r>
            <w:rPr>
              <w:rFonts w:ascii="Open Sans" w:hAnsi="Open Sans" w:cs="Open Sans"/>
              <w:b/>
              <w:sz w:val="16"/>
            </w:rPr>
            <w:t>Lista di distribuzione</w:t>
          </w:r>
        </w:p>
      </w:tc>
      <w:tc>
        <w:tcPr>
          <w:tcW w:w="6285" w:type="dxa"/>
          <w:gridSpan w:val="4"/>
          <w:tcBorders>
            <w:top w:val="single" w:sz="4" w:space="0" w:color="D9D9D9" w:themeColor="background1" w:themeShade="D9"/>
            <w:bottom w:val="nil"/>
            <w:right w:val="nil"/>
          </w:tcBorders>
        </w:tcPr>
        <w:p w14:paraId="428026B9" w14:textId="4CFE55DB" w:rsidR="005101FD" w:rsidRPr="000E273B" w:rsidRDefault="005101FD" w:rsidP="00C20E99">
          <w:pPr>
            <w:rPr>
              <w:rFonts w:ascii="Open Sans" w:hAnsi="Open Sans" w:cs="Open Sans"/>
              <w:sz w:val="16"/>
            </w:rPr>
          </w:pPr>
          <w:r>
            <w:rPr>
              <w:rFonts w:ascii="Open Sans" w:hAnsi="Open Sans" w:cs="Open Sans"/>
              <w:sz w:val="16"/>
            </w:rPr>
            <w:t xml:space="preserve">Tutto il personale </w:t>
          </w:r>
          <w:proofErr w:type="spellStart"/>
          <w:r>
            <w:rPr>
              <w:rFonts w:ascii="Open Sans" w:hAnsi="Open Sans" w:cs="Open Sans"/>
              <w:sz w:val="16"/>
            </w:rPr>
            <w:t>ParER</w:t>
          </w:r>
          <w:proofErr w:type="spellEnd"/>
        </w:p>
      </w:tc>
      <w:tc>
        <w:tcPr>
          <w:tcW w:w="1935" w:type="dxa"/>
          <w:gridSpan w:val="2"/>
          <w:tcBorders>
            <w:top w:val="single" w:sz="4" w:space="0" w:color="D9D9D9" w:themeColor="background1" w:themeShade="D9"/>
            <w:left w:val="nil"/>
            <w:bottom w:val="nil"/>
          </w:tcBorders>
        </w:tcPr>
        <w:p w14:paraId="1C5F5ADB" w14:textId="77777777" w:rsidR="005101FD" w:rsidRPr="005101FD" w:rsidRDefault="005101FD" w:rsidP="00C20E99">
          <w:pPr>
            <w:rPr>
              <w:rFonts w:ascii="Open Sans" w:hAnsi="Open Sans" w:cs="Open Sans"/>
              <w:sz w:val="16"/>
              <w:szCs w:val="16"/>
            </w:rPr>
          </w:pPr>
        </w:p>
      </w:tc>
    </w:tr>
    <w:tr w:rsidR="005101FD" w:rsidRPr="00992A5E" w14:paraId="10647132" w14:textId="0FBD766E" w:rsidTr="4781129E">
      <w:trPr>
        <w:trHeight w:val="264"/>
      </w:trPr>
      <w:tc>
        <w:tcPr>
          <w:tcW w:w="1418" w:type="dxa"/>
          <w:vMerge/>
        </w:tcPr>
        <w:p w14:paraId="2983AF77" w14:textId="77777777" w:rsidR="005101FD" w:rsidRPr="000E273B" w:rsidRDefault="005101FD" w:rsidP="009033A5">
          <w:pPr>
            <w:rPr>
              <w:rFonts w:ascii="Open Sans" w:hAnsi="Open Sans" w:cs="Open Sans"/>
              <w:b/>
              <w:sz w:val="16"/>
            </w:rPr>
          </w:pPr>
        </w:p>
      </w:tc>
      <w:tc>
        <w:tcPr>
          <w:tcW w:w="6285" w:type="dxa"/>
          <w:gridSpan w:val="4"/>
          <w:tcBorders>
            <w:top w:val="nil"/>
            <w:bottom w:val="nil"/>
            <w:right w:val="nil"/>
          </w:tcBorders>
        </w:tcPr>
        <w:p w14:paraId="648D00CC" w14:textId="54307DF0" w:rsidR="005101FD" w:rsidRDefault="005101FD" w:rsidP="00663DF6"/>
      </w:tc>
      <w:tc>
        <w:tcPr>
          <w:tcW w:w="1935" w:type="dxa"/>
          <w:gridSpan w:val="2"/>
          <w:tcBorders>
            <w:top w:val="nil"/>
            <w:left w:val="nil"/>
            <w:bottom w:val="nil"/>
          </w:tcBorders>
        </w:tcPr>
        <w:p w14:paraId="727509FD" w14:textId="77777777" w:rsidR="005101FD" w:rsidRPr="005101FD" w:rsidRDefault="005101FD" w:rsidP="005101FD">
          <w:pPr>
            <w:rPr>
              <w:sz w:val="16"/>
              <w:szCs w:val="16"/>
            </w:rPr>
          </w:pPr>
        </w:p>
      </w:tc>
    </w:tr>
    <w:tr w:rsidR="005101FD" w:rsidRPr="00992A5E" w14:paraId="799CF8C8" w14:textId="07DEC522" w:rsidTr="4781129E">
      <w:trPr>
        <w:trHeight w:val="264"/>
      </w:trPr>
      <w:tc>
        <w:tcPr>
          <w:tcW w:w="1418" w:type="dxa"/>
          <w:tcBorders>
            <w:top w:val="nil"/>
            <w:bottom w:val="nil"/>
          </w:tcBorders>
        </w:tcPr>
        <w:p w14:paraId="785751E5" w14:textId="77777777" w:rsidR="005101FD" w:rsidRPr="000E273B" w:rsidRDefault="005101FD" w:rsidP="009033A5">
          <w:pPr>
            <w:rPr>
              <w:rFonts w:ascii="Open Sans" w:hAnsi="Open Sans" w:cs="Open Sans"/>
              <w:b/>
              <w:sz w:val="16"/>
            </w:rPr>
          </w:pPr>
        </w:p>
      </w:tc>
      <w:tc>
        <w:tcPr>
          <w:tcW w:w="6285" w:type="dxa"/>
          <w:gridSpan w:val="4"/>
          <w:tcBorders>
            <w:top w:val="nil"/>
            <w:bottom w:val="nil"/>
          </w:tcBorders>
        </w:tcPr>
        <w:p w14:paraId="60A01D9D" w14:textId="635C2FAF" w:rsidR="005101FD" w:rsidRDefault="005101FD" w:rsidP="009033A5"/>
      </w:tc>
      <w:tc>
        <w:tcPr>
          <w:tcW w:w="1935" w:type="dxa"/>
          <w:gridSpan w:val="2"/>
          <w:tcBorders>
            <w:top w:val="nil"/>
            <w:left w:val="nil"/>
            <w:bottom w:val="nil"/>
          </w:tcBorders>
        </w:tcPr>
        <w:p w14:paraId="083D6D2A" w14:textId="77777777" w:rsidR="005101FD" w:rsidRPr="005101FD" w:rsidRDefault="005101FD" w:rsidP="005101FD">
          <w:pPr>
            <w:rPr>
              <w:sz w:val="16"/>
              <w:szCs w:val="16"/>
            </w:rPr>
          </w:pPr>
        </w:p>
      </w:tc>
    </w:tr>
    <w:tr w:rsidR="005101FD" w:rsidRPr="00992A5E" w14:paraId="4CD632E5" w14:textId="3FF77809" w:rsidTr="4781129E">
      <w:trPr>
        <w:trHeight w:val="264"/>
      </w:trPr>
      <w:tc>
        <w:tcPr>
          <w:tcW w:w="1418" w:type="dxa"/>
          <w:tcBorders>
            <w:top w:val="nil"/>
            <w:bottom w:val="nil"/>
          </w:tcBorders>
        </w:tcPr>
        <w:p w14:paraId="16010E50" w14:textId="77777777" w:rsidR="005101FD" w:rsidRPr="000E273B" w:rsidRDefault="005101FD" w:rsidP="009033A5">
          <w:pPr>
            <w:rPr>
              <w:rFonts w:ascii="Open Sans" w:hAnsi="Open Sans" w:cs="Open Sans"/>
              <w:b/>
              <w:sz w:val="16"/>
            </w:rPr>
          </w:pPr>
        </w:p>
      </w:tc>
      <w:tc>
        <w:tcPr>
          <w:tcW w:w="6285" w:type="dxa"/>
          <w:gridSpan w:val="4"/>
          <w:tcBorders>
            <w:top w:val="nil"/>
            <w:bottom w:val="nil"/>
          </w:tcBorders>
        </w:tcPr>
        <w:p w14:paraId="20EA0533" w14:textId="629E420F" w:rsidR="005101FD" w:rsidRDefault="005101FD" w:rsidP="009033A5"/>
      </w:tc>
      <w:tc>
        <w:tcPr>
          <w:tcW w:w="1935" w:type="dxa"/>
          <w:gridSpan w:val="2"/>
          <w:tcBorders>
            <w:top w:val="nil"/>
            <w:left w:val="nil"/>
            <w:bottom w:val="nil"/>
          </w:tcBorders>
        </w:tcPr>
        <w:p w14:paraId="13C4B5AF" w14:textId="77777777" w:rsidR="005101FD" w:rsidRPr="005101FD" w:rsidRDefault="005101FD" w:rsidP="005101FD">
          <w:pPr>
            <w:rPr>
              <w:sz w:val="16"/>
              <w:szCs w:val="16"/>
            </w:rPr>
          </w:pPr>
        </w:p>
      </w:tc>
    </w:tr>
    <w:tr w:rsidR="005101FD" w:rsidRPr="00992A5E" w14:paraId="293A3C39" w14:textId="6A995E2C" w:rsidTr="4781129E">
      <w:trPr>
        <w:trHeight w:val="264"/>
      </w:trPr>
      <w:tc>
        <w:tcPr>
          <w:tcW w:w="1418" w:type="dxa"/>
          <w:tcBorders>
            <w:top w:val="nil"/>
            <w:bottom w:val="nil"/>
          </w:tcBorders>
        </w:tcPr>
        <w:p w14:paraId="506B4BF7" w14:textId="77777777" w:rsidR="005101FD" w:rsidRPr="000E273B" w:rsidRDefault="005101FD" w:rsidP="009033A5">
          <w:pPr>
            <w:rPr>
              <w:rFonts w:ascii="Open Sans" w:hAnsi="Open Sans" w:cs="Open Sans"/>
              <w:b/>
              <w:sz w:val="16"/>
            </w:rPr>
          </w:pPr>
        </w:p>
      </w:tc>
      <w:tc>
        <w:tcPr>
          <w:tcW w:w="6285" w:type="dxa"/>
          <w:gridSpan w:val="4"/>
          <w:tcBorders>
            <w:top w:val="nil"/>
            <w:bottom w:val="nil"/>
          </w:tcBorders>
        </w:tcPr>
        <w:p w14:paraId="31912B63" w14:textId="6C593275" w:rsidR="005101FD" w:rsidRDefault="005101FD" w:rsidP="009033A5"/>
      </w:tc>
      <w:tc>
        <w:tcPr>
          <w:tcW w:w="1935" w:type="dxa"/>
          <w:gridSpan w:val="2"/>
          <w:tcBorders>
            <w:top w:val="nil"/>
            <w:left w:val="nil"/>
            <w:bottom w:val="nil"/>
          </w:tcBorders>
        </w:tcPr>
        <w:p w14:paraId="18BEB80C" w14:textId="77777777" w:rsidR="005101FD" w:rsidRPr="005101FD" w:rsidRDefault="005101FD" w:rsidP="005101FD">
          <w:pPr>
            <w:rPr>
              <w:sz w:val="16"/>
              <w:szCs w:val="16"/>
            </w:rPr>
          </w:pPr>
        </w:p>
      </w:tc>
    </w:tr>
    <w:tr w:rsidR="005101FD" w:rsidRPr="00992A5E" w14:paraId="7FA1C873" w14:textId="7B4133A5" w:rsidTr="4781129E">
      <w:trPr>
        <w:trHeight w:val="264"/>
      </w:trPr>
      <w:tc>
        <w:tcPr>
          <w:tcW w:w="1418" w:type="dxa"/>
          <w:tcBorders>
            <w:top w:val="nil"/>
          </w:tcBorders>
        </w:tcPr>
        <w:p w14:paraId="5572DF82" w14:textId="77777777" w:rsidR="005101FD" w:rsidRPr="000E273B" w:rsidRDefault="005101FD" w:rsidP="00703D2B">
          <w:pPr>
            <w:rPr>
              <w:rFonts w:ascii="Open Sans" w:hAnsi="Open Sans" w:cs="Open Sans"/>
              <w:b/>
              <w:sz w:val="16"/>
            </w:rPr>
          </w:pPr>
        </w:p>
      </w:tc>
      <w:tc>
        <w:tcPr>
          <w:tcW w:w="6285" w:type="dxa"/>
          <w:gridSpan w:val="4"/>
          <w:tcBorders>
            <w:top w:val="nil"/>
          </w:tcBorders>
        </w:tcPr>
        <w:p w14:paraId="0CD26CBA" w14:textId="34F199C2" w:rsidR="005101FD" w:rsidRPr="00253090" w:rsidRDefault="005101FD" w:rsidP="00703D2B">
          <w:pPr>
            <w:rPr>
              <w:rFonts w:ascii="Open Sans" w:hAnsi="Open Sans" w:cs="Open Sans"/>
              <w:sz w:val="16"/>
            </w:rPr>
          </w:pPr>
        </w:p>
      </w:tc>
      <w:tc>
        <w:tcPr>
          <w:tcW w:w="1935" w:type="dxa"/>
          <w:gridSpan w:val="2"/>
          <w:tcBorders>
            <w:top w:val="nil"/>
            <w:left w:val="nil"/>
            <w:bottom w:val="nil"/>
          </w:tcBorders>
        </w:tcPr>
        <w:p w14:paraId="0F674531" w14:textId="33A466A4" w:rsidR="005101FD" w:rsidRPr="005101FD" w:rsidRDefault="005101FD" w:rsidP="005101FD">
          <w:pPr>
            <w:rPr>
              <w:rFonts w:ascii="Open Sans" w:hAnsi="Open Sans" w:cs="Open Sans"/>
              <w:sz w:val="16"/>
              <w:szCs w:val="16"/>
            </w:rPr>
          </w:pPr>
        </w:p>
      </w:tc>
    </w:tr>
  </w:tbl>
  <w:p w14:paraId="3A252695" w14:textId="77777777" w:rsidR="00992A5E" w:rsidRDefault="00992A5E" w:rsidP="00992A5E">
    <w:pPr>
      <w:pStyle w:val="Pidipagina"/>
      <w:jc w:val="center"/>
      <w:rPr>
        <w:sz w:val="16"/>
        <w:szCs w:val="16"/>
      </w:rPr>
    </w:pPr>
  </w:p>
  <w:p w14:paraId="3E45EDBB" w14:textId="77777777" w:rsidR="00CB2EAA" w:rsidRDefault="00CB2EAA" w:rsidP="006849E6">
    <w:pPr>
      <w:pStyle w:val="Pidipagina"/>
      <w:jc w:val="center"/>
      <w:rPr>
        <w:sz w:val="16"/>
        <w:szCs w:val="16"/>
      </w:rPr>
    </w:pPr>
  </w:p>
  <w:p w14:paraId="1BBE0357" w14:textId="77777777" w:rsidR="003152AD" w:rsidRDefault="003152AD" w:rsidP="006849E6">
    <w:pPr>
      <w:pStyle w:val="Pidipa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6A5E4" w14:textId="77777777" w:rsidR="00FE0A13" w:rsidRDefault="00FE0A13" w:rsidP="00154D3D">
      <w:pPr>
        <w:spacing w:after="0" w:line="240" w:lineRule="auto"/>
      </w:pPr>
      <w:r>
        <w:separator/>
      </w:r>
    </w:p>
  </w:footnote>
  <w:footnote w:type="continuationSeparator" w:id="0">
    <w:p w14:paraId="4B78D963" w14:textId="77777777" w:rsidR="00FE0A13" w:rsidRDefault="00FE0A13" w:rsidP="00154D3D">
      <w:pPr>
        <w:spacing w:after="0" w:line="240" w:lineRule="auto"/>
      </w:pPr>
      <w:r>
        <w:continuationSeparator/>
      </w:r>
    </w:p>
  </w:footnote>
  <w:footnote w:type="continuationNotice" w:id="1">
    <w:p w14:paraId="73FAA599" w14:textId="77777777" w:rsidR="00FE0A13" w:rsidRDefault="00FE0A13">
      <w:pPr>
        <w:spacing w:after="0" w:line="240" w:lineRule="auto"/>
      </w:pPr>
    </w:p>
  </w:footnote>
  <w:footnote w:id="2">
    <w:p w14:paraId="577C2668" w14:textId="51D8E7C3" w:rsidR="5AD882F2" w:rsidRDefault="5AD882F2" w:rsidP="5AD882F2">
      <w:pPr>
        <w:pStyle w:val="Testonotaapidipagina"/>
      </w:pPr>
      <w:r w:rsidRPr="5AD882F2">
        <w:rPr>
          <w:rStyle w:val="Rimandonotaapidipagina"/>
        </w:rPr>
        <w:footnoteRef/>
      </w:r>
      <w:r>
        <w:t xml:space="preserve"> Fino al 2014, nel rispetto della Delibera CNIPA 11/2004, sono stati creati i Volumi di conservazione, abbandonati definitivamente dal 2015 con la produzione degli Elenchi di versamento i cui </w:t>
      </w:r>
      <w:r w:rsidR="00FD5265">
        <w:t xml:space="preserve">i </w:t>
      </w:r>
      <w:r>
        <w:t>Sip sono soggetti ad una fase di elaborazione finalizzata alla creazione (o aggiornamento) dell’AIP delle corrispondenti Unità documentarie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D7592" w14:textId="77777777" w:rsidR="00270C82" w:rsidRPr="00270C82" w:rsidRDefault="00270C82" w:rsidP="00270C82">
    <w:pPr>
      <w:spacing w:after="0" w:line="240" w:lineRule="auto"/>
      <w:rPr>
        <w:sz w:val="24"/>
      </w:rPr>
    </w:pPr>
  </w:p>
  <w:p w14:paraId="522436C8" w14:textId="77777777" w:rsidR="00270C82" w:rsidRPr="00270C82" w:rsidRDefault="00270C82" w:rsidP="00270C82">
    <w:pPr>
      <w:spacing w:after="0" w:line="240" w:lineRule="auto"/>
      <w:rPr>
        <w:sz w:val="24"/>
      </w:rPr>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803"/>
    </w:tblGrid>
    <w:tr w:rsidR="006972F7" w:rsidRPr="00270C82" w14:paraId="45D7E135" w14:textId="77777777" w:rsidTr="4781129E">
      <w:tc>
        <w:tcPr>
          <w:tcW w:w="2835" w:type="dxa"/>
        </w:tcPr>
        <w:p w14:paraId="52568134" w14:textId="77777777" w:rsidR="006972F7" w:rsidRDefault="006972F7">
          <w:pPr>
            <w:pStyle w:val="Intestazione"/>
          </w:pPr>
          <w:r w:rsidRPr="006972F7">
            <w:rPr>
              <w:noProof/>
            </w:rPr>
            <w:drawing>
              <wp:inline distT="0" distB="0" distL="0" distR="0" wp14:anchorId="60E5F3AF" wp14:editId="70C26473">
                <wp:extent cx="1631950" cy="504587"/>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59" cy="513340"/>
                        </a:xfrm>
                        <a:prstGeom prst="rect">
                          <a:avLst/>
                        </a:prstGeom>
                        <a:noFill/>
                        <a:ln>
                          <a:noFill/>
                        </a:ln>
                      </pic:spPr>
                    </pic:pic>
                  </a:graphicData>
                </a:graphic>
              </wp:inline>
            </w:drawing>
          </w:r>
        </w:p>
      </w:tc>
      <w:tc>
        <w:tcPr>
          <w:tcW w:w="6803" w:type="dxa"/>
        </w:tcPr>
        <w:p w14:paraId="5BA78CF8" w14:textId="1328C618" w:rsidR="006972F7" w:rsidRPr="00270C82" w:rsidRDefault="000244CB" w:rsidP="00993BD7">
          <w:pPr>
            <w:pStyle w:val="Intestazione"/>
            <w:jc w:val="right"/>
            <w:rPr>
              <w:rFonts w:ascii="Arial Narrow" w:hAnsi="Arial Narrow"/>
              <w:sz w:val="20"/>
            </w:rPr>
          </w:pPr>
          <w:r>
            <w:rPr>
              <w:rFonts w:ascii="Arial Narrow" w:hAnsi="Arial Narrow"/>
              <w:sz w:val="20"/>
            </w:rPr>
            <w:t>PRO</w:t>
          </w:r>
          <w:r w:rsidR="00C03997">
            <w:rPr>
              <w:rFonts w:ascii="Arial Narrow" w:hAnsi="Arial Narrow"/>
              <w:sz w:val="20"/>
            </w:rPr>
            <w:t>CEDURA</w:t>
          </w:r>
        </w:p>
      </w:tc>
    </w:tr>
  </w:tbl>
  <w:p w14:paraId="05E7834D" w14:textId="77777777" w:rsidR="006972F7" w:rsidRDefault="006972F7">
    <w:pPr>
      <w:pStyle w:val="Intestazione"/>
    </w:pPr>
  </w:p>
  <w:p w14:paraId="1DA4DAAB" w14:textId="77777777" w:rsidR="00270C82" w:rsidRDefault="00270C82">
    <w:pPr>
      <w:pStyle w:val="Intestazione"/>
    </w:pPr>
  </w:p>
  <w:p w14:paraId="5865A6B7" w14:textId="77777777" w:rsidR="006972F7" w:rsidRDefault="006972F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4781129E" w14:paraId="73E0F343" w14:textId="77777777" w:rsidTr="4781129E">
      <w:tc>
        <w:tcPr>
          <w:tcW w:w="3213" w:type="dxa"/>
        </w:tcPr>
        <w:p w14:paraId="1C979AD0" w14:textId="5A18369F" w:rsidR="4781129E" w:rsidRDefault="4781129E" w:rsidP="4781129E">
          <w:pPr>
            <w:pStyle w:val="Intestazione"/>
            <w:ind w:left="-115"/>
          </w:pPr>
        </w:p>
      </w:tc>
      <w:tc>
        <w:tcPr>
          <w:tcW w:w="3213" w:type="dxa"/>
        </w:tcPr>
        <w:p w14:paraId="78DEDD5B" w14:textId="350532BF" w:rsidR="4781129E" w:rsidRDefault="4781129E" w:rsidP="4781129E">
          <w:pPr>
            <w:pStyle w:val="Intestazione"/>
            <w:jc w:val="center"/>
          </w:pPr>
        </w:p>
      </w:tc>
      <w:tc>
        <w:tcPr>
          <w:tcW w:w="3213" w:type="dxa"/>
        </w:tcPr>
        <w:p w14:paraId="023D39A4" w14:textId="126DCDE8" w:rsidR="4781129E" w:rsidRDefault="4781129E" w:rsidP="4781129E">
          <w:pPr>
            <w:pStyle w:val="Intestazione"/>
            <w:ind w:right="-115"/>
            <w:jc w:val="right"/>
          </w:pPr>
        </w:p>
      </w:tc>
    </w:tr>
  </w:tbl>
  <w:p w14:paraId="7495FD8A" w14:textId="1E24697C" w:rsidR="4781129E" w:rsidRDefault="4781129E" w:rsidP="4781129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DF9"/>
    <w:multiLevelType w:val="hybridMultilevel"/>
    <w:tmpl w:val="7C1CD3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04780D"/>
    <w:multiLevelType w:val="hybridMultilevel"/>
    <w:tmpl w:val="EB76D3EC"/>
    <w:lvl w:ilvl="0" w:tplc="53880BBE">
      <w:start w:val="1"/>
      <w:numFmt w:val="bullet"/>
      <w:lvlText w:val="-"/>
      <w:lvlJc w:val="left"/>
      <w:pPr>
        <w:ind w:left="720" w:hanging="360"/>
      </w:pPr>
      <w:rPr>
        <w:rFonts w:ascii="Verdana" w:eastAsia="Times New Roman" w:hAnsi="Verdana" w:cs="Times New Roman"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DE2439"/>
    <w:multiLevelType w:val="hybridMultilevel"/>
    <w:tmpl w:val="FFFFFFFF"/>
    <w:lvl w:ilvl="0" w:tplc="C340275A">
      <w:start w:val="1"/>
      <w:numFmt w:val="bullet"/>
      <w:lvlText w:val=""/>
      <w:lvlJc w:val="left"/>
      <w:pPr>
        <w:ind w:left="720" w:hanging="360"/>
      </w:pPr>
      <w:rPr>
        <w:rFonts w:ascii="Symbol" w:hAnsi="Symbol" w:hint="default"/>
      </w:rPr>
    </w:lvl>
    <w:lvl w:ilvl="1" w:tplc="FD1234FA">
      <w:start w:val="1"/>
      <w:numFmt w:val="bullet"/>
      <w:lvlText w:val="o"/>
      <w:lvlJc w:val="left"/>
      <w:pPr>
        <w:ind w:left="1440" w:hanging="360"/>
      </w:pPr>
      <w:rPr>
        <w:rFonts w:ascii="Courier New" w:hAnsi="Courier New" w:hint="default"/>
      </w:rPr>
    </w:lvl>
    <w:lvl w:ilvl="2" w:tplc="A1B885A0">
      <w:start w:val="1"/>
      <w:numFmt w:val="bullet"/>
      <w:lvlText w:val=""/>
      <w:lvlJc w:val="left"/>
      <w:pPr>
        <w:ind w:left="2160" w:hanging="360"/>
      </w:pPr>
      <w:rPr>
        <w:rFonts w:ascii="Wingdings" w:hAnsi="Wingdings" w:hint="default"/>
      </w:rPr>
    </w:lvl>
    <w:lvl w:ilvl="3" w:tplc="BDDC1352">
      <w:start w:val="1"/>
      <w:numFmt w:val="bullet"/>
      <w:lvlText w:val=""/>
      <w:lvlJc w:val="left"/>
      <w:pPr>
        <w:ind w:left="2880" w:hanging="360"/>
      </w:pPr>
      <w:rPr>
        <w:rFonts w:ascii="Symbol" w:hAnsi="Symbol" w:hint="default"/>
      </w:rPr>
    </w:lvl>
    <w:lvl w:ilvl="4" w:tplc="B7F4AFA0">
      <w:start w:val="1"/>
      <w:numFmt w:val="bullet"/>
      <w:lvlText w:val="o"/>
      <w:lvlJc w:val="left"/>
      <w:pPr>
        <w:ind w:left="3600" w:hanging="360"/>
      </w:pPr>
      <w:rPr>
        <w:rFonts w:ascii="Courier New" w:hAnsi="Courier New" w:hint="default"/>
      </w:rPr>
    </w:lvl>
    <w:lvl w:ilvl="5" w:tplc="20526E1A">
      <w:start w:val="1"/>
      <w:numFmt w:val="bullet"/>
      <w:lvlText w:val=""/>
      <w:lvlJc w:val="left"/>
      <w:pPr>
        <w:ind w:left="4320" w:hanging="360"/>
      </w:pPr>
      <w:rPr>
        <w:rFonts w:ascii="Wingdings" w:hAnsi="Wingdings" w:hint="default"/>
      </w:rPr>
    </w:lvl>
    <w:lvl w:ilvl="6" w:tplc="42E4A2F0">
      <w:start w:val="1"/>
      <w:numFmt w:val="bullet"/>
      <w:lvlText w:val=""/>
      <w:lvlJc w:val="left"/>
      <w:pPr>
        <w:ind w:left="5040" w:hanging="360"/>
      </w:pPr>
      <w:rPr>
        <w:rFonts w:ascii="Symbol" w:hAnsi="Symbol" w:hint="default"/>
      </w:rPr>
    </w:lvl>
    <w:lvl w:ilvl="7" w:tplc="5C2CA014">
      <w:start w:val="1"/>
      <w:numFmt w:val="bullet"/>
      <w:lvlText w:val="o"/>
      <w:lvlJc w:val="left"/>
      <w:pPr>
        <w:ind w:left="5760" w:hanging="360"/>
      </w:pPr>
      <w:rPr>
        <w:rFonts w:ascii="Courier New" w:hAnsi="Courier New" w:hint="default"/>
      </w:rPr>
    </w:lvl>
    <w:lvl w:ilvl="8" w:tplc="85A69048">
      <w:start w:val="1"/>
      <w:numFmt w:val="bullet"/>
      <w:lvlText w:val=""/>
      <w:lvlJc w:val="left"/>
      <w:pPr>
        <w:ind w:left="6480" w:hanging="360"/>
      </w:pPr>
      <w:rPr>
        <w:rFonts w:ascii="Wingdings" w:hAnsi="Wingdings" w:hint="default"/>
      </w:rPr>
    </w:lvl>
  </w:abstractNum>
  <w:abstractNum w:abstractNumId="3" w15:restartNumberingAfterBreak="0">
    <w:nsid w:val="2EE12E9C"/>
    <w:multiLevelType w:val="hybridMultilevel"/>
    <w:tmpl w:val="7FDA2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7D0156"/>
    <w:multiLevelType w:val="hybridMultilevel"/>
    <w:tmpl w:val="AFE44F64"/>
    <w:lvl w:ilvl="0" w:tplc="BAF844E2">
      <w:numFmt w:val="bullet"/>
      <w:lvlText w:val="•"/>
      <w:lvlJc w:val="left"/>
      <w:pPr>
        <w:ind w:left="1070" w:hanging="710"/>
      </w:pPr>
      <w:rPr>
        <w:rFonts w:ascii="Open Sans" w:eastAsiaTheme="minorHAnsi" w:hAnsi="Open Sans" w:cs="Open Sans" w:hint="default"/>
      </w:rPr>
    </w:lvl>
    <w:lvl w:ilvl="1" w:tplc="3D60F464">
      <w:numFmt w:val="bullet"/>
      <w:lvlText w:val=""/>
      <w:lvlJc w:val="left"/>
      <w:pPr>
        <w:ind w:left="1790" w:hanging="710"/>
      </w:pPr>
      <w:rPr>
        <w:rFonts w:ascii="Symbol" w:eastAsiaTheme="minorHAnsi" w:hAnsi="Symbol" w:cs="Open San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241520"/>
    <w:multiLevelType w:val="hybridMultilevel"/>
    <w:tmpl w:val="58D67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F35219"/>
    <w:multiLevelType w:val="hybridMultilevel"/>
    <w:tmpl w:val="D0721CE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C1BBD"/>
    <w:multiLevelType w:val="hybridMultilevel"/>
    <w:tmpl w:val="A16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5F2AB6"/>
    <w:multiLevelType w:val="hybridMultilevel"/>
    <w:tmpl w:val="870A0A3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893A07"/>
    <w:multiLevelType w:val="hybridMultilevel"/>
    <w:tmpl w:val="C0AADE4C"/>
    <w:lvl w:ilvl="0" w:tplc="BAF844E2">
      <w:numFmt w:val="bullet"/>
      <w:lvlText w:val="•"/>
      <w:lvlJc w:val="left"/>
      <w:pPr>
        <w:ind w:left="710" w:hanging="710"/>
      </w:pPr>
      <w:rPr>
        <w:rFonts w:ascii="Open Sans" w:eastAsiaTheme="minorHAnsi" w:hAnsi="Open Sans" w:cs="Open San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B3010B4"/>
    <w:multiLevelType w:val="hybridMultilevel"/>
    <w:tmpl w:val="1ABC1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396BB1"/>
    <w:multiLevelType w:val="hybridMultilevel"/>
    <w:tmpl w:val="53903B64"/>
    <w:lvl w:ilvl="0" w:tplc="D4AA27BE">
      <w:start w:val="1"/>
      <w:numFmt w:val="bullet"/>
      <w:lvlText w:val=""/>
      <w:lvlJc w:val="left"/>
      <w:pPr>
        <w:ind w:left="720" w:hanging="360"/>
      </w:pPr>
      <w:rPr>
        <w:rFonts w:ascii="Symbol" w:hAnsi="Symbol" w:hint="default"/>
      </w:rPr>
    </w:lvl>
    <w:lvl w:ilvl="1" w:tplc="2AF670C4">
      <w:start w:val="1"/>
      <w:numFmt w:val="bullet"/>
      <w:lvlText w:val="o"/>
      <w:lvlJc w:val="left"/>
      <w:pPr>
        <w:ind w:left="1440" w:hanging="360"/>
      </w:pPr>
      <w:rPr>
        <w:rFonts w:ascii="Courier New" w:hAnsi="Courier New" w:hint="default"/>
      </w:rPr>
    </w:lvl>
    <w:lvl w:ilvl="2" w:tplc="9208D39A">
      <w:start w:val="1"/>
      <w:numFmt w:val="bullet"/>
      <w:lvlText w:val=""/>
      <w:lvlJc w:val="left"/>
      <w:pPr>
        <w:ind w:left="2160" w:hanging="360"/>
      </w:pPr>
      <w:rPr>
        <w:rFonts w:ascii="Wingdings" w:hAnsi="Wingdings" w:hint="default"/>
      </w:rPr>
    </w:lvl>
    <w:lvl w:ilvl="3" w:tplc="42BEC196">
      <w:start w:val="1"/>
      <w:numFmt w:val="bullet"/>
      <w:lvlText w:val=""/>
      <w:lvlJc w:val="left"/>
      <w:pPr>
        <w:ind w:left="2880" w:hanging="360"/>
      </w:pPr>
      <w:rPr>
        <w:rFonts w:ascii="Symbol" w:hAnsi="Symbol" w:hint="default"/>
      </w:rPr>
    </w:lvl>
    <w:lvl w:ilvl="4" w:tplc="505A15A6">
      <w:start w:val="1"/>
      <w:numFmt w:val="bullet"/>
      <w:lvlText w:val="o"/>
      <w:lvlJc w:val="left"/>
      <w:pPr>
        <w:ind w:left="3600" w:hanging="360"/>
      </w:pPr>
      <w:rPr>
        <w:rFonts w:ascii="Courier New" w:hAnsi="Courier New" w:hint="default"/>
      </w:rPr>
    </w:lvl>
    <w:lvl w:ilvl="5" w:tplc="FBB60322">
      <w:start w:val="1"/>
      <w:numFmt w:val="bullet"/>
      <w:lvlText w:val=""/>
      <w:lvlJc w:val="left"/>
      <w:pPr>
        <w:ind w:left="4320" w:hanging="360"/>
      </w:pPr>
      <w:rPr>
        <w:rFonts w:ascii="Wingdings" w:hAnsi="Wingdings" w:hint="default"/>
      </w:rPr>
    </w:lvl>
    <w:lvl w:ilvl="6" w:tplc="6FAA3D04">
      <w:start w:val="1"/>
      <w:numFmt w:val="bullet"/>
      <w:lvlText w:val=""/>
      <w:lvlJc w:val="left"/>
      <w:pPr>
        <w:ind w:left="5040" w:hanging="360"/>
      </w:pPr>
      <w:rPr>
        <w:rFonts w:ascii="Symbol" w:hAnsi="Symbol" w:hint="default"/>
      </w:rPr>
    </w:lvl>
    <w:lvl w:ilvl="7" w:tplc="3FCCEE02">
      <w:start w:val="1"/>
      <w:numFmt w:val="bullet"/>
      <w:lvlText w:val="o"/>
      <w:lvlJc w:val="left"/>
      <w:pPr>
        <w:ind w:left="5760" w:hanging="360"/>
      </w:pPr>
      <w:rPr>
        <w:rFonts w:ascii="Courier New" w:hAnsi="Courier New" w:hint="default"/>
      </w:rPr>
    </w:lvl>
    <w:lvl w:ilvl="8" w:tplc="895892C8">
      <w:start w:val="1"/>
      <w:numFmt w:val="bullet"/>
      <w:lvlText w:val=""/>
      <w:lvlJc w:val="left"/>
      <w:pPr>
        <w:ind w:left="6480" w:hanging="360"/>
      </w:pPr>
      <w:rPr>
        <w:rFonts w:ascii="Wingdings" w:hAnsi="Wingdings" w:hint="default"/>
      </w:rPr>
    </w:lvl>
  </w:abstractNum>
  <w:abstractNum w:abstractNumId="12" w15:restartNumberingAfterBreak="0">
    <w:nsid w:val="7BD60E7A"/>
    <w:multiLevelType w:val="hybridMultilevel"/>
    <w:tmpl w:val="0F9EA6F8"/>
    <w:lvl w:ilvl="0" w:tplc="FFFFFFFF">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4"/>
  </w:num>
  <w:num w:numId="5">
    <w:abstractNumId w:val="9"/>
  </w:num>
  <w:num w:numId="6">
    <w:abstractNumId w:val="0"/>
  </w:num>
  <w:num w:numId="7">
    <w:abstractNumId w:val="12"/>
  </w:num>
  <w:num w:numId="8">
    <w:abstractNumId w:val="5"/>
  </w:num>
  <w:num w:numId="9">
    <w:abstractNumId w:val="1"/>
  </w:num>
  <w:num w:numId="10">
    <w:abstractNumId w:val="12"/>
  </w:num>
  <w:num w:numId="11">
    <w:abstractNumId w:val="11"/>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7"/>
    <w:rsid w:val="00002E9A"/>
    <w:rsid w:val="000225A6"/>
    <w:rsid w:val="00022794"/>
    <w:rsid w:val="000244CB"/>
    <w:rsid w:val="00045F86"/>
    <w:rsid w:val="00046BC2"/>
    <w:rsid w:val="00053D10"/>
    <w:rsid w:val="00065FB4"/>
    <w:rsid w:val="000716FD"/>
    <w:rsid w:val="000860FA"/>
    <w:rsid w:val="00097921"/>
    <w:rsid w:val="000A5644"/>
    <w:rsid w:val="000A7ED7"/>
    <w:rsid w:val="000C2303"/>
    <w:rsid w:val="000D18BB"/>
    <w:rsid w:val="000D50BA"/>
    <w:rsid w:val="000E273B"/>
    <w:rsid w:val="000E653E"/>
    <w:rsid w:val="000F2358"/>
    <w:rsid w:val="000F5C67"/>
    <w:rsid w:val="00102E5F"/>
    <w:rsid w:val="0010730B"/>
    <w:rsid w:val="00127708"/>
    <w:rsid w:val="00130B85"/>
    <w:rsid w:val="00154799"/>
    <w:rsid w:val="00154D3D"/>
    <w:rsid w:val="00193E9C"/>
    <w:rsid w:val="001B38A7"/>
    <w:rsid w:val="001E6B06"/>
    <w:rsid w:val="001F3D55"/>
    <w:rsid w:val="002050DE"/>
    <w:rsid w:val="002210EB"/>
    <w:rsid w:val="00263955"/>
    <w:rsid w:val="00270C82"/>
    <w:rsid w:val="00273EF4"/>
    <w:rsid w:val="00294DF7"/>
    <w:rsid w:val="002A5C65"/>
    <w:rsid w:val="002C7B83"/>
    <w:rsid w:val="002D5881"/>
    <w:rsid w:val="002E0586"/>
    <w:rsid w:val="002E1EC9"/>
    <w:rsid w:val="002E6BA3"/>
    <w:rsid w:val="002F5E6B"/>
    <w:rsid w:val="00313626"/>
    <w:rsid w:val="003152AD"/>
    <w:rsid w:val="00322269"/>
    <w:rsid w:val="00331918"/>
    <w:rsid w:val="003427EF"/>
    <w:rsid w:val="00352DB8"/>
    <w:rsid w:val="00356C88"/>
    <w:rsid w:val="00367ADC"/>
    <w:rsid w:val="00373977"/>
    <w:rsid w:val="00376AF9"/>
    <w:rsid w:val="00380360"/>
    <w:rsid w:val="003A17D3"/>
    <w:rsid w:val="003B062B"/>
    <w:rsid w:val="003B3D4C"/>
    <w:rsid w:val="003C2064"/>
    <w:rsid w:val="003C2469"/>
    <w:rsid w:val="003F186B"/>
    <w:rsid w:val="00403731"/>
    <w:rsid w:val="00403E0E"/>
    <w:rsid w:val="004223D6"/>
    <w:rsid w:val="00432337"/>
    <w:rsid w:val="00433293"/>
    <w:rsid w:val="00450918"/>
    <w:rsid w:val="00454EB7"/>
    <w:rsid w:val="0048619D"/>
    <w:rsid w:val="004870E1"/>
    <w:rsid w:val="004928C5"/>
    <w:rsid w:val="004A7264"/>
    <w:rsid w:val="004A7D49"/>
    <w:rsid w:val="004B3678"/>
    <w:rsid w:val="004B58BE"/>
    <w:rsid w:val="004C3A2F"/>
    <w:rsid w:val="004C69D6"/>
    <w:rsid w:val="005101FD"/>
    <w:rsid w:val="005106E5"/>
    <w:rsid w:val="00520057"/>
    <w:rsid w:val="0052081A"/>
    <w:rsid w:val="005325AE"/>
    <w:rsid w:val="00565E1F"/>
    <w:rsid w:val="0057052B"/>
    <w:rsid w:val="00570CEC"/>
    <w:rsid w:val="00573B59"/>
    <w:rsid w:val="00577318"/>
    <w:rsid w:val="00587798"/>
    <w:rsid w:val="005C01AF"/>
    <w:rsid w:val="005C5C4C"/>
    <w:rsid w:val="005D2D5D"/>
    <w:rsid w:val="005D74F6"/>
    <w:rsid w:val="005E6DC1"/>
    <w:rsid w:val="00622848"/>
    <w:rsid w:val="00622F0C"/>
    <w:rsid w:val="006317FA"/>
    <w:rsid w:val="00634688"/>
    <w:rsid w:val="006350EC"/>
    <w:rsid w:val="00636969"/>
    <w:rsid w:val="00643B83"/>
    <w:rsid w:val="00652314"/>
    <w:rsid w:val="00653FBD"/>
    <w:rsid w:val="00657DBC"/>
    <w:rsid w:val="00663DF6"/>
    <w:rsid w:val="00664BC0"/>
    <w:rsid w:val="00674767"/>
    <w:rsid w:val="00681304"/>
    <w:rsid w:val="006832D8"/>
    <w:rsid w:val="00684415"/>
    <w:rsid w:val="006849E6"/>
    <w:rsid w:val="006972F7"/>
    <w:rsid w:val="006A1B32"/>
    <w:rsid w:val="006B2E9D"/>
    <w:rsid w:val="006C3BFC"/>
    <w:rsid w:val="006D3D0C"/>
    <w:rsid w:val="006D4CC2"/>
    <w:rsid w:val="006E3D4C"/>
    <w:rsid w:val="006F02EA"/>
    <w:rsid w:val="00702BC3"/>
    <w:rsid w:val="00703D2B"/>
    <w:rsid w:val="0073024E"/>
    <w:rsid w:val="00741F40"/>
    <w:rsid w:val="00747711"/>
    <w:rsid w:val="00762F3C"/>
    <w:rsid w:val="007646AD"/>
    <w:rsid w:val="00765754"/>
    <w:rsid w:val="0076756C"/>
    <w:rsid w:val="00785B67"/>
    <w:rsid w:val="00786A35"/>
    <w:rsid w:val="00791695"/>
    <w:rsid w:val="007C1072"/>
    <w:rsid w:val="007C51BD"/>
    <w:rsid w:val="007C64C9"/>
    <w:rsid w:val="007D3FDB"/>
    <w:rsid w:val="008040C1"/>
    <w:rsid w:val="00816E17"/>
    <w:rsid w:val="00827484"/>
    <w:rsid w:val="00831D57"/>
    <w:rsid w:val="00841B2D"/>
    <w:rsid w:val="00845DE4"/>
    <w:rsid w:val="00845F8E"/>
    <w:rsid w:val="008572C0"/>
    <w:rsid w:val="008626DB"/>
    <w:rsid w:val="0086606F"/>
    <w:rsid w:val="00874643"/>
    <w:rsid w:val="00874F93"/>
    <w:rsid w:val="00876C97"/>
    <w:rsid w:val="008C4E9B"/>
    <w:rsid w:val="008D0947"/>
    <w:rsid w:val="008D79C9"/>
    <w:rsid w:val="008E086D"/>
    <w:rsid w:val="008E552F"/>
    <w:rsid w:val="008F4CEF"/>
    <w:rsid w:val="009033A5"/>
    <w:rsid w:val="009357BA"/>
    <w:rsid w:val="00935C3E"/>
    <w:rsid w:val="0093624C"/>
    <w:rsid w:val="00937542"/>
    <w:rsid w:val="00941825"/>
    <w:rsid w:val="009426B2"/>
    <w:rsid w:val="00961888"/>
    <w:rsid w:val="00984C6D"/>
    <w:rsid w:val="00985BF4"/>
    <w:rsid w:val="00992114"/>
    <w:rsid w:val="00992A5E"/>
    <w:rsid w:val="00993BD7"/>
    <w:rsid w:val="009A7E1E"/>
    <w:rsid w:val="009B62B8"/>
    <w:rsid w:val="009C5036"/>
    <w:rsid w:val="009D0830"/>
    <w:rsid w:val="009E4BA7"/>
    <w:rsid w:val="009F45C0"/>
    <w:rsid w:val="00A057A4"/>
    <w:rsid w:val="00A1288D"/>
    <w:rsid w:val="00A134E5"/>
    <w:rsid w:val="00A44834"/>
    <w:rsid w:val="00A66998"/>
    <w:rsid w:val="00A8057E"/>
    <w:rsid w:val="00A81507"/>
    <w:rsid w:val="00A874F8"/>
    <w:rsid w:val="00A916FB"/>
    <w:rsid w:val="00AA1161"/>
    <w:rsid w:val="00AA303E"/>
    <w:rsid w:val="00AA5D3D"/>
    <w:rsid w:val="00AC7804"/>
    <w:rsid w:val="00AE6A46"/>
    <w:rsid w:val="00AF40AA"/>
    <w:rsid w:val="00B12E5E"/>
    <w:rsid w:val="00B22BCB"/>
    <w:rsid w:val="00B31A34"/>
    <w:rsid w:val="00B338F6"/>
    <w:rsid w:val="00B413C7"/>
    <w:rsid w:val="00B56A0B"/>
    <w:rsid w:val="00B63EFB"/>
    <w:rsid w:val="00B700F0"/>
    <w:rsid w:val="00B82447"/>
    <w:rsid w:val="00B865C9"/>
    <w:rsid w:val="00B93E42"/>
    <w:rsid w:val="00BA11D3"/>
    <w:rsid w:val="00BB1E96"/>
    <w:rsid w:val="00BB4377"/>
    <w:rsid w:val="00BC6FC8"/>
    <w:rsid w:val="00BD1A6E"/>
    <w:rsid w:val="00BE03B7"/>
    <w:rsid w:val="00BE7F02"/>
    <w:rsid w:val="00BF1FA1"/>
    <w:rsid w:val="00C01F9F"/>
    <w:rsid w:val="00C03997"/>
    <w:rsid w:val="00C07B87"/>
    <w:rsid w:val="00C107C7"/>
    <w:rsid w:val="00C20E99"/>
    <w:rsid w:val="00C231AD"/>
    <w:rsid w:val="00C23368"/>
    <w:rsid w:val="00C30569"/>
    <w:rsid w:val="00C3574E"/>
    <w:rsid w:val="00C37CED"/>
    <w:rsid w:val="00C402CE"/>
    <w:rsid w:val="00C44909"/>
    <w:rsid w:val="00C54BF4"/>
    <w:rsid w:val="00C62A94"/>
    <w:rsid w:val="00C8519C"/>
    <w:rsid w:val="00CA04CC"/>
    <w:rsid w:val="00CA3634"/>
    <w:rsid w:val="00CA4EA4"/>
    <w:rsid w:val="00CB2EAA"/>
    <w:rsid w:val="00CC3705"/>
    <w:rsid w:val="00CC4A0E"/>
    <w:rsid w:val="00CE1255"/>
    <w:rsid w:val="00CF1FA7"/>
    <w:rsid w:val="00D0321E"/>
    <w:rsid w:val="00D04D57"/>
    <w:rsid w:val="00D105E5"/>
    <w:rsid w:val="00D11135"/>
    <w:rsid w:val="00D1369F"/>
    <w:rsid w:val="00D20CCC"/>
    <w:rsid w:val="00D22CB3"/>
    <w:rsid w:val="00D2311C"/>
    <w:rsid w:val="00D30B6A"/>
    <w:rsid w:val="00D40DF3"/>
    <w:rsid w:val="00D42D90"/>
    <w:rsid w:val="00D622BC"/>
    <w:rsid w:val="00D74413"/>
    <w:rsid w:val="00D8359D"/>
    <w:rsid w:val="00D848F0"/>
    <w:rsid w:val="00D86A45"/>
    <w:rsid w:val="00D9033E"/>
    <w:rsid w:val="00D97923"/>
    <w:rsid w:val="00DA5A17"/>
    <w:rsid w:val="00DB0C9A"/>
    <w:rsid w:val="00DB34BA"/>
    <w:rsid w:val="00DB4DF7"/>
    <w:rsid w:val="00DB69F3"/>
    <w:rsid w:val="00DC48DF"/>
    <w:rsid w:val="00DD05AB"/>
    <w:rsid w:val="00DE0D71"/>
    <w:rsid w:val="00DE4AA1"/>
    <w:rsid w:val="00DF119A"/>
    <w:rsid w:val="00DF13D1"/>
    <w:rsid w:val="00DF14F4"/>
    <w:rsid w:val="00E00531"/>
    <w:rsid w:val="00E01787"/>
    <w:rsid w:val="00E359E0"/>
    <w:rsid w:val="00E45DAE"/>
    <w:rsid w:val="00E46DB9"/>
    <w:rsid w:val="00E53169"/>
    <w:rsid w:val="00E544C1"/>
    <w:rsid w:val="00E7534F"/>
    <w:rsid w:val="00E86607"/>
    <w:rsid w:val="00EA10B8"/>
    <w:rsid w:val="00EA3266"/>
    <w:rsid w:val="00EC15E9"/>
    <w:rsid w:val="00EC5325"/>
    <w:rsid w:val="00EE3689"/>
    <w:rsid w:val="00EE4400"/>
    <w:rsid w:val="00EF71E2"/>
    <w:rsid w:val="00F044DC"/>
    <w:rsid w:val="00F05804"/>
    <w:rsid w:val="00F13EBD"/>
    <w:rsid w:val="00F1748E"/>
    <w:rsid w:val="00F54717"/>
    <w:rsid w:val="00F767D4"/>
    <w:rsid w:val="00F8196A"/>
    <w:rsid w:val="00F83D06"/>
    <w:rsid w:val="00F92BFC"/>
    <w:rsid w:val="00FA3566"/>
    <w:rsid w:val="00FC1639"/>
    <w:rsid w:val="00FC6BCF"/>
    <w:rsid w:val="00FC6C28"/>
    <w:rsid w:val="00FD1DDE"/>
    <w:rsid w:val="00FD5265"/>
    <w:rsid w:val="00FE0A13"/>
    <w:rsid w:val="00FE0C44"/>
    <w:rsid w:val="00FE193E"/>
    <w:rsid w:val="00FE36B4"/>
    <w:rsid w:val="019DDFA3"/>
    <w:rsid w:val="01FC3014"/>
    <w:rsid w:val="04EF54B9"/>
    <w:rsid w:val="04F1AFCB"/>
    <w:rsid w:val="04FF1AFD"/>
    <w:rsid w:val="0668E85C"/>
    <w:rsid w:val="070B13B8"/>
    <w:rsid w:val="07ACB1F3"/>
    <w:rsid w:val="080CAA60"/>
    <w:rsid w:val="094472A2"/>
    <w:rsid w:val="09915057"/>
    <w:rsid w:val="09B966E1"/>
    <w:rsid w:val="0A3500EB"/>
    <w:rsid w:val="0AB6D6B4"/>
    <w:rsid w:val="0B195F87"/>
    <w:rsid w:val="0C2E80DB"/>
    <w:rsid w:val="0DEB8CE5"/>
    <w:rsid w:val="0FB928FE"/>
    <w:rsid w:val="11D365A8"/>
    <w:rsid w:val="12B0DD0D"/>
    <w:rsid w:val="12BFE588"/>
    <w:rsid w:val="162D2E7C"/>
    <w:rsid w:val="1674E623"/>
    <w:rsid w:val="16C9AC35"/>
    <w:rsid w:val="17F42E14"/>
    <w:rsid w:val="190EAEF6"/>
    <w:rsid w:val="19802DB1"/>
    <w:rsid w:val="1BC5493B"/>
    <w:rsid w:val="1BED52C6"/>
    <w:rsid w:val="1D2C4D17"/>
    <w:rsid w:val="1D9F4730"/>
    <w:rsid w:val="2168AED5"/>
    <w:rsid w:val="220D13C6"/>
    <w:rsid w:val="226AB545"/>
    <w:rsid w:val="22AE3BC5"/>
    <w:rsid w:val="24192943"/>
    <w:rsid w:val="24A1217B"/>
    <w:rsid w:val="24FCF641"/>
    <w:rsid w:val="2518D392"/>
    <w:rsid w:val="25EA38BD"/>
    <w:rsid w:val="26E4900B"/>
    <w:rsid w:val="2D3BB1E5"/>
    <w:rsid w:val="2D7197AF"/>
    <w:rsid w:val="2D77F0A3"/>
    <w:rsid w:val="2E0DF113"/>
    <w:rsid w:val="2E616B3C"/>
    <w:rsid w:val="31DAD90F"/>
    <w:rsid w:val="33A69BEE"/>
    <w:rsid w:val="37FE3AB2"/>
    <w:rsid w:val="39ACCEED"/>
    <w:rsid w:val="3A192564"/>
    <w:rsid w:val="3A2F4338"/>
    <w:rsid w:val="3B8D4973"/>
    <w:rsid w:val="3BB9D77A"/>
    <w:rsid w:val="3C8A8DF0"/>
    <w:rsid w:val="3E6D21C7"/>
    <w:rsid w:val="3F1EEDBB"/>
    <w:rsid w:val="3FE45F89"/>
    <w:rsid w:val="40E82D3B"/>
    <w:rsid w:val="410DA243"/>
    <w:rsid w:val="42BF78E2"/>
    <w:rsid w:val="433F71EB"/>
    <w:rsid w:val="45273ED7"/>
    <w:rsid w:val="455C723C"/>
    <w:rsid w:val="4781129E"/>
    <w:rsid w:val="4D6E7C5A"/>
    <w:rsid w:val="4DF9951C"/>
    <w:rsid w:val="4DFCD434"/>
    <w:rsid w:val="4E4D87D0"/>
    <w:rsid w:val="4FAADB37"/>
    <w:rsid w:val="4FB77267"/>
    <w:rsid w:val="4FC3B6E0"/>
    <w:rsid w:val="4FC50857"/>
    <w:rsid w:val="50AC3A7F"/>
    <w:rsid w:val="528CB550"/>
    <w:rsid w:val="52FA2F78"/>
    <w:rsid w:val="530A4116"/>
    <w:rsid w:val="55009443"/>
    <w:rsid w:val="55865859"/>
    <w:rsid w:val="55EC9673"/>
    <w:rsid w:val="564AE4CA"/>
    <w:rsid w:val="57464EF5"/>
    <w:rsid w:val="57F9CDFA"/>
    <w:rsid w:val="58521DC5"/>
    <w:rsid w:val="59B91178"/>
    <w:rsid w:val="5A116C1E"/>
    <w:rsid w:val="5AD882F2"/>
    <w:rsid w:val="5B20D490"/>
    <w:rsid w:val="5DF4E913"/>
    <w:rsid w:val="5E3AAF75"/>
    <w:rsid w:val="5FD198FF"/>
    <w:rsid w:val="5FFA2257"/>
    <w:rsid w:val="61067292"/>
    <w:rsid w:val="61269AB2"/>
    <w:rsid w:val="612A6908"/>
    <w:rsid w:val="638ADDC4"/>
    <w:rsid w:val="64D771CE"/>
    <w:rsid w:val="676904E0"/>
    <w:rsid w:val="679748A0"/>
    <w:rsid w:val="68159BB0"/>
    <w:rsid w:val="68A0091C"/>
    <w:rsid w:val="68AB0189"/>
    <w:rsid w:val="6B3AE377"/>
    <w:rsid w:val="6BB5B99A"/>
    <w:rsid w:val="6BFBD442"/>
    <w:rsid w:val="6C096A5F"/>
    <w:rsid w:val="6CB7DC54"/>
    <w:rsid w:val="6CD05BCA"/>
    <w:rsid w:val="6CF64103"/>
    <w:rsid w:val="6F38AA3F"/>
    <w:rsid w:val="6FC641AF"/>
    <w:rsid w:val="70CEB1CD"/>
    <w:rsid w:val="7155AEA0"/>
    <w:rsid w:val="721F5A67"/>
    <w:rsid w:val="72983669"/>
    <w:rsid w:val="73FE5D0C"/>
    <w:rsid w:val="7582A6FD"/>
    <w:rsid w:val="7665273E"/>
    <w:rsid w:val="768D3825"/>
    <w:rsid w:val="77993869"/>
    <w:rsid w:val="77FA97CC"/>
    <w:rsid w:val="78A5F4A9"/>
    <w:rsid w:val="797062FC"/>
    <w:rsid w:val="79B940DC"/>
    <w:rsid w:val="7B18BF68"/>
    <w:rsid w:val="7BBBCCC1"/>
    <w:rsid w:val="7C31DE04"/>
    <w:rsid w:val="7EF22BC5"/>
    <w:rsid w:val="7FD919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92F9B7"/>
  <w15:chartTrackingRefBased/>
  <w15:docId w15:val="{D674170F-0A1B-4E46-B917-4D822A23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653E"/>
    <w:pPr>
      <w:keepNext/>
      <w:keepLines/>
      <w:numPr>
        <w:numId w:val="7"/>
      </w:numPr>
      <w:spacing w:before="240" w:after="240"/>
      <w:outlineLvl w:val="0"/>
    </w:pPr>
    <w:rPr>
      <w:rFonts w:asciiTheme="majorHAnsi" w:eastAsiaTheme="majorEastAsia" w:hAnsiTheme="majorHAnsi" w:cstheme="majorBidi"/>
      <w:b/>
      <w:color w:val="D71016"/>
      <w:sz w:val="32"/>
      <w:szCs w:val="32"/>
    </w:rPr>
  </w:style>
  <w:style w:type="paragraph" w:styleId="Titolo2">
    <w:name w:val="heading 2"/>
    <w:basedOn w:val="Normale"/>
    <w:next w:val="Normale"/>
    <w:link w:val="Titolo2Carattere"/>
    <w:uiPriority w:val="9"/>
    <w:unhideWhenUsed/>
    <w:qFormat/>
    <w:rsid w:val="00D40DF3"/>
    <w:pPr>
      <w:keepNext/>
      <w:keepLines/>
      <w:spacing w:before="40" w:after="240"/>
      <w:outlineLvl w:val="1"/>
    </w:pPr>
    <w:rPr>
      <w:rFonts w:asciiTheme="majorHAnsi" w:eastAsiaTheme="majorEastAsia" w:hAnsiTheme="majorHAnsi" w:cstheme="majorBidi"/>
      <w:color w:val="27333E"/>
      <w:sz w:val="26"/>
      <w:szCs w:val="26"/>
    </w:rPr>
  </w:style>
  <w:style w:type="paragraph" w:styleId="Titolo3">
    <w:name w:val="heading 3"/>
    <w:basedOn w:val="Normale"/>
    <w:next w:val="Normale"/>
    <w:link w:val="Titolo3Carattere"/>
    <w:uiPriority w:val="9"/>
    <w:unhideWhenUsed/>
    <w:qFormat/>
    <w:rsid w:val="00E35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8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99"/>
    <w:qFormat/>
    <w:rsid w:val="00B82447"/>
    <w:pPr>
      <w:ind w:left="720"/>
      <w:contextualSpacing/>
    </w:pPr>
  </w:style>
  <w:style w:type="paragraph" w:styleId="Intestazione">
    <w:name w:val="header"/>
    <w:basedOn w:val="Normale"/>
    <w:link w:val="IntestazioneCarattere"/>
    <w:uiPriority w:val="99"/>
    <w:unhideWhenUsed/>
    <w:rsid w:val="00154D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4D3D"/>
  </w:style>
  <w:style w:type="paragraph" w:styleId="Pidipagina">
    <w:name w:val="footer"/>
    <w:basedOn w:val="Normale"/>
    <w:link w:val="PidipaginaCarattere"/>
    <w:uiPriority w:val="99"/>
    <w:unhideWhenUsed/>
    <w:rsid w:val="00154D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4D3D"/>
  </w:style>
  <w:style w:type="paragraph" w:styleId="Testofumetto">
    <w:name w:val="Balloon Text"/>
    <w:basedOn w:val="Normale"/>
    <w:link w:val="TestofumettoCarattere"/>
    <w:uiPriority w:val="99"/>
    <w:semiHidden/>
    <w:unhideWhenUsed/>
    <w:rsid w:val="006972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72F7"/>
    <w:rPr>
      <w:rFonts w:ascii="Segoe UI" w:hAnsi="Segoe UI" w:cs="Segoe UI"/>
      <w:sz w:val="18"/>
      <w:szCs w:val="18"/>
    </w:rPr>
  </w:style>
  <w:style w:type="character" w:customStyle="1" w:styleId="Titolo1Carattere">
    <w:name w:val="Titolo 1 Carattere"/>
    <w:basedOn w:val="Carpredefinitoparagrafo"/>
    <w:link w:val="Titolo1"/>
    <w:uiPriority w:val="9"/>
    <w:rsid w:val="000E653E"/>
    <w:rPr>
      <w:rFonts w:asciiTheme="majorHAnsi" w:eastAsiaTheme="majorEastAsia" w:hAnsiTheme="majorHAnsi" w:cstheme="majorBidi"/>
      <w:b/>
      <w:color w:val="D71016"/>
      <w:sz w:val="32"/>
      <w:szCs w:val="32"/>
    </w:rPr>
  </w:style>
  <w:style w:type="paragraph" w:styleId="Titolo">
    <w:name w:val="Title"/>
    <w:basedOn w:val="Normale"/>
    <w:next w:val="Normale"/>
    <w:link w:val="TitoloCarattere"/>
    <w:uiPriority w:val="10"/>
    <w:qFormat/>
    <w:rsid w:val="006972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72F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0DF3"/>
    <w:rPr>
      <w:rFonts w:asciiTheme="majorHAnsi" w:eastAsiaTheme="majorEastAsia" w:hAnsiTheme="majorHAnsi" w:cstheme="majorBidi"/>
      <w:color w:val="27333E"/>
      <w:sz w:val="26"/>
      <w:szCs w:val="26"/>
    </w:rPr>
  </w:style>
  <w:style w:type="paragraph" w:styleId="Titolosommario">
    <w:name w:val="TOC Heading"/>
    <w:basedOn w:val="Titolo1"/>
    <w:next w:val="Normale"/>
    <w:uiPriority w:val="39"/>
    <w:unhideWhenUsed/>
    <w:qFormat/>
    <w:rsid w:val="00022794"/>
    <w:pPr>
      <w:numPr>
        <w:numId w:val="0"/>
      </w:numPr>
      <w:spacing w:after="0"/>
      <w:outlineLvl w:val="9"/>
    </w:pPr>
    <w:rPr>
      <w:b w:val="0"/>
      <w:color w:val="2F5496" w:themeColor="accent1" w:themeShade="BF"/>
      <w:lang w:eastAsia="it-IT"/>
    </w:rPr>
  </w:style>
  <w:style w:type="paragraph" w:styleId="Sommario1">
    <w:name w:val="toc 1"/>
    <w:basedOn w:val="Normale"/>
    <w:next w:val="Normale"/>
    <w:autoRedefine/>
    <w:uiPriority w:val="39"/>
    <w:unhideWhenUsed/>
    <w:rsid w:val="00022794"/>
    <w:pPr>
      <w:spacing w:after="100"/>
    </w:pPr>
  </w:style>
  <w:style w:type="paragraph" w:styleId="Sommario2">
    <w:name w:val="toc 2"/>
    <w:basedOn w:val="Normale"/>
    <w:next w:val="Normale"/>
    <w:autoRedefine/>
    <w:uiPriority w:val="39"/>
    <w:unhideWhenUsed/>
    <w:rsid w:val="004223D6"/>
    <w:pPr>
      <w:spacing w:after="100"/>
      <w:ind w:left="284"/>
    </w:pPr>
    <w:rPr>
      <w:sz w:val="20"/>
    </w:rPr>
  </w:style>
  <w:style w:type="character" w:styleId="Collegamentoipertestuale">
    <w:name w:val="Hyperlink"/>
    <w:basedOn w:val="Carpredefinitoparagrafo"/>
    <w:uiPriority w:val="99"/>
    <w:unhideWhenUsed/>
    <w:rsid w:val="00022794"/>
    <w:rPr>
      <w:color w:val="0563C1" w:themeColor="hyperlink"/>
      <w:u w:val="single"/>
    </w:rPr>
  </w:style>
  <w:style w:type="table" w:styleId="Tabellasemplice-3">
    <w:name w:val="Plain Table 3"/>
    <w:basedOn w:val="Tabellanormale"/>
    <w:uiPriority w:val="43"/>
    <w:rsid w:val="003739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747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Pr>
    <w:tcPr>
      <w:shd w:val="clear" w:color="auto" w:fill="FFFFFF" w:themeFill="background1"/>
    </w:tcPr>
    <w:tblStylePr w:type="firstRow">
      <w:rPr>
        <w:b/>
      </w:rPr>
      <w:tblPr/>
      <w:tcPr>
        <w:shd w:val="clear" w:color="auto" w:fill="F2F2F2" w:themeFill="background1" w:themeFillShade="F2"/>
      </w:tcPr>
    </w:tblStylePr>
    <w:tblStylePr w:type="firstCol">
      <w:rPr>
        <w:b/>
      </w:rPr>
    </w:tblStylePr>
    <w:tblStylePr w:type="band2Horz">
      <w:tblPr/>
      <w:tcPr>
        <w:shd w:val="clear" w:color="auto" w:fill="F2F2F2" w:themeFill="background1" w:themeFillShade="F2"/>
      </w:tcPr>
    </w:tblStylePr>
  </w:style>
  <w:style w:type="table" w:styleId="Tabellasemplice-1">
    <w:name w:val="Plain Table 1"/>
    <w:basedOn w:val="Tabellanormale"/>
    <w:uiPriority w:val="41"/>
    <w:rsid w:val="00BB1E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BB1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5">
    <w:name w:val="Plain Table 5"/>
    <w:basedOn w:val="Tabellanormale"/>
    <w:uiPriority w:val="45"/>
    <w:rsid w:val="00BB1E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BB1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0A56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747711"/>
    <w:pPr>
      <w:spacing w:before="120" w:after="200" w:line="240" w:lineRule="auto"/>
      <w:jc w:val="center"/>
    </w:pPr>
    <w:rPr>
      <w:i/>
      <w:iCs/>
      <w:color w:val="44546A" w:themeColor="text2"/>
      <w:sz w:val="18"/>
      <w:szCs w:val="18"/>
      <w:lang w:val="en-GB"/>
    </w:rPr>
  </w:style>
  <w:style w:type="character" w:styleId="Rimandocommento">
    <w:name w:val="annotation reference"/>
    <w:basedOn w:val="Carpredefinitoparagrafo"/>
    <w:uiPriority w:val="99"/>
    <w:semiHidden/>
    <w:unhideWhenUsed/>
    <w:rsid w:val="000D18BB"/>
    <w:rPr>
      <w:sz w:val="16"/>
      <w:szCs w:val="16"/>
    </w:rPr>
  </w:style>
  <w:style w:type="paragraph" w:styleId="Testocommento">
    <w:name w:val="annotation text"/>
    <w:basedOn w:val="Normale"/>
    <w:link w:val="TestocommentoCarattere"/>
    <w:uiPriority w:val="99"/>
    <w:semiHidden/>
    <w:unhideWhenUsed/>
    <w:rsid w:val="000D18B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18BB"/>
    <w:rPr>
      <w:sz w:val="20"/>
      <w:szCs w:val="20"/>
    </w:rPr>
  </w:style>
  <w:style w:type="paragraph" w:styleId="Soggettocommento">
    <w:name w:val="annotation subject"/>
    <w:basedOn w:val="Testocommento"/>
    <w:next w:val="Testocommento"/>
    <w:link w:val="SoggettocommentoCarattere"/>
    <w:uiPriority w:val="99"/>
    <w:semiHidden/>
    <w:unhideWhenUsed/>
    <w:rsid w:val="000D18BB"/>
    <w:rPr>
      <w:b/>
      <w:bCs/>
    </w:rPr>
  </w:style>
  <w:style w:type="character" w:customStyle="1" w:styleId="SoggettocommentoCarattere">
    <w:name w:val="Soggetto commento Carattere"/>
    <w:basedOn w:val="TestocommentoCarattere"/>
    <w:link w:val="Soggettocommento"/>
    <w:uiPriority w:val="99"/>
    <w:semiHidden/>
    <w:rsid w:val="000D18BB"/>
    <w:rPr>
      <w:b/>
      <w:bCs/>
      <w:sz w:val="20"/>
      <w:szCs w:val="20"/>
    </w:rPr>
  </w:style>
  <w:style w:type="character" w:customStyle="1" w:styleId="Titolo3Carattere">
    <w:name w:val="Titolo 3 Carattere"/>
    <w:basedOn w:val="Carpredefinitoparagrafo"/>
    <w:link w:val="Titolo3"/>
    <w:uiPriority w:val="9"/>
    <w:rsid w:val="00E359E0"/>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CC4A0E"/>
    <w:pPr>
      <w:spacing w:after="100"/>
      <w:ind w:left="440"/>
    </w:pPr>
  </w:style>
  <w:style w:type="character" w:styleId="CodiceHTML">
    <w:name w:val="HTML Code"/>
    <w:basedOn w:val="Carpredefinitoparagrafo"/>
    <w:uiPriority w:val="99"/>
    <w:semiHidden/>
    <w:unhideWhenUsed/>
    <w:rsid w:val="00841B2D"/>
    <w:rPr>
      <w:rFonts w:ascii="Courier New" w:eastAsiaTheme="minorHAnsi" w:hAnsi="Courier New" w:cs="Courier New" w:hint="default"/>
      <w:sz w:val="20"/>
      <w:szCs w:val="20"/>
    </w:rPr>
  </w:style>
  <w:style w:type="paragraph" w:styleId="PreformattatoHTML">
    <w:name w:val="HTML Preformatted"/>
    <w:basedOn w:val="Normale"/>
    <w:link w:val="PreformattatoHTMLCarattere"/>
    <w:uiPriority w:val="99"/>
    <w:semiHidden/>
    <w:unhideWhenUsed/>
    <w:rsid w:val="008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1B2D"/>
    <w:rPr>
      <w:rFonts w:ascii="Courier New" w:hAnsi="Courier New" w:cs="Courier New"/>
      <w:sz w:val="20"/>
      <w:szCs w:val="20"/>
      <w:lang w:eastAsia="it-IT"/>
    </w:rPr>
  </w:style>
  <w:style w:type="paragraph" w:styleId="NormaleWeb">
    <w:name w:val="Normal (Web)"/>
    <w:basedOn w:val="Normale"/>
    <w:uiPriority w:val="99"/>
    <w:semiHidden/>
    <w:unhideWhenUsed/>
    <w:rsid w:val="00841B2D"/>
    <w:pPr>
      <w:spacing w:before="100" w:beforeAutospacing="1" w:after="100" w:afterAutospacing="1" w:line="240" w:lineRule="auto"/>
    </w:pPr>
    <w:rPr>
      <w:rFonts w:ascii="Calibri" w:hAnsi="Calibri" w:cs="Calibri"/>
      <w:lang w:eastAsia="it-IT"/>
    </w:rPr>
  </w:style>
  <w:style w:type="character" w:styleId="Rimandonotaapidipagina">
    <w:name w:val="footnote reference"/>
    <w:basedOn w:val="Carpredefinitoparagrafo"/>
    <w:uiPriority w:val="99"/>
    <w:semiHidden/>
    <w:unhideWhenUsed/>
    <w:rsid w:val="00CC3705"/>
    <w:rPr>
      <w:vertAlign w:val="superscript"/>
    </w:rPr>
  </w:style>
  <w:style w:type="character" w:customStyle="1" w:styleId="TestonotaapidipaginaCarattere">
    <w:name w:val="Testo nota a piè di pagina Carattere"/>
    <w:basedOn w:val="Carpredefinitoparagrafo"/>
    <w:link w:val="Testonotaapidipagina"/>
    <w:uiPriority w:val="99"/>
    <w:semiHidden/>
    <w:rsid w:val="00CC3705"/>
    <w:rPr>
      <w:sz w:val="20"/>
      <w:szCs w:val="20"/>
    </w:rPr>
  </w:style>
  <w:style w:type="paragraph" w:styleId="Testonotaapidipagina">
    <w:name w:val="footnote text"/>
    <w:basedOn w:val="Normale"/>
    <w:link w:val="TestonotaapidipaginaCarattere"/>
    <w:uiPriority w:val="99"/>
    <w:semiHidden/>
    <w:unhideWhenUsed/>
    <w:rsid w:val="00CC3705"/>
    <w:pPr>
      <w:spacing w:after="0" w:line="240" w:lineRule="auto"/>
    </w:pPr>
    <w:rPr>
      <w:sz w:val="20"/>
      <w:szCs w:val="20"/>
    </w:rPr>
  </w:style>
  <w:style w:type="character" w:customStyle="1" w:styleId="TestonotaapidipaginaCarattere1">
    <w:name w:val="Testo nota a piè di pagina Carattere1"/>
    <w:basedOn w:val="Carpredefinitoparagrafo"/>
    <w:uiPriority w:val="99"/>
    <w:semiHidden/>
    <w:rsid w:val="00CC37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6421">
      <w:bodyDiv w:val="1"/>
      <w:marLeft w:val="0"/>
      <w:marRight w:val="0"/>
      <w:marTop w:val="0"/>
      <w:marBottom w:val="0"/>
      <w:divBdr>
        <w:top w:val="none" w:sz="0" w:space="0" w:color="auto"/>
        <w:left w:val="none" w:sz="0" w:space="0" w:color="auto"/>
        <w:bottom w:val="none" w:sz="0" w:space="0" w:color="auto"/>
        <w:right w:val="none" w:sz="0" w:space="0" w:color="auto"/>
      </w:divBdr>
    </w:div>
    <w:div w:id="82597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San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rsioneUfficiale xmlns="f0646ad6-a4f1-46dc-a57d-873c914ee080">4.0</VersioneUfficiale>
    <i3d3d67068c14147b110b445550f5993 xmlns="f0646ad6-a4f1-46dc-a57d-873c914ee080">
      <Terms xmlns="http://schemas.microsoft.com/office/infopath/2007/PartnerControls">
        <TermInfo xmlns="http://schemas.microsoft.com/office/infopath/2007/PartnerControls">
          <TermName xmlns="http://schemas.microsoft.com/office/infopath/2007/PartnerControls">In redazione</TermName>
          <TermId xmlns="http://schemas.microsoft.com/office/infopath/2007/PartnerControls">9361c55a-f7dc-41fd-9761-d253d4313aff</TermId>
        </TermInfo>
      </Terms>
    </i3d3d67068c14147b110b445550f5993>
    <dfd58be6d7094eb2a53d3fc55b1b0223 xmlns="f0646ad6-a4f1-46dc-a57d-873c914ee080">
      <Terms xmlns="http://schemas.microsoft.com/office/infopath/2007/PartnerControls">
        <TermInfo xmlns="http://schemas.microsoft.com/office/infopath/2007/PartnerControls">
          <TermName xmlns="http://schemas.microsoft.com/office/infopath/2007/PartnerControls">Processi di realizzazione del servizio</TermName>
          <TermId xmlns="http://schemas.microsoft.com/office/infopath/2007/PartnerControls">e1b7fa39-9917-45ef-bee9-6efb183dccd0</TermId>
        </TermInfo>
      </Terms>
    </dfd58be6d7094eb2a53d3fc55b1b0223>
    <Redattore xmlns="f0646ad6-a4f1-46dc-a57d-873c914ee080">
      <UserInfo>
        <DisplayName/>
        <AccountId xsi:nil="true"/>
        <AccountType/>
      </UserInfo>
    </Redattore>
    <o9350844f78b410a8bb7367f9d197441 xmlns="f0646ad6-a4f1-46dc-a57d-873c914ee080">
      <Terms xmlns="http://schemas.microsoft.com/office/infopath/2007/PartnerControls">
        <TermInfo xmlns="http://schemas.microsoft.com/office/infopath/2007/PartnerControls">
          <TermName xmlns="http://schemas.microsoft.com/office/infopath/2007/PartnerControls">Enti convenzionati</TermName>
          <TermId xmlns="http://schemas.microsoft.com/office/infopath/2007/PartnerControls">7af0e4a5-e24d-4f10-aa43-75834b4075a4</TermId>
        </TermInfo>
      </Terms>
    </o9350844f78b410a8bb7367f9d197441>
    <Verificatore xmlns="f0646ad6-a4f1-46dc-a57d-873c914ee080">
      <UserInfo>
        <DisplayName/>
        <AccountId xsi:nil="true"/>
        <AccountType/>
      </UserInfo>
    </Verificatore>
    <TaxCatchAll xmlns="f0646ad6-a4f1-46dc-a57d-873c914ee080">
      <Value>13</Value>
      <Value>4</Value>
      <Value>24</Value>
      <Value>16</Value>
      <Value>22</Value>
    </TaxCatchAll>
    <OpenSource xmlns="f0646ad6-a4f1-46dc-a57d-873c914ee080">true</OpenSource>
    <f5060d7343ce43beb69627224a4795e4 xmlns="f0646ad6-a4f1-46dc-a57d-873c914ee080">
      <Terms xmlns="http://schemas.microsoft.com/office/infopath/2007/PartnerControls">
        <TermInfo xmlns="http://schemas.microsoft.com/office/infopath/2007/PartnerControls">
          <TermName xmlns="http://schemas.microsoft.com/office/infopath/2007/PartnerControls">Alta</TermName>
          <TermId xmlns="http://schemas.microsoft.com/office/infopath/2007/PartnerControls">5686fc0d-90de-44ad-bda3-0de99083b075</TermId>
        </TermInfo>
      </Terms>
    </f5060d7343ce43beb69627224a4795e4>
    <DataFineRedazione xmlns="f0646ad6-a4f1-46dc-a57d-873c914ee080" xsi:nil="true"/>
    <DataVerifica xmlns="f0646ad6-a4f1-46dc-a57d-873c914ee080" xsi:nil="true"/>
    <Approvatore xmlns="f0646ad6-a4f1-46dc-a57d-873c914ee080">
      <UserInfo>
        <DisplayName/>
        <AccountId xsi:nil="true"/>
        <AccountType/>
      </UserInfo>
    </Approvatore>
    <m76061afd289447e929cf6edf5ec18b5 xmlns="f0646ad6-a4f1-46dc-a57d-873c914ee080">
      <Terms xmlns="http://schemas.microsoft.com/office/infopath/2007/PartnerControls">
        <TermInfo xmlns="http://schemas.microsoft.com/office/infopath/2007/PartnerControls">
          <TermName xmlns="http://schemas.microsoft.com/office/infopath/2007/PartnerControls">Tutto il personale ParER</TermName>
          <TermId xmlns="http://schemas.microsoft.com/office/infopath/2007/PartnerControls">39b5051b-676e-4618-aec0-974e3874ebc0</TermId>
        </TermInfo>
      </Terms>
    </m76061afd289447e929cf6edf5ec18b5>
    <DataApprovazione xmlns="f0646ad6-a4f1-46dc-a57d-873c914ee0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Da Approvare" ma:contentTypeID="0x010100170B7B1967848045B98C4CCEA6776F1F00BA31A165E6E81141A7A5B12F84932C9F" ma:contentTypeVersion="46" ma:contentTypeDescription="" ma:contentTypeScope="" ma:versionID="3b221f96c54a38487c89a0aba016e1d4">
  <xsd:schema xmlns:xsd="http://www.w3.org/2001/XMLSchema" xmlns:xs="http://www.w3.org/2001/XMLSchema" xmlns:p="http://schemas.microsoft.com/office/2006/metadata/properties" xmlns:ns2="f0646ad6-a4f1-46dc-a57d-873c914ee080" xmlns:ns3="e9926d5d-6347-4509-a841-3f4575956a1c" targetNamespace="http://schemas.microsoft.com/office/2006/metadata/properties" ma:root="true" ma:fieldsID="8de51d2c2312e05a7bcd89662deec16d" ns2:_="" ns3:_="">
    <xsd:import namespace="f0646ad6-a4f1-46dc-a57d-873c914ee080"/>
    <xsd:import namespace="e9926d5d-6347-4509-a841-3f4575956a1c"/>
    <xsd:element name="properties">
      <xsd:complexType>
        <xsd:sequence>
          <xsd:element name="documentManagement">
            <xsd:complexType>
              <xsd:all>
                <xsd:element ref="ns2:Redattore" minOccurs="0"/>
                <xsd:element ref="ns2:DataFineRedazione" minOccurs="0"/>
                <xsd:element ref="ns2:Verificatore" minOccurs="0"/>
                <xsd:element ref="ns2:DataVerifica" minOccurs="0"/>
                <xsd:element ref="ns2:Approvatore" minOccurs="0"/>
                <xsd:element ref="ns2:DataApprovazione" minOccurs="0"/>
                <xsd:element ref="ns2:VersioneUfficiale"/>
                <xsd:element ref="ns2:o9350844f78b410a8bb7367f9d197441" minOccurs="0"/>
                <xsd:element ref="ns2:TaxCatchAll" minOccurs="0"/>
                <xsd:element ref="ns2:TaxCatchAllLabel" minOccurs="0"/>
                <xsd:element ref="ns2:OpenSource" minOccurs="0"/>
                <xsd:element ref="ns2:f5060d7343ce43beb69627224a4795e4" minOccurs="0"/>
                <xsd:element ref="ns2:i3d3d67068c14147b110b445550f5993" minOccurs="0"/>
                <xsd:element ref="ns2:dfd58be6d7094eb2a53d3fc55b1b0223" minOccurs="0"/>
                <xsd:element ref="ns3:MediaServiceMetadata" minOccurs="0"/>
                <xsd:element ref="ns3:MediaServiceFastMetadata" minOccurs="0"/>
                <xsd:element ref="ns2:m76061afd289447e929cf6edf5ec18b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ad6-a4f1-46dc-a57d-873c914ee080" elementFormDefault="qualified">
    <xsd:import namespace="http://schemas.microsoft.com/office/2006/documentManagement/types"/>
    <xsd:import namespace="http://schemas.microsoft.com/office/infopath/2007/PartnerControls"/>
    <xsd:element name="Redattore" ma:index="8" nillable="true" ma:displayName="Redattore" ma:list="UserInfo" ma:SharePointGroup="0" ma:internalName="Redat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FineRedazione" ma:index="9" nillable="true" ma:displayName="Data Fine Redazione" ma:format="DateOnly" ma:internalName="DataFineRedazione" ma:readOnly="false">
      <xsd:simpleType>
        <xsd:restriction base="dms:DateTime"/>
      </xsd:simpleType>
    </xsd:element>
    <xsd:element name="Verificatore" ma:index="10" nillable="true" ma:displayName="Verificatore" ma:list="UserInfo" ma:SharePointGroup="0" ma:internalName="Verific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Verifica" ma:index="11" nillable="true" ma:displayName="Data Verifica" ma:format="DateOnly" ma:internalName="DataVerifica" ma:readOnly="false">
      <xsd:simpleType>
        <xsd:restriction base="dms:DateTime"/>
      </xsd:simpleType>
    </xsd:element>
    <xsd:element name="Approvatore" ma:index="12" nillable="true" ma:displayName="Approvatore" ma:list="UserInfo" ma:SharePointGroup="0" ma:internalName="Approv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Approvazione" ma:index="13" nillable="true" ma:displayName="Data Approvazione" ma:format="DateOnly" ma:internalName="DataApprovazione" ma:readOnly="false">
      <xsd:simpleType>
        <xsd:restriction base="dms:DateTime"/>
      </xsd:simpleType>
    </xsd:element>
    <xsd:element name="VersioneUfficiale" ma:index="14" ma:displayName="Versione Ufficiale" ma:internalName="VersioneUfficiale">
      <xsd:simpleType>
        <xsd:restriction base="dms:Text">
          <xsd:maxLength value="255"/>
        </xsd:restriction>
      </xsd:simpleType>
    </xsd:element>
    <xsd:element name="o9350844f78b410a8bb7367f9d197441" ma:index="15" ma:taxonomy="true" ma:internalName="o9350844f78b410a8bb7367f9d197441" ma:taxonomyFieldName="LivelloRiservatezza" ma:displayName="Livello Riservatezza" ma:readOnly="false" ma:default="" ma:fieldId="{89350844-f78b-410a-8bb7-367f9d197441}" ma:sspId="4468606d-3e0e-4e7b-a815-ae4d792ab8ff" ma:termSetId="c71d97b8-c079-4ba2-a5c4-daa4f7ec4b02"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185cd289-a45e-44fe-b01a-39b379347012}" ma:internalName="TaxCatchAll" ma:showField="CatchAllData"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185cd289-a45e-44fe-b01a-39b379347012}" ma:internalName="TaxCatchAllLabel" ma:readOnly="true" ma:showField="CatchAllDataLabel"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OpenSource" ma:index="19" nillable="true" ma:displayName="Open Source" ma:default="1" ma:internalName="OpenSource" ma:readOnly="false">
      <xsd:simpleType>
        <xsd:restriction base="dms:Boolean"/>
      </xsd:simpleType>
    </xsd:element>
    <xsd:element name="f5060d7343ce43beb69627224a4795e4" ma:index="20" ma:taxonomy="true" ma:internalName="f5060d7343ce43beb69627224a4795e4" ma:taxonomyFieldName="LivelloPriorita" ma:displayName="Livello Priorità" ma:readOnly="false" ma:default="" ma:fieldId="{f5060d73-43ce-43be-b696-27224a4795e4}" ma:sspId="4468606d-3e0e-4e7b-a815-ae4d792ab8ff" ma:termSetId="0e96915e-9d26-4518-b730-8c0755296a58" ma:anchorId="00000000-0000-0000-0000-000000000000" ma:open="false" ma:isKeyword="false">
      <xsd:complexType>
        <xsd:sequence>
          <xsd:element ref="pc:Terms" minOccurs="0" maxOccurs="1"/>
        </xsd:sequence>
      </xsd:complexType>
    </xsd:element>
    <xsd:element name="i3d3d67068c14147b110b445550f5993" ma:index="22" ma:taxonomy="true" ma:internalName="i3d3d67068c14147b110b445550f5993" ma:taxonomyFieldName="StatoDelDocumento" ma:displayName="Stato del Documento" ma:readOnly="false" ma:default="" ma:fieldId="{23d3d670-68c1-4147-b110-b445550f5993}" ma:sspId="4468606d-3e0e-4e7b-a815-ae4d792ab8ff" ma:termSetId="222ce62f-6a46-42e2-8c22-fb2ced99db71" ma:anchorId="00000000-0000-0000-0000-000000000000" ma:open="false" ma:isKeyword="false">
      <xsd:complexType>
        <xsd:sequence>
          <xsd:element ref="pc:Terms" minOccurs="0" maxOccurs="1"/>
        </xsd:sequence>
      </xsd:complexType>
    </xsd:element>
    <xsd:element name="dfd58be6d7094eb2a53d3fc55b1b0223" ma:index="24" nillable="true" ma:taxonomy="true" ma:internalName="dfd58be6d7094eb2a53d3fc55b1b0223" ma:taxonomyFieldName="Collocazione" ma:displayName="Collocazione" ma:readOnly="false" ma:default="" ma:fieldId="{dfd58be6-d709-4eb2-a53d-3fc55b1b0223}" ma:sspId="4468606d-3e0e-4e7b-a815-ae4d792ab8ff" ma:termSetId="a41512ce-a7b3-414f-8911-85827261debc" ma:anchorId="00000000-0000-0000-0000-000000000000" ma:open="false" ma:isKeyword="false">
      <xsd:complexType>
        <xsd:sequence>
          <xsd:element ref="pc:Terms" minOccurs="0" maxOccurs="1"/>
        </xsd:sequence>
      </xsd:complexType>
    </xsd:element>
    <xsd:element name="m76061afd289447e929cf6edf5ec18b5" ma:index="28" ma:taxonomy="true" ma:internalName="m76061afd289447e929cf6edf5ec18b5" ma:taxonomyFieldName="SoggettiDaNotificare" ma:displayName="Lista di distribuzione" ma:readOnly="false" ma:default="" ma:fieldId="{676061af-d289-447e-929c-f6edf5ec18b5}" ma:taxonomyMulti="true" ma:sspId="4468606d-3e0e-4e7b-a815-ae4d792ab8ff" ma:termSetId="642376fa-6220-450e-8a4c-668dfa3623b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926d5d-6347-4509-a841-3f4575956a1c"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A1302-9F21-47DB-AD1B-CA37113D5CA4}">
  <ds:schemaRefs>
    <ds:schemaRef ds:uri="f0646ad6-a4f1-46dc-a57d-873c914ee080"/>
    <ds:schemaRef ds:uri="http://purl.org/dc/elements/1.1/"/>
    <ds:schemaRef ds:uri="http://schemas.microsoft.com/office/2006/metadata/properties"/>
    <ds:schemaRef ds:uri="e9926d5d-6347-4509-a841-3f4575956a1c"/>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4D9A7026-2FF7-408D-8CE3-E5929A14D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ad6-a4f1-46dc-a57d-873c914ee080"/>
    <ds:schemaRef ds:uri="e9926d5d-6347-4509-a841-3f4575956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E69CF-EF5B-44A1-940D-D74895C92F84}">
  <ds:schemaRefs>
    <ds:schemaRef ds:uri="http://schemas.microsoft.com/sharepoint/v3/contenttype/forms"/>
  </ds:schemaRefs>
</ds:datastoreItem>
</file>

<file path=customXml/itemProps4.xml><?xml version="1.0" encoding="utf-8"?>
<ds:datastoreItem xmlns:ds="http://schemas.openxmlformats.org/officeDocument/2006/customXml" ds:itemID="{7FD335F7-3E4C-4C45-95D5-C7B620EE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Links>
    <vt:vector size="96" baseType="variant">
      <vt:variant>
        <vt:i4>1179697</vt:i4>
      </vt:variant>
      <vt:variant>
        <vt:i4>92</vt:i4>
      </vt:variant>
      <vt:variant>
        <vt:i4>0</vt:i4>
      </vt:variant>
      <vt:variant>
        <vt:i4>5</vt:i4>
      </vt:variant>
      <vt:variant>
        <vt:lpwstr/>
      </vt:variant>
      <vt:variant>
        <vt:lpwstr>_Toc26868633</vt:lpwstr>
      </vt:variant>
      <vt:variant>
        <vt:i4>1245233</vt:i4>
      </vt:variant>
      <vt:variant>
        <vt:i4>86</vt:i4>
      </vt:variant>
      <vt:variant>
        <vt:i4>0</vt:i4>
      </vt:variant>
      <vt:variant>
        <vt:i4>5</vt:i4>
      </vt:variant>
      <vt:variant>
        <vt:lpwstr/>
      </vt:variant>
      <vt:variant>
        <vt:lpwstr>_Toc26868632</vt:lpwstr>
      </vt:variant>
      <vt:variant>
        <vt:i4>1048625</vt:i4>
      </vt:variant>
      <vt:variant>
        <vt:i4>80</vt:i4>
      </vt:variant>
      <vt:variant>
        <vt:i4>0</vt:i4>
      </vt:variant>
      <vt:variant>
        <vt:i4>5</vt:i4>
      </vt:variant>
      <vt:variant>
        <vt:lpwstr/>
      </vt:variant>
      <vt:variant>
        <vt:lpwstr>_Toc26868631</vt:lpwstr>
      </vt:variant>
      <vt:variant>
        <vt:i4>1114161</vt:i4>
      </vt:variant>
      <vt:variant>
        <vt:i4>74</vt:i4>
      </vt:variant>
      <vt:variant>
        <vt:i4>0</vt:i4>
      </vt:variant>
      <vt:variant>
        <vt:i4>5</vt:i4>
      </vt:variant>
      <vt:variant>
        <vt:lpwstr/>
      </vt:variant>
      <vt:variant>
        <vt:lpwstr>_Toc26868630</vt:lpwstr>
      </vt:variant>
      <vt:variant>
        <vt:i4>1572912</vt:i4>
      </vt:variant>
      <vt:variant>
        <vt:i4>68</vt:i4>
      </vt:variant>
      <vt:variant>
        <vt:i4>0</vt:i4>
      </vt:variant>
      <vt:variant>
        <vt:i4>5</vt:i4>
      </vt:variant>
      <vt:variant>
        <vt:lpwstr/>
      </vt:variant>
      <vt:variant>
        <vt:lpwstr>_Toc26868629</vt:lpwstr>
      </vt:variant>
      <vt:variant>
        <vt:i4>1638448</vt:i4>
      </vt:variant>
      <vt:variant>
        <vt:i4>62</vt:i4>
      </vt:variant>
      <vt:variant>
        <vt:i4>0</vt:i4>
      </vt:variant>
      <vt:variant>
        <vt:i4>5</vt:i4>
      </vt:variant>
      <vt:variant>
        <vt:lpwstr/>
      </vt:variant>
      <vt:variant>
        <vt:lpwstr>_Toc26868628</vt:lpwstr>
      </vt:variant>
      <vt:variant>
        <vt:i4>1441840</vt:i4>
      </vt:variant>
      <vt:variant>
        <vt:i4>56</vt:i4>
      </vt:variant>
      <vt:variant>
        <vt:i4>0</vt:i4>
      </vt:variant>
      <vt:variant>
        <vt:i4>5</vt:i4>
      </vt:variant>
      <vt:variant>
        <vt:lpwstr/>
      </vt:variant>
      <vt:variant>
        <vt:lpwstr>_Toc26868627</vt:lpwstr>
      </vt:variant>
      <vt:variant>
        <vt:i4>1507376</vt:i4>
      </vt:variant>
      <vt:variant>
        <vt:i4>50</vt:i4>
      </vt:variant>
      <vt:variant>
        <vt:i4>0</vt:i4>
      </vt:variant>
      <vt:variant>
        <vt:i4>5</vt:i4>
      </vt:variant>
      <vt:variant>
        <vt:lpwstr/>
      </vt:variant>
      <vt:variant>
        <vt:lpwstr>_Toc26868626</vt:lpwstr>
      </vt:variant>
      <vt:variant>
        <vt:i4>1310768</vt:i4>
      </vt:variant>
      <vt:variant>
        <vt:i4>44</vt:i4>
      </vt:variant>
      <vt:variant>
        <vt:i4>0</vt:i4>
      </vt:variant>
      <vt:variant>
        <vt:i4>5</vt:i4>
      </vt:variant>
      <vt:variant>
        <vt:lpwstr/>
      </vt:variant>
      <vt:variant>
        <vt:lpwstr>_Toc26868625</vt:lpwstr>
      </vt:variant>
      <vt:variant>
        <vt:i4>1376304</vt:i4>
      </vt:variant>
      <vt:variant>
        <vt:i4>38</vt:i4>
      </vt:variant>
      <vt:variant>
        <vt:i4>0</vt:i4>
      </vt:variant>
      <vt:variant>
        <vt:i4>5</vt:i4>
      </vt:variant>
      <vt:variant>
        <vt:lpwstr/>
      </vt:variant>
      <vt:variant>
        <vt:lpwstr>_Toc26868624</vt:lpwstr>
      </vt:variant>
      <vt:variant>
        <vt:i4>1179696</vt:i4>
      </vt:variant>
      <vt:variant>
        <vt:i4>32</vt:i4>
      </vt:variant>
      <vt:variant>
        <vt:i4>0</vt:i4>
      </vt:variant>
      <vt:variant>
        <vt:i4>5</vt:i4>
      </vt:variant>
      <vt:variant>
        <vt:lpwstr/>
      </vt:variant>
      <vt:variant>
        <vt:lpwstr>_Toc26868623</vt:lpwstr>
      </vt:variant>
      <vt:variant>
        <vt:i4>1245232</vt:i4>
      </vt:variant>
      <vt:variant>
        <vt:i4>26</vt:i4>
      </vt:variant>
      <vt:variant>
        <vt:i4>0</vt:i4>
      </vt:variant>
      <vt:variant>
        <vt:i4>5</vt:i4>
      </vt:variant>
      <vt:variant>
        <vt:lpwstr/>
      </vt:variant>
      <vt:variant>
        <vt:lpwstr>_Toc26868622</vt:lpwstr>
      </vt:variant>
      <vt:variant>
        <vt:i4>1048624</vt:i4>
      </vt:variant>
      <vt:variant>
        <vt:i4>20</vt:i4>
      </vt:variant>
      <vt:variant>
        <vt:i4>0</vt:i4>
      </vt:variant>
      <vt:variant>
        <vt:i4>5</vt:i4>
      </vt:variant>
      <vt:variant>
        <vt:lpwstr/>
      </vt:variant>
      <vt:variant>
        <vt:lpwstr>_Toc26868621</vt:lpwstr>
      </vt:variant>
      <vt:variant>
        <vt:i4>1114160</vt:i4>
      </vt:variant>
      <vt:variant>
        <vt:i4>14</vt:i4>
      </vt:variant>
      <vt:variant>
        <vt:i4>0</vt:i4>
      </vt:variant>
      <vt:variant>
        <vt:i4>5</vt:i4>
      </vt:variant>
      <vt:variant>
        <vt:lpwstr/>
      </vt:variant>
      <vt:variant>
        <vt:lpwstr>_Toc26868620</vt:lpwstr>
      </vt:variant>
      <vt:variant>
        <vt:i4>1572915</vt:i4>
      </vt:variant>
      <vt:variant>
        <vt:i4>8</vt:i4>
      </vt:variant>
      <vt:variant>
        <vt:i4>0</vt:i4>
      </vt:variant>
      <vt:variant>
        <vt:i4>5</vt:i4>
      </vt:variant>
      <vt:variant>
        <vt:lpwstr/>
      </vt:variant>
      <vt:variant>
        <vt:lpwstr>_Toc26868619</vt:lpwstr>
      </vt:variant>
      <vt:variant>
        <vt:i4>1638451</vt:i4>
      </vt:variant>
      <vt:variant>
        <vt:i4>2</vt:i4>
      </vt:variant>
      <vt:variant>
        <vt:i4>0</vt:i4>
      </vt:variant>
      <vt:variant>
        <vt:i4>5</vt:i4>
      </vt:variant>
      <vt:variant>
        <vt:lpwstr/>
      </vt:variant>
      <vt:variant>
        <vt:lpwstr>_Toc26868618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di Cessazione dell'Accordo e Restituzione dell'Archivio</dc:title>
  <dc:subject/>
  <dc:creator>Silvia Pedroni</dc:creator>
  <cp:keywords/>
  <dc:description/>
  <cp:lastModifiedBy>Giovanni Galazzini</cp:lastModifiedBy>
  <cp:revision>217</cp:revision>
  <cp:lastPrinted>2019-06-06T10:11:00Z</cp:lastPrinted>
  <dcterms:created xsi:type="dcterms:W3CDTF">2019-05-27T10:04:00Z</dcterms:created>
  <dcterms:modified xsi:type="dcterms:W3CDTF">2019-12-11T14:53:00Z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0x010100170B7B1967848045B98C4CCEA6776F1F00BA31A165E6E81141A7A5B12F84932C9F</vt:lpwstr>
  </property>
  <property fmtid="{D5CDD505-2E9C-101B-9397-08002B2CF9AE}" pid="3" name="LivelloRiservatezza">
    <vt:lpwstr>24;#Enti convenzionati|7af0e4a5-e24d-4f10-aa43-75834b4075a4</vt:lpwstr>
  </property>
  <property fmtid="{D5CDD505-2E9C-101B-9397-08002B2CF9AE}" pid="4" name="AutoreEsterno">
    <vt:lpwstr/>
  </property>
  <property fmtid="{D5CDD505-2E9C-101B-9397-08002B2CF9AE}" pid="5" name="SoggettiDaNotificare">
    <vt:lpwstr>16;#Tutto il personale ParER|39b5051b-676e-4618-aec0-974e3874ebc0</vt:lpwstr>
  </property>
  <property fmtid="{D5CDD505-2E9C-101B-9397-08002B2CF9AE}" pid="6" name="xd_ProgID">
    <vt:lpwstr/>
  </property>
  <property fmtid="{D5CDD505-2E9C-101B-9397-08002B2CF9AE}" pid="7" name="g47f1a315428458eae2bf2b8b9ab4b48">
    <vt:lpwstr>Tutto il personale ParER|39b5051b-676e-4618-aec0-974e3874ebc0</vt:lpwstr>
  </property>
  <property fmtid="{D5CDD505-2E9C-101B-9397-08002B2CF9AE}" pid="8" name="LivelloPriorita">
    <vt:lpwstr>13;#Alta|5686fc0d-90de-44ad-bda3-0de99083b075</vt:lpwstr>
  </property>
  <property fmtid="{D5CDD505-2E9C-101B-9397-08002B2CF9AE}" pid="9" name="ComplianceAssetId">
    <vt:lpwstr/>
  </property>
  <property fmtid="{D5CDD505-2E9C-101B-9397-08002B2CF9AE}" pid="10" name="TemplateUrl">
    <vt:lpwstr/>
  </property>
  <property fmtid="{D5CDD505-2E9C-101B-9397-08002B2CF9AE}" pid="11" name="g33f0d5de64d4011b42c0590c951e430">
    <vt:lpwstr>Uso interno|3882932c-9a88-4c3a-84e2-5afd330a5ce5</vt:lpwstr>
  </property>
  <property fmtid="{D5CDD505-2E9C-101B-9397-08002B2CF9AE}" pid="12" name="Collocazione">
    <vt:lpwstr>22;#Processi di realizzazione del servizio|e1b7fa39-9917-45ef-bee9-6efb183dccd0</vt:lpwstr>
  </property>
  <property fmtid="{D5CDD505-2E9C-101B-9397-08002B2CF9AE}" pid="13" name="xd_Signature">
    <vt:bool>false</vt:bool>
  </property>
  <property fmtid="{D5CDD505-2E9C-101B-9397-08002B2CF9AE}" pid="14" name="StatoDelDocumento">
    <vt:lpwstr>4;#In redazione|9361c55a-f7dc-41fd-9761-d253d4313aff</vt:lpwstr>
  </property>
</Properties>
</file>