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C3EA2" w14:textId="77777777" w:rsidR="009D141B" w:rsidRPr="009A5FAD" w:rsidRDefault="009D141B" w:rsidP="009D141B">
      <w:pPr>
        <w:pStyle w:val="Titolo1"/>
        <w:rPr>
          <w:sz w:val="28"/>
          <w:szCs w:val="28"/>
        </w:rPr>
      </w:pPr>
      <w:r>
        <w:rPr>
          <w:sz w:val="28"/>
          <w:szCs w:val="28"/>
        </w:rPr>
        <w:t>Gestione degli utenti del Sistema di conservazione del Polo Archivistico della Regione Emila Romagna</w:t>
      </w:r>
    </w:p>
    <w:p w14:paraId="67B4ECCB" w14:textId="55885490" w:rsidR="001643DD" w:rsidRPr="004F03D4" w:rsidRDefault="004F03D4" w:rsidP="004F03D4">
      <w:pPr>
        <w:jc w:val="right"/>
      </w:pPr>
      <w:r>
        <w:t xml:space="preserve">Versione 1.0 </w:t>
      </w:r>
      <w:r w:rsidR="0029121E">
        <w:t xml:space="preserve">del </w:t>
      </w:r>
      <w:proofErr w:type="gramStart"/>
      <w:r w:rsidR="0029121E">
        <w:t>1 maggio</w:t>
      </w:r>
      <w:proofErr w:type="gramEnd"/>
      <w:r w:rsidR="0029121E">
        <w:t xml:space="preserve"> 2018</w:t>
      </w:r>
    </w:p>
    <w:p w14:paraId="2F421266" w14:textId="77777777" w:rsidR="00AB572C" w:rsidRPr="00AB572C" w:rsidRDefault="001643DD" w:rsidP="00AB572C">
      <w:pPr>
        <w:spacing w:after="0" w:line="240" w:lineRule="auto"/>
        <w:ind w:firstLine="708"/>
        <w:rPr>
          <w:sz w:val="28"/>
          <w:szCs w:val="28"/>
        </w:rPr>
      </w:pPr>
      <w:r w:rsidRPr="00AB572C">
        <w:rPr>
          <w:b/>
          <w:sz w:val="28"/>
          <w:szCs w:val="28"/>
        </w:rPr>
        <w:t>Soggetto conservatore:</w:t>
      </w:r>
      <w:r w:rsidRPr="00AB572C">
        <w:rPr>
          <w:sz w:val="28"/>
          <w:szCs w:val="28"/>
        </w:rPr>
        <w:t xml:space="preserve"> IBACN – Servizio Polo archivistico regionale (</w:t>
      </w:r>
      <w:proofErr w:type="spellStart"/>
      <w:r w:rsidRPr="00AB572C">
        <w:rPr>
          <w:sz w:val="28"/>
          <w:szCs w:val="28"/>
        </w:rPr>
        <w:t>ParER</w:t>
      </w:r>
      <w:proofErr w:type="spellEnd"/>
      <w:r w:rsidRPr="00AB572C">
        <w:rPr>
          <w:sz w:val="28"/>
          <w:szCs w:val="28"/>
        </w:rPr>
        <w:t>)</w:t>
      </w:r>
    </w:p>
    <w:p w14:paraId="02D8F9DE" w14:textId="69BA6859" w:rsidR="001643DD" w:rsidRPr="00AB572C" w:rsidRDefault="001643DD" w:rsidP="00AB572C">
      <w:pPr>
        <w:spacing w:after="0" w:line="240" w:lineRule="auto"/>
        <w:ind w:firstLine="708"/>
        <w:rPr>
          <w:sz w:val="28"/>
          <w:szCs w:val="28"/>
        </w:rPr>
      </w:pPr>
      <w:r w:rsidRPr="00AB572C">
        <w:rPr>
          <w:b/>
          <w:sz w:val="28"/>
          <w:szCs w:val="28"/>
        </w:rPr>
        <w:t>Ente produttore:</w:t>
      </w:r>
      <w:r w:rsidRPr="00AB572C">
        <w:rPr>
          <w:sz w:val="28"/>
          <w:szCs w:val="28"/>
        </w:rPr>
        <w:t xml:space="preserve"> </w:t>
      </w:r>
      <w:r w:rsidRPr="00AB572C">
        <w:rPr>
          <w:i/>
          <w:sz w:val="28"/>
          <w:szCs w:val="28"/>
        </w:rPr>
        <w:t>[denominazione ufficiale]</w:t>
      </w:r>
    </w:p>
    <w:p w14:paraId="7D7C1DEE" w14:textId="1C2BC650" w:rsidR="001643DD" w:rsidRPr="00AB572C" w:rsidRDefault="001643DD" w:rsidP="00AB572C">
      <w:pPr>
        <w:spacing w:after="0" w:line="240" w:lineRule="auto"/>
        <w:ind w:left="708"/>
        <w:rPr>
          <w:i/>
          <w:sz w:val="28"/>
          <w:szCs w:val="28"/>
        </w:rPr>
      </w:pPr>
      <w:r w:rsidRPr="00AB572C">
        <w:rPr>
          <w:b/>
          <w:sz w:val="28"/>
          <w:szCs w:val="28"/>
        </w:rPr>
        <w:t>Struttura:</w:t>
      </w:r>
      <w:r w:rsidRPr="00AB572C">
        <w:rPr>
          <w:sz w:val="28"/>
          <w:szCs w:val="28"/>
        </w:rPr>
        <w:t xml:space="preserve"> </w:t>
      </w:r>
      <w:r w:rsidRPr="00AB572C">
        <w:rPr>
          <w:i/>
          <w:sz w:val="28"/>
          <w:szCs w:val="28"/>
        </w:rPr>
        <w:t>[codice AOO, pubblicato nell’Indice delle Pubbliche Amministrazioni, o, se non disponibile, altro codice identificativo]</w:t>
      </w:r>
    </w:p>
    <w:p w14:paraId="5663AB20" w14:textId="77777777" w:rsidR="00AB572C" w:rsidRPr="00AB572C" w:rsidRDefault="00AB572C" w:rsidP="00AB572C">
      <w:pPr>
        <w:spacing w:line="276" w:lineRule="auto"/>
        <w:ind w:left="708"/>
        <w:rPr>
          <w:i/>
          <w:sz w:val="24"/>
          <w:szCs w:val="24"/>
        </w:rPr>
      </w:pPr>
    </w:p>
    <w:p w14:paraId="010C3EA3" w14:textId="52DCDA38" w:rsidR="009D141B" w:rsidRPr="009D141B" w:rsidRDefault="009D141B" w:rsidP="009D141B">
      <w:pPr>
        <w:pStyle w:val="Titolo2"/>
        <w:keepLines w:val="0"/>
        <w:numPr>
          <w:ilvl w:val="0"/>
          <w:numId w:val="2"/>
        </w:numPr>
        <w:suppressAutoHyphens/>
        <w:spacing w:before="240" w:after="60" w:line="360" w:lineRule="auto"/>
        <w:rPr>
          <w:color w:val="auto"/>
        </w:rPr>
      </w:pPr>
      <w:r w:rsidRPr="009D141B">
        <w:rPr>
          <w:color w:val="auto"/>
        </w:rPr>
        <w:t>Attivazione nuovi utenti: istruzioni per la compilazione</w:t>
      </w:r>
    </w:p>
    <w:p w14:paraId="010C3EA4" w14:textId="77777777" w:rsidR="009D141B" w:rsidRDefault="009D141B" w:rsidP="009D141B">
      <w:pPr>
        <w:jc w:val="both"/>
        <w:rPr>
          <w:szCs w:val="20"/>
        </w:rPr>
      </w:pPr>
      <w:r>
        <w:rPr>
          <w:szCs w:val="20"/>
        </w:rPr>
        <w:t xml:space="preserve">Nella seguente tabella devono essere indicate richieste di attivazione di nuove utenze per la consultazione della documentazione conservata su Sistema di conservazione. </w:t>
      </w:r>
    </w:p>
    <w:p w14:paraId="010C3EA5" w14:textId="77777777" w:rsidR="009D141B" w:rsidRDefault="009D141B" w:rsidP="009D141B">
      <w:pPr>
        <w:jc w:val="both"/>
        <w:rPr>
          <w:szCs w:val="20"/>
        </w:rPr>
      </w:pPr>
      <w:r>
        <w:rPr>
          <w:szCs w:val="20"/>
        </w:rPr>
        <w:t>La tabella va compilata come segue:</w:t>
      </w:r>
    </w:p>
    <w:p w14:paraId="010C3EA6" w14:textId="77777777" w:rsidR="009D141B" w:rsidRDefault="009D141B" w:rsidP="009D141B">
      <w:pPr>
        <w:numPr>
          <w:ilvl w:val="0"/>
          <w:numId w:val="1"/>
        </w:numPr>
        <w:suppressAutoHyphens/>
        <w:spacing w:after="0" w:line="240" w:lineRule="auto"/>
        <w:jc w:val="both"/>
        <w:rPr>
          <w:szCs w:val="20"/>
        </w:rPr>
      </w:pPr>
      <w:r w:rsidRPr="000C50FD">
        <w:rPr>
          <w:b/>
          <w:szCs w:val="20"/>
        </w:rPr>
        <w:t>Utente</w:t>
      </w:r>
      <w:r w:rsidRPr="000C50FD">
        <w:rPr>
          <w:szCs w:val="20"/>
        </w:rPr>
        <w:t>:</w:t>
      </w:r>
      <w:r>
        <w:rPr>
          <w:szCs w:val="20"/>
        </w:rPr>
        <w:t xml:space="preserve"> nome e cognome dell’utente</w:t>
      </w:r>
    </w:p>
    <w:p w14:paraId="010C3EA7" w14:textId="77777777" w:rsidR="009D141B" w:rsidRDefault="009D141B" w:rsidP="009D141B">
      <w:pPr>
        <w:numPr>
          <w:ilvl w:val="0"/>
          <w:numId w:val="1"/>
        </w:numPr>
        <w:suppressAutoHyphens/>
        <w:spacing w:after="0" w:line="240" w:lineRule="auto"/>
        <w:jc w:val="both"/>
        <w:rPr>
          <w:szCs w:val="20"/>
        </w:rPr>
      </w:pPr>
      <w:r>
        <w:rPr>
          <w:b/>
          <w:szCs w:val="20"/>
        </w:rPr>
        <w:t>Codice fiscale</w:t>
      </w:r>
      <w:r>
        <w:rPr>
          <w:szCs w:val="20"/>
        </w:rPr>
        <w:t>: codice fiscale dell’utente (facoltativo)</w:t>
      </w:r>
    </w:p>
    <w:p w14:paraId="010C3EA8" w14:textId="77777777" w:rsidR="009D141B" w:rsidRPr="00FC277D" w:rsidRDefault="009D141B" w:rsidP="009D141B">
      <w:pPr>
        <w:numPr>
          <w:ilvl w:val="0"/>
          <w:numId w:val="1"/>
        </w:numPr>
        <w:suppressAutoHyphens/>
        <w:spacing w:after="0" w:line="240" w:lineRule="auto"/>
        <w:jc w:val="both"/>
        <w:rPr>
          <w:szCs w:val="20"/>
        </w:rPr>
      </w:pPr>
      <w:r w:rsidRPr="00236F64">
        <w:rPr>
          <w:b/>
          <w:szCs w:val="20"/>
        </w:rPr>
        <w:t>Ruolo nella struttura di appartenenza</w:t>
      </w:r>
      <w:r>
        <w:rPr>
          <w:szCs w:val="20"/>
        </w:rPr>
        <w:t xml:space="preserve">: </w:t>
      </w:r>
    </w:p>
    <w:p w14:paraId="010C3EA9" w14:textId="77777777" w:rsidR="009D141B" w:rsidRDefault="009D141B" w:rsidP="009D141B">
      <w:pPr>
        <w:numPr>
          <w:ilvl w:val="1"/>
          <w:numId w:val="1"/>
        </w:numPr>
        <w:suppressAutoHyphens/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ruolo e </w:t>
      </w:r>
      <w:r w:rsidRPr="0045594A">
        <w:rPr>
          <w:szCs w:val="20"/>
        </w:rPr>
        <w:t>servizio</w:t>
      </w:r>
      <w:r>
        <w:rPr>
          <w:szCs w:val="20"/>
        </w:rPr>
        <w:t xml:space="preserve"> di appartenenza all’interno dell’Amministrazione per i referenti dell’ente produttore; </w:t>
      </w:r>
    </w:p>
    <w:p w14:paraId="010C3EAA" w14:textId="77777777" w:rsidR="009D141B" w:rsidRDefault="009D141B" w:rsidP="009D141B">
      <w:pPr>
        <w:numPr>
          <w:ilvl w:val="1"/>
          <w:numId w:val="1"/>
        </w:numPr>
        <w:suppressAutoHyphens/>
        <w:spacing w:after="0" w:line="240" w:lineRule="auto"/>
        <w:jc w:val="both"/>
        <w:rPr>
          <w:szCs w:val="20"/>
        </w:rPr>
      </w:pPr>
      <w:r>
        <w:rPr>
          <w:szCs w:val="20"/>
        </w:rPr>
        <w:t xml:space="preserve">ruolo e nominativo dell’azienda fornitrice del software per i referenti della ditta incaricati dall’ente di supportare l’attività di conservazione. Il ruolo verrà assegnato soltanto all’ambiente di pre-produzione </w:t>
      </w:r>
      <w:r w:rsidRPr="0093254A">
        <w:rPr>
          <w:szCs w:val="20"/>
        </w:rPr>
        <w:t>funzionale</w:t>
      </w:r>
      <w:r>
        <w:rPr>
          <w:szCs w:val="20"/>
        </w:rPr>
        <w:t xml:space="preserve"> alle attività di test.</w:t>
      </w:r>
    </w:p>
    <w:p w14:paraId="010C3EAB" w14:textId="77777777" w:rsidR="009D141B" w:rsidRDefault="009D141B" w:rsidP="009D141B">
      <w:pPr>
        <w:numPr>
          <w:ilvl w:val="0"/>
          <w:numId w:val="1"/>
        </w:numPr>
        <w:suppressAutoHyphens/>
        <w:spacing w:after="0" w:line="240" w:lineRule="auto"/>
        <w:jc w:val="both"/>
      </w:pPr>
      <w:r w:rsidRPr="00FC277D">
        <w:rPr>
          <w:b/>
        </w:rPr>
        <w:t>Recapiti</w:t>
      </w:r>
      <w:r>
        <w:t>: indicare numero di telefono e indirizzo e-mail.</w:t>
      </w:r>
    </w:p>
    <w:p w14:paraId="010C3EAC" w14:textId="77777777" w:rsidR="009D141B" w:rsidRDefault="009D141B" w:rsidP="009D141B">
      <w:pPr>
        <w:autoSpaceDE w:val="0"/>
        <w:autoSpaceDN w:val="0"/>
        <w:adjustRightInd w:val="0"/>
        <w:ind w:left="708"/>
      </w:pPr>
      <w:r w:rsidRPr="00D141E7">
        <w:rPr>
          <w:b/>
        </w:rPr>
        <w:t>N.B.</w:t>
      </w:r>
      <w:r>
        <w:t xml:space="preserve">: L’indirizzo e-mail fornito deve essere nominativo e con dominio dell’Amministrazione o della ditta fornitrice [es. </w:t>
      </w:r>
      <w:proofErr w:type="spellStart"/>
      <w:proofErr w:type="gramStart"/>
      <w:r w:rsidRPr="008B5D17">
        <w:t>mario.rossi</w:t>
      </w:r>
      <w:proofErr w:type="gramEnd"/>
      <w:r w:rsidRPr="008B5D17">
        <w:t>@comune</w:t>
      </w:r>
      <w:proofErr w:type="spellEnd"/>
      <w:r>
        <w:t>...]. Non è di regola possibile utilizzare indirizzi generici o di gruppo (es. URP@ protocollo@). Se l’utente dispone solamente di un indirizzo email generico è necessario indicare nella tabella che tale indirizzo è consultato solo dall’utente indicato.</w:t>
      </w:r>
      <w:r w:rsidR="00416FEA">
        <w:t xml:space="preserve"> </w:t>
      </w:r>
      <w:r w:rsidRPr="004311F5">
        <w:t>Nel caso in cui sia impossibile utilizzare l’indirizzo mail con dominio dell’Amministrazione ma indirizzi personali è necessario una specifica richiesta da parte del Referente dell’Ente da trasmettere via PEC.</w:t>
      </w:r>
    </w:p>
    <w:p w14:paraId="010C3EAD" w14:textId="77777777" w:rsidR="009D141B" w:rsidRDefault="009D141B" w:rsidP="009D141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Visibilità: </w:t>
      </w:r>
      <w:r>
        <w:t>di default gli utenti hanno accesso a tutti i documenti dell’ente versati in conservazione (ruolo: Supervisore), qualora sia necessario limitare la visibilità a specifiche tipologie di documento è necessario indicarlo nell’apposita colonna.</w:t>
      </w:r>
    </w:p>
    <w:p w14:paraId="010C3EAE" w14:textId="77777777" w:rsidR="009D141B" w:rsidRPr="009D141B" w:rsidRDefault="009D141B" w:rsidP="009D141B">
      <w:pPr>
        <w:autoSpaceDE w:val="0"/>
        <w:autoSpaceDN w:val="0"/>
        <w:adjustRightInd w:val="0"/>
        <w:spacing w:after="0" w:line="240" w:lineRule="auto"/>
        <w:ind w:left="720"/>
      </w:pPr>
      <w:r w:rsidRPr="009D141B">
        <w:t>I ruoli che possono essere assegnati sono:</w:t>
      </w:r>
    </w:p>
    <w:p w14:paraId="010C3EAF" w14:textId="77777777" w:rsidR="009D141B" w:rsidRPr="009D141B" w:rsidRDefault="009D141B" w:rsidP="009D141B">
      <w:pPr>
        <w:pStyle w:val="Paragrafoelenco"/>
        <w:suppressAutoHyphens/>
        <w:spacing w:after="0" w:line="240" w:lineRule="auto"/>
      </w:pPr>
      <w:r w:rsidRPr="009D141B">
        <w:rPr>
          <w:b/>
        </w:rPr>
        <w:lastRenderedPageBreak/>
        <w:t>SUPERVISORE</w:t>
      </w:r>
      <w:r w:rsidRPr="009D141B">
        <w:rPr>
          <w:b/>
          <w:sz w:val="24"/>
          <w:szCs w:val="24"/>
          <w:lang w:eastAsia="it-IT"/>
        </w:rPr>
        <w:t xml:space="preserve"> </w:t>
      </w:r>
      <w:r w:rsidRPr="009D141B">
        <w:t xml:space="preserve">accede a tutte le tipologie di unità documentarie previste, con la possibilità di scaricarle, al monitoraggio dei versamenti e alle configurazioni del sistema, ai criteri di raggruppamento per la generazione degli elenchi di versamento e al registro dei formati per la conservazione. Può effettuare annullamenti di versamenti di unità documentarie. </w:t>
      </w:r>
    </w:p>
    <w:p w14:paraId="010C3EB0" w14:textId="77777777" w:rsidR="009D141B" w:rsidRPr="009D141B" w:rsidRDefault="009D141B" w:rsidP="009D141B">
      <w:pPr>
        <w:pStyle w:val="Paragrafoelenco"/>
        <w:suppressAutoHyphens/>
        <w:spacing w:after="0" w:line="240" w:lineRule="auto"/>
      </w:pPr>
      <w:r w:rsidRPr="009D141B">
        <w:rPr>
          <w:b/>
        </w:rPr>
        <w:t>OPERATORE:</w:t>
      </w:r>
      <w:r w:rsidRPr="009D141B">
        <w:rPr>
          <w:sz w:val="24"/>
          <w:szCs w:val="24"/>
          <w:lang w:eastAsia="it-IT"/>
        </w:rPr>
        <w:t xml:space="preserve"> </w:t>
      </w:r>
      <w:r w:rsidRPr="009D141B">
        <w:t>può visualizzare e scaricare tutte le tipologie di unità documentarie previste oppure specifiche tipologie per le quali abilitato. Può visualizzare le configurazioni del sistema, i criteri di raggruppamento, gli elenchi di versamento e il registro dei formati per la conservazione.</w:t>
      </w:r>
    </w:p>
    <w:p w14:paraId="010C3EB1" w14:textId="77777777" w:rsidR="009D141B" w:rsidRDefault="009D141B" w:rsidP="009D141B">
      <w:pPr>
        <w:autoSpaceDE w:val="0"/>
        <w:autoSpaceDN w:val="0"/>
        <w:adjustRightInd w:val="0"/>
        <w:spacing w:after="0" w:line="240" w:lineRule="auto"/>
      </w:pPr>
    </w:p>
    <w:p w14:paraId="010C3EB2" w14:textId="77777777" w:rsidR="009D141B" w:rsidRPr="007718E4" w:rsidRDefault="009D141B" w:rsidP="009D141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b/>
        </w:rPr>
        <w:t>Ambiente di pre-</w:t>
      </w:r>
      <w:r>
        <w:rPr>
          <w:b/>
          <w:szCs w:val="20"/>
        </w:rPr>
        <w:t xml:space="preserve">produzione: </w:t>
      </w:r>
      <w:r w:rsidRPr="0052109F">
        <w:rPr>
          <w:szCs w:val="20"/>
        </w:rPr>
        <w:t>l</w:t>
      </w:r>
      <w:r w:rsidRPr="007718E4">
        <w:rPr>
          <w:szCs w:val="20"/>
        </w:rPr>
        <w:t xml:space="preserve">e attività riguardanti le utenze si svolgeranno in due ambienti: l’ambiente di produzione, in cui viene conservata in forma definitiva la documentazione, e l’ambiente di pre-produzione, in cui vengono fatti i test e le attività preliminari ai versamenti in produzione. È necessario indicare se l’utente è da attivare in ambiente di pre-produzione, compilando con una X l’ultima colonna della tabella. Si ricorda che in ambiente di pre-produzione devono essere attivati soltanto gli utenti coinvolti direttamente nelle attività di test (generalmente si consiglia non più di 2 per ogni Ente). </w:t>
      </w:r>
    </w:p>
    <w:p w14:paraId="010C3EB3" w14:textId="77777777" w:rsidR="009D141B" w:rsidRDefault="009D141B" w:rsidP="009D141B">
      <w:pPr>
        <w:jc w:val="both"/>
        <w:rPr>
          <w:szCs w:val="20"/>
        </w:rPr>
      </w:pPr>
    </w:p>
    <w:p w14:paraId="010C3EB4" w14:textId="77777777" w:rsidR="009D141B" w:rsidRDefault="009D141B" w:rsidP="009D141B">
      <w:pPr>
        <w:jc w:val="both"/>
        <w:rPr>
          <w:szCs w:val="20"/>
        </w:rPr>
      </w:pPr>
      <w:r>
        <w:rPr>
          <w:szCs w:val="20"/>
        </w:rPr>
        <w:t xml:space="preserve">Il Sistema di conservazione non può essere utilizzato come sostitutivo del Sistema gestionale dell’Ente, pertanto </w:t>
      </w:r>
      <w:r w:rsidRPr="00CE2308">
        <w:rPr>
          <w:szCs w:val="20"/>
        </w:rPr>
        <w:t xml:space="preserve">il numero di utenti abilitati deve essere </w:t>
      </w:r>
      <w:r>
        <w:rPr>
          <w:szCs w:val="20"/>
        </w:rPr>
        <w:t xml:space="preserve">strettamente </w:t>
      </w:r>
      <w:r w:rsidRPr="00CE2308">
        <w:rPr>
          <w:szCs w:val="20"/>
        </w:rPr>
        <w:t xml:space="preserve">limitato </w:t>
      </w:r>
      <w:r>
        <w:rPr>
          <w:szCs w:val="20"/>
        </w:rPr>
        <w:t xml:space="preserve">al personale che dovrà avere accesso all’archivio di conservazione.  </w:t>
      </w:r>
    </w:p>
    <w:p w14:paraId="010C3EB5" w14:textId="77777777" w:rsidR="009D141B" w:rsidRDefault="009D141B" w:rsidP="009D141B">
      <w:pPr>
        <w:jc w:val="both"/>
        <w:rPr>
          <w:szCs w:val="20"/>
        </w:rPr>
      </w:pPr>
    </w:p>
    <w:p w14:paraId="010C3EB6" w14:textId="77777777" w:rsidR="009D141B" w:rsidRDefault="009D141B" w:rsidP="009D141B">
      <w:pPr>
        <w:jc w:val="both"/>
        <w:rPr>
          <w:szCs w:val="20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199"/>
        <w:gridCol w:w="1348"/>
        <w:gridCol w:w="1559"/>
        <w:gridCol w:w="1985"/>
        <w:gridCol w:w="1985"/>
        <w:gridCol w:w="2124"/>
        <w:gridCol w:w="2127"/>
        <w:gridCol w:w="1950"/>
      </w:tblGrid>
      <w:tr w:rsidR="009D141B" w14:paraId="010C3EC2" w14:textId="77777777" w:rsidTr="00196D3C">
        <w:trPr>
          <w:trHeight w:val="216"/>
          <w:tblHeader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0C3EB7" w14:textId="77777777" w:rsidR="009D141B" w:rsidRDefault="009D141B" w:rsidP="009D141B">
            <w:pPr>
              <w:snapToGri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Utente</w:t>
            </w:r>
          </w:p>
        </w:tc>
        <w:tc>
          <w:tcPr>
            <w:tcW w:w="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3EB8" w14:textId="77777777" w:rsidR="009D141B" w:rsidRDefault="009D141B" w:rsidP="009D141B">
            <w:pPr>
              <w:snapToGri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Codice fiscale </w:t>
            </w:r>
            <w:r w:rsidRPr="0045594A">
              <w:rPr>
                <w:b/>
                <w:i/>
                <w:szCs w:val="20"/>
              </w:rPr>
              <w:t>(facoltativo)</w:t>
            </w:r>
          </w:p>
        </w:tc>
        <w:tc>
          <w:tcPr>
            <w:tcW w:w="5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0C3EB9" w14:textId="77777777" w:rsidR="009D141B" w:rsidRDefault="009D141B" w:rsidP="009D141B">
            <w:pPr>
              <w:snapToGri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Ruolo nella struttura di appartenenza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C3EBA" w14:textId="77777777" w:rsidR="009D141B" w:rsidRDefault="009D141B" w:rsidP="009D141B">
            <w:pPr>
              <w:snapToGri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Recapiti </w:t>
            </w:r>
          </w:p>
          <w:p w14:paraId="010C3EBB" w14:textId="77777777" w:rsidR="009D141B" w:rsidRDefault="009D141B" w:rsidP="009D141B">
            <w:pPr>
              <w:snapToGri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(e-mail e numero di telefono)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3EBC" w14:textId="77777777" w:rsidR="009D141B" w:rsidRDefault="009D141B" w:rsidP="009D141B">
            <w:pPr>
              <w:snapToGri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Supervisore</w:t>
            </w:r>
          </w:p>
          <w:p w14:paraId="010C3EBD" w14:textId="77777777" w:rsidR="009D141B" w:rsidRPr="009D141B" w:rsidRDefault="009D141B" w:rsidP="009D141B">
            <w:pPr>
              <w:snapToGri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(indicare con una X alternativamente a </w:t>
            </w:r>
            <w:r>
              <w:rPr>
                <w:b/>
                <w:i/>
                <w:szCs w:val="20"/>
              </w:rPr>
              <w:t>Operatore</w:t>
            </w:r>
            <w:r>
              <w:rPr>
                <w:b/>
                <w:szCs w:val="20"/>
              </w:rPr>
              <w:t>)</w:t>
            </w:r>
          </w:p>
        </w:tc>
        <w:tc>
          <w:tcPr>
            <w:tcW w:w="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3EBE" w14:textId="77777777" w:rsidR="009D141B" w:rsidRDefault="009D141B" w:rsidP="009D141B">
            <w:pPr>
              <w:snapToGri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Operatore</w:t>
            </w:r>
          </w:p>
          <w:p w14:paraId="010C3EBF" w14:textId="77777777" w:rsidR="009D141B" w:rsidRDefault="009D141B" w:rsidP="009D141B">
            <w:pPr>
              <w:snapToGri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(indicare con una X alternativamente a </w:t>
            </w:r>
            <w:r>
              <w:rPr>
                <w:b/>
                <w:i/>
                <w:szCs w:val="20"/>
              </w:rPr>
              <w:t>Supervisore</w:t>
            </w:r>
            <w:r>
              <w:rPr>
                <w:b/>
                <w:szCs w:val="20"/>
              </w:rPr>
              <w:t>)</w:t>
            </w: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3EC0" w14:textId="77777777" w:rsidR="009D141B" w:rsidRDefault="009D141B" w:rsidP="009D141B">
            <w:pPr>
              <w:snapToGri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Visibilità limitata a specifici documenti </w:t>
            </w:r>
            <w:r w:rsidRPr="0045594A">
              <w:rPr>
                <w:b/>
                <w:i/>
                <w:szCs w:val="20"/>
              </w:rPr>
              <w:t>(facoltativo)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3EC1" w14:textId="77777777" w:rsidR="009D141B" w:rsidRDefault="009D141B" w:rsidP="009D141B">
            <w:pPr>
              <w:snapToGrid w:val="0"/>
              <w:rPr>
                <w:b/>
                <w:szCs w:val="20"/>
              </w:rPr>
            </w:pPr>
            <w:r>
              <w:rPr>
                <w:b/>
                <w:szCs w:val="20"/>
              </w:rPr>
              <w:t>Ambiente di pre-produzione per le attività di test</w:t>
            </w:r>
          </w:p>
        </w:tc>
      </w:tr>
      <w:tr w:rsidR="009D141B" w14:paraId="010C3ECB" w14:textId="77777777" w:rsidTr="00196D3C">
        <w:trPr>
          <w:trHeight w:val="216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0C3EC3" w14:textId="77777777" w:rsidR="009D141B" w:rsidRPr="00CE2308" w:rsidRDefault="009D141B" w:rsidP="009D141B">
            <w:pPr>
              <w:snapToGrid w:val="0"/>
              <w:rPr>
                <w:i/>
                <w:szCs w:val="20"/>
              </w:rPr>
            </w:pPr>
            <w:r w:rsidRPr="00CE2308">
              <w:rPr>
                <w:i/>
                <w:szCs w:val="20"/>
              </w:rPr>
              <w:t>[Nome e Cognome]</w:t>
            </w:r>
          </w:p>
        </w:tc>
        <w:tc>
          <w:tcPr>
            <w:tcW w:w="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3EC4" w14:textId="77777777" w:rsidR="009D141B" w:rsidRPr="00CE2308" w:rsidRDefault="009D141B" w:rsidP="009D141B">
            <w:pPr>
              <w:snapToGrid w:val="0"/>
              <w:rPr>
                <w:i/>
                <w:szCs w:val="20"/>
              </w:rPr>
            </w:pPr>
          </w:p>
        </w:tc>
        <w:tc>
          <w:tcPr>
            <w:tcW w:w="5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0C3EC5" w14:textId="77777777" w:rsidR="009D141B" w:rsidRPr="00CE2308" w:rsidRDefault="009D141B" w:rsidP="009D141B">
            <w:pPr>
              <w:snapToGrid w:val="0"/>
              <w:rPr>
                <w:i/>
                <w:szCs w:val="20"/>
              </w:rPr>
            </w:pPr>
            <w:r w:rsidRPr="00CE2308">
              <w:rPr>
                <w:i/>
                <w:szCs w:val="20"/>
              </w:rPr>
              <w:t xml:space="preserve"> </w:t>
            </w: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C3EC6" w14:textId="77777777" w:rsidR="009D141B" w:rsidRPr="00CE2308" w:rsidRDefault="009D141B" w:rsidP="009D141B">
            <w:pPr>
              <w:snapToGrid w:val="0"/>
              <w:rPr>
                <w:i/>
                <w:szCs w:val="20"/>
              </w:rPr>
            </w:pPr>
          </w:p>
        </w:tc>
        <w:tc>
          <w:tcPr>
            <w:tcW w:w="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3EC7" w14:textId="77777777" w:rsidR="009D141B" w:rsidRPr="001C2119" w:rsidRDefault="009D141B" w:rsidP="009D141B">
            <w:pPr>
              <w:snapToGrid w:val="0"/>
              <w:rPr>
                <w:i/>
                <w:szCs w:val="20"/>
                <w:highlight w:val="yellow"/>
              </w:rPr>
            </w:pPr>
          </w:p>
        </w:tc>
        <w:tc>
          <w:tcPr>
            <w:tcW w:w="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3EC8" w14:textId="77777777" w:rsidR="009D141B" w:rsidRPr="001C2119" w:rsidRDefault="009D141B" w:rsidP="009D141B">
            <w:pPr>
              <w:snapToGrid w:val="0"/>
              <w:rPr>
                <w:i/>
                <w:szCs w:val="20"/>
                <w:highlight w:val="yellow"/>
              </w:rPr>
            </w:pPr>
          </w:p>
        </w:tc>
        <w:tc>
          <w:tcPr>
            <w:tcW w:w="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3EC9" w14:textId="77777777" w:rsidR="009D141B" w:rsidRPr="001C2119" w:rsidRDefault="009D141B" w:rsidP="009D141B">
            <w:pPr>
              <w:snapToGrid w:val="0"/>
              <w:rPr>
                <w:i/>
                <w:szCs w:val="20"/>
                <w:highlight w:val="yellow"/>
              </w:rPr>
            </w:pP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3ECA" w14:textId="77777777" w:rsidR="009D141B" w:rsidRPr="001C2119" w:rsidRDefault="009D141B" w:rsidP="009D141B">
            <w:pPr>
              <w:snapToGrid w:val="0"/>
              <w:rPr>
                <w:i/>
                <w:szCs w:val="20"/>
                <w:highlight w:val="yellow"/>
              </w:rPr>
            </w:pPr>
          </w:p>
        </w:tc>
      </w:tr>
    </w:tbl>
    <w:p w14:paraId="010C3ECC" w14:textId="77777777" w:rsidR="009D141B" w:rsidRDefault="009D141B" w:rsidP="009D141B">
      <w:pPr>
        <w:jc w:val="both"/>
      </w:pPr>
    </w:p>
    <w:p w14:paraId="010C3ECD" w14:textId="77777777" w:rsidR="009D141B" w:rsidRDefault="009D141B" w:rsidP="009D141B">
      <w:pPr>
        <w:jc w:val="both"/>
      </w:pPr>
      <w:r>
        <w:t>Compilare una riga per ogni utente da attivare.</w:t>
      </w:r>
    </w:p>
    <w:p w14:paraId="010C3ECE" w14:textId="77777777" w:rsidR="008541BC" w:rsidRDefault="008541BC"/>
    <w:sectPr w:rsidR="008541BC" w:rsidSect="009D14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79D80" w14:textId="77777777" w:rsidR="00B52EF1" w:rsidRDefault="00B52EF1" w:rsidP="00B52EF1">
      <w:pPr>
        <w:spacing w:after="0" w:line="240" w:lineRule="auto"/>
      </w:pPr>
      <w:r>
        <w:separator/>
      </w:r>
    </w:p>
  </w:endnote>
  <w:endnote w:type="continuationSeparator" w:id="0">
    <w:p w14:paraId="76863D25" w14:textId="77777777" w:rsidR="00B52EF1" w:rsidRDefault="00B52EF1" w:rsidP="00B52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760BA" w14:textId="77777777" w:rsidR="00B52EF1" w:rsidRDefault="00B52EF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ADD53" w14:textId="77777777" w:rsidR="00B52EF1" w:rsidRDefault="00B52EF1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B838B" w14:textId="77777777" w:rsidR="00B52EF1" w:rsidRDefault="00B52EF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2C99A" w14:textId="77777777" w:rsidR="00B52EF1" w:rsidRDefault="00B52EF1" w:rsidP="00B52EF1">
      <w:pPr>
        <w:spacing w:after="0" w:line="240" w:lineRule="auto"/>
      </w:pPr>
      <w:r>
        <w:separator/>
      </w:r>
    </w:p>
  </w:footnote>
  <w:footnote w:type="continuationSeparator" w:id="0">
    <w:p w14:paraId="688BF41B" w14:textId="77777777" w:rsidR="00B52EF1" w:rsidRDefault="00B52EF1" w:rsidP="00B52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5892A" w14:textId="77777777" w:rsidR="00B52EF1" w:rsidRDefault="00B52EF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578F3" w14:textId="569763BF" w:rsidR="00B52EF1" w:rsidRDefault="00B52EF1">
    <w:pPr>
      <w:pStyle w:val="Intestazione"/>
    </w:pPr>
    <w:r>
      <w:rPr>
        <w:noProof/>
      </w:rPr>
      <w:drawing>
        <wp:inline distT="0" distB="0" distL="0" distR="0" wp14:anchorId="7DC88B39" wp14:editId="1B0B7F9E">
          <wp:extent cx="2162175" cy="671830"/>
          <wp:effectExtent l="0" t="0" r="9525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671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70915" w14:textId="77777777" w:rsidR="00B52EF1" w:rsidRDefault="00B52EF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C5362"/>
    <w:multiLevelType w:val="hybridMultilevel"/>
    <w:tmpl w:val="1A268AB4"/>
    <w:lvl w:ilvl="0" w:tplc="0410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5F022873"/>
    <w:multiLevelType w:val="hybridMultilevel"/>
    <w:tmpl w:val="E1680604"/>
    <w:lvl w:ilvl="0" w:tplc="D1AE91D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41B"/>
    <w:rsid w:val="001643DD"/>
    <w:rsid w:val="00196D3C"/>
    <w:rsid w:val="0029121E"/>
    <w:rsid w:val="00416FEA"/>
    <w:rsid w:val="004F03D4"/>
    <w:rsid w:val="008541BC"/>
    <w:rsid w:val="009D141B"/>
    <w:rsid w:val="00AB572C"/>
    <w:rsid w:val="00B5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C3EA2"/>
  <w15:chartTrackingRefBased/>
  <w15:docId w15:val="{6132D80F-043E-4BDB-9260-A1096B4D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9D141B"/>
    <w:pPr>
      <w:keepNext/>
      <w:pBdr>
        <w:bottom w:val="single" w:sz="4" w:space="1" w:color="000000"/>
      </w:pBdr>
      <w:suppressAutoHyphens/>
      <w:spacing w:after="60" w:line="240" w:lineRule="auto"/>
      <w:outlineLvl w:val="0"/>
    </w:pPr>
    <w:rPr>
      <w:rFonts w:ascii="Verdana" w:eastAsia="Times New Roman" w:hAnsi="Verdana" w:cs="Arial"/>
      <w:b/>
      <w:bCs/>
      <w:kern w:val="1"/>
      <w:sz w:val="24"/>
      <w:szCs w:val="24"/>
      <w:lang w:eastAsia="ar-SA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D1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9D141B"/>
    <w:rPr>
      <w:rFonts w:ascii="Verdana" w:eastAsia="Times New Roman" w:hAnsi="Verdana" w:cs="Arial"/>
      <w:b/>
      <w:bCs/>
      <w:kern w:val="1"/>
      <w:sz w:val="24"/>
      <w:szCs w:val="24"/>
      <w:lang w:eastAsia="ar-SA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D1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9D141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52E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2EF1"/>
  </w:style>
  <w:style w:type="paragraph" w:styleId="Pidipagina">
    <w:name w:val="footer"/>
    <w:basedOn w:val="Normale"/>
    <w:link w:val="PidipaginaCarattere"/>
    <w:uiPriority w:val="99"/>
    <w:unhideWhenUsed/>
    <w:rsid w:val="00B52E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2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0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8713864A00704CB64864F8B518FC12" ma:contentTypeVersion="0" ma:contentTypeDescription="Creare un nuovo documento." ma:contentTypeScope="" ma:versionID="d7590001e306ea056078152060d69c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216E1C-3128-4332-A67F-8807B6B9066C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elements/1.1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148348DE-BC2C-47D7-A12C-59A409E62B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50CC13-EC90-4E2E-9ADD-950C4BA3C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602</Words>
  <Characters>3436</Characters>
  <Application>Microsoft Office Word</Application>
  <DocSecurity>0</DocSecurity>
  <Lines>28</Lines>
  <Paragraphs>8</Paragraphs>
  <ScaleCrop>false</ScaleCrop>
  <Company>Regione Emilia-Romagna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Attiliani Anna</dc:creator>
  <cp:keywords/>
  <dc:description/>
  <cp:lastModifiedBy>Giovanni Galazzini</cp:lastModifiedBy>
  <cp:revision>8</cp:revision>
  <dcterms:created xsi:type="dcterms:W3CDTF">2017-10-12T12:35:00Z</dcterms:created>
  <dcterms:modified xsi:type="dcterms:W3CDTF">2018-07-28T06:07:00Z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0x010100A78713864A00704CB64864F8B518FC12</vt:lpwstr>
  </property>
</Properties>
</file>