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D99FD" w14:textId="77777777" w:rsidR="009812FD" w:rsidRDefault="009812FD" w:rsidP="00406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</w:p>
    <w:p w14:paraId="5D596704" w14:textId="26902322" w:rsidR="009812FD" w:rsidRPr="00C13CE4" w:rsidRDefault="009812FD" w:rsidP="00406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C13CE4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Testo per Corso Intermedio di E-learning</w:t>
      </w:r>
      <w:r w:rsidR="00C13CE4" w:rsidRPr="00C13CE4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:</w:t>
      </w:r>
    </w:p>
    <w:p w14:paraId="4E582461" w14:textId="17095D9F" w:rsidR="00580B18" w:rsidRPr="00C13CE4" w:rsidRDefault="002B304F" w:rsidP="00406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</w:pPr>
      <w:r w:rsidRPr="00C13CE4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“</w:t>
      </w:r>
      <w:r w:rsidR="00580B18" w:rsidRPr="00C13CE4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L</w:t>
      </w:r>
      <w:r w:rsidRPr="00C13CE4">
        <w:rPr>
          <w:rFonts w:ascii="Times New Roman" w:eastAsia="Times New Roman" w:hAnsi="Times New Roman" w:cs="Times New Roman"/>
          <w:b/>
          <w:sz w:val="32"/>
          <w:szCs w:val="32"/>
          <w:lang w:eastAsia="it-IT"/>
        </w:rPr>
        <w:t>a gestione dell’archivio digitale dell’ente produttore”</w:t>
      </w:r>
    </w:p>
    <w:p w14:paraId="267888B0" w14:textId="77777777" w:rsidR="00580B18" w:rsidRPr="00DE0250" w:rsidRDefault="00580B18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9208D8B" w14:textId="77777777" w:rsidR="00DE0250" w:rsidRPr="00DE0250" w:rsidRDefault="00DE0250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E303E1" w14:textId="77777777" w:rsidR="00580B18" w:rsidRPr="004066B9" w:rsidRDefault="00580B18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</w:t>
      </w:r>
      <w:r w:rsidR="0070472D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Premessa</w:t>
      </w:r>
    </w:p>
    <w:p w14:paraId="5018CEA4" w14:textId="77777777" w:rsidR="00580B18" w:rsidRPr="004066B9" w:rsidRDefault="00580B18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- </w:t>
      </w:r>
      <w:r w:rsid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L’u</w:t>
      </w: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nit</w:t>
      </w:r>
      <w:r w:rsidR="002B304F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à documentaria</w:t>
      </w:r>
      <w:r w:rsid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 le sue parti </w:t>
      </w:r>
      <w:r w:rsidR="004066B9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 La chiave dell’UD</w:t>
      </w:r>
    </w:p>
    <w:p w14:paraId="62BC45D0" w14:textId="77777777" w:rsidR="00580B18" w:rsidRPr="004066B9" w:rsidRDefault="004066B9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 I m</w:t>
      </w:r>
      <w:r w:rsidR="002B304F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etadati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descrittivi</w:t>
      </w:r>
    </w:p>
    <w:p w14:paraId="6BCF2D67" w14:textId="77777777" w:rsidR="00F8529B" w:rsidRDefault="00580B18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 G</w:t>
      </w:r>
      <w:r w:rsidR="002B304F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estione dei fasci</w:t>
      </w:r>
      <w:r w:rsidR="00DE0250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coli</w:t>
      </w:r>
      <w:r w:rsidR="00F8529B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</w:t>
      </w:r>
      <w:r w:rsidR="00DE0250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delle serie</w:t>
      </w:r>
    </w:p>
    <w:p w14:paraId="060DB764" w14:textId="70C81729" w:rsidR="00580B18" w:rsidRPr="004066B9" w:rsidRDefault="00F8529B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 L</w:t>
      </w:r>
      <w:r w:rsidR="00DE0250"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o scarto</w:t>
      </w:r>
      <w:r w:rsidR="003C743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</w:p>
    <w:p w14:paraId="57412B41" w14:textId="77777777" w:rsidR="002B304F" w:rsidRDefault="002B304F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2531BB" w14:textId="77777777" w:rsidR="004066B9" w:rsidRPr="00DE0250" w:rsidRDefault="004066B9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FF1B9F5" w14:textId="4FD7D84D" w:rsidR="00770DD4" w:rsidRPr="00DE0250" w:rsidRDefault="00770DD4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DE025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Premessa</w:t>
      </w:r>
      <w:r w:rsidR="003C743F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</w:t>
      </w:r>
    </w:p>
    <w:p w14:paraId="7777E2E9" w14:textId="5CC71DF8" w:rsidR="00580B18" w:rsidRPr="00DE0250" w:rsidRDefault="00580B18" w:rsidP="004066B9">
      <w:pPr>
        <w:pStyle w:val="NormaleWeb"/>
        <w:spacing w:before="0" w:beforeAutospacing="0" w:after="0" w:afterAutospacing="0"/>
        <w:jc w:val="both"/>
      </w:pPr>
      <w:r w:rsidRPr="00DE0250">
        <w:t>La struttura organizzativa d</w:t>
      </w:r>
      <w:r w:rsidR="00DE0250">
        <w:t xml:space="preserve">i </w:t>
      </w:r>
      <w:proofErr w:type="spellStart"/>
      <w:r w:rsidR="00DE0250" w:rsidRPr="00DE0250">
        <w:t>ParER</w:t>
      </w:r>
      <w:proofErr w:type="spellEnd"/>
      <w:r w:rsidR="00DE0250" w:rsidRPr="00DE0250">
        <w:t xml:space="preserve"> </w:t>
      </w:r>
      <w:r w:rsidRPr="00DE0250">
        <w:t xml:space="preserve">e i suoi rapporti con gli enti produttori si basano sui principi elaborati all’interno del progetto internazionale di ricerca sulla conservazione </w:t>
      </w:r>
      <w:proofErr w:type="spellStart"/>
      <w:r w:rsidR="003E7CE2" w:rsidRPr="003C743F">
        <w:t>Interpares</w:t>
      </w:r>
      <w:proofErr w:type="spellEnd"/>
      <w:r w:rsidR="003E7CE2" w:rsidRPr="003C743F">
        <w:t xml:space="preserve"> </w:t>
      </w:r>
      <w:r w:rsidRPr="00DE0250">
        <w:t>e</w:t>
      </w:r>
      <w:r w:rsidR="00DE0250">
        <w:t xml:space="preserve"> </w:t>
      </w:r>
      <w:r w:rsidRPr="00DE0250">
        <w:t xml:space="preserve">sul modello Open </w:t>
      </w:r>
      <w:proofErr w:type="spellStart"/>
      <w:r w:rsidRPr="00DE0250">
        <w:t>archival</w:t>
      </w:r>
      <w:proofErr w:type="spellEnd"/>
      <w:r w:rsidRPr="00DE0250">
        <w:t xml:space="preserve"> information system (OAIS).</w:t>
      </w:r>
      <w:r w:rsidR="00770DD4" w:rsidRPr="00DE0250">
        <w:t xml:space="preserve"> </w:t>
      </w:r>
      <w:r w:rsidRPr="00DE0250">
        <w:t>Si dà quindi rilievo</w:t>
      </w:r>
      <w:r w:rsidR="00770DD4" w:rsidRPr="00DE0250">
        <w:t xml:space="preserve"> </w:t>
      </w:r>
      <w:r w:rsidRPr="00DE0250">
        <w:t xml:space="preserve">a due funzioni fondamentali: </w:t>
      </w:r>
      <w:r w:rsidR="00790704" w:rsidRPr="00DE0250">
        <w:t>la conservazione dell’informazione a lungo termine e l’accesso all’informazione archiviata.</w:t>
      </w:r>
    </w:p>
    <w:p w14:paraId="4D490F09" w14:textId="77777777" w:rsidR="004066B9" w:rsidRPr="00DE0250" w:rsidRDefault="00AD7B26" w:rsidP="00406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250">
        <w:rPr>
          <w:rFonts w:ascii="Times New Roman" w:hAnsi="Times New Roman" w:cs="Times New Roman"/>
          <w:sz w:val="24"/>
          <w:szCs w:val="24"/>
        </w:rPr>
        <w:t xml:space="preserve">In questo senso, </w:t>
      </w:r>
      <w:proofErr w:type="spellStart"/>
      <w:r w:rsidRPr="00DE0250">
        <w:rPr>
          <w:rFonts w:ascii="Times New Roman" w:hAnsi="Times New Roman" w:cs="Times New Roman"/>
          <w:sz w:val="24"/>
          <w:szCs w:val="24"/>
        </w:rPr>
        <w:t>S</w:t>
      </w:r>
      <w:r w:rsidR="00DE0250">
        <w:rPr>
          <w:rFonts w:ascii="Times New Roman" w:hAnsi="Times New Roman" w:cs="Times New Roman"/>
          <w:sz w:val="24"/>
          <w:szCs w:val="24"/>
        </w:rPr>
        <w:t>acer</w:t>
      </w:r>
      <w:proofErr w:type="spellEnd"/>
      <w:r w:rsidR="00DE0250">
        <w:rPr>
          <w:rFonts w:ascii="Times New Roman" w:hAnsi="Times New Roman" w:cs="Times New Roman"/>
          <w:sz w:val="24"/>
          <w:szCs w:val="24"/>
        </w:rPr>
        <w:t xml:space="preserve"> </w:t>
      </w:r>
      <w:r w:rsidRPr="00DE0250">
        <w:rPr>
          <w:rFonts w:ascii="Times New Roman" w:hAnsi="Times New Roman" w:cs="Times New Roman"/>
          <w:sz w:val="24"/>
          <w:szCs w:val="24"/>
        </w:rPr>
        <w:t xml:space="preserve">non è un mero deposito, con funzione di conservazione di singoli file o di semplice </w:t>
      </w:r>
      <w:r w:rsidRPr="00DE0250">
        <w:rPr>
          <w:rFonts w:ascii="Times New Roman" w:hAnsi="Times New Roman" w:cs="Times New Roman"/>
          <w:i/>
          <w:sz w:val="24"/>
          <w:szCs w:val="24"/>
        </w:rPr>
        <w:t>backup</w:t>
      </w:r>
      <w:r w:rsidR="00DE0250">
        <w:rPr>
          <w:rFonts w:ascii="Times New Roman" w:hAnsi="Times New Roman" w:cs="Times New Roman"/>
          <w:i/>
          <w:sz w:val="24"/>
          <w:szCs w:val="24"/>
        </w:rPr>
        <w:t>,</w:t>
      </w:r>
      <w:r w:rsidRPr="00DE0250">
        <w:rPr>
          <w:rFonts w:ascii="Times New Roman" w:hAnsi="Times New Roman" w:cs="Times New Roman"/>
          <w:sz w:val="24"/>
          <w:szCs w:val="24"/>
        </w:rPr>
        <w:t xml:space="preserve"> ma ragiona in un’ottica di strutturazione dei documenti in aggregati logici e di conservazione, oltre che dei documenti, anche delle informazioni di contesto.</w:t>
      </w:r>
      <w:r w:rsidR="00406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6B9" w:rsidRPr="00DE0250">
        <w:rPr>
          <w:rFonts w:ascii="Times New Roman" w:hAnsi="Times New Roman" w:cs="Times New Roman"/>
          <w:sz w:val="24"/>
          <w:szCs w:val="24"/>
        </w:rPr>
        <w:t>PArER</w:t>
      </w:r>
      <w:proofErr w:type="spellEnd"/>
      <w:r w:rsidR="004066B9" w:rsidRPr="00DE0250">
        <w:rPr>
          <w:rFonts w:ascii="Times New Roman" w:hAnsi="Times New Roman" w:cs="Times New Roman"/>
          <w:sz w:val="24"/>
          <w:szCs w:val="24"/>
        </w:rPr>
        <w:t xml:space="preserve"> conserva – aggregata in rapporto ad ogni produttore – documentazione amministrativa, contabile e fiscale, documentazione sanitaria (referti, prescrizioni, immagini diagnostiche) e documentazione scolastica e universitaria, tra cui verbali di esame, registri delle lezioni e tesi di laurea</w:t>
      </w:r>
    </w:p>
    <w:p w14:paraId="06D2B8FF" w14:textId="77777777" w:rsidR="002B304F" w:rsidRPr="00DE0250" w:rsidRDefault="002B304F" w:rsidP="004066B9">
      <w:pPr>
        <w:pStyle w:val="NormaleWeb"/>
        <w:spacing w:before="0" w:beforeAutospacing="0" w:after="0" w:afterAutospacing="0"/>
        <w:jc w:val="both"/>
      </w:pPr>
      <w:r w:rsidRPr="00DE0250">
        <w:t xml:space="preserve">Dopo l'avviamento, </w:t>
      </w:r>
      <w:r w:rsidR="004066B9">
        <w:t xml:space="preserve">gli enti convenzionati trasmettono </w:t>
      </w:r>
      <w:r w:rsidRPr="00DE0250">
        <w:t xml:space="preserve">a </w:t>
      </w:r>
      <w:proofErr w:type="spellStart"/>
      <w:r w:rsidRPr="00DE0250">
        <w:t>ParER</w:t>
      </w:r>
      <w:proofErr w:type="spellEnd"/>
      <w:r w:rsidRPr="00DE0250">
        <w:t xml:space="preserve"> </w:t>
      </w:r>
      <w:r w:rsidRPr="00DE0250">
        <w:rPr>
          <w:rStyle w:val="Enfasigrassetto"/>
          <w:b w:val="0"/>
        </w:rPr>
        <w:t>documenti informatici e aggregazioni documentali informatiche</w:t>
      </w:r>
      <w:r w:rsidRPr="00DE0250">
        <w:t xml:space="preserve"> dai propri sistemi informatici sotto forma di pacchetti di versamento (SIP) che sono sottoposti a </w:t>
      </w:r>
      <w:r w:rsidRPr="00DE0250">
        <w:rPr>
          <w:rStyle w:val="Enfasigrassetto"/>
          <w:b w:val="0"/>
        </w:rPr>
        <w:t>controlli</w:t>
      </w:r>
      <w:r w:rsidRPr="00DE0250">
        <w:t xml:space="preserve"> relativi al </w:t>
      </w:r>
      <w:r w:rsidRPr="00DE0250">
        <w:rPr>
          <w:rStyle w:val="Enfasigrassetto"/>
          <w:b w:val="0"/>
        </w:rPr>
        <w:t>formato dei file</w:t>
      </w:r>
      <w:r w:rsidRPr="00DE0250">
        <w:rPr>
          <w:b/>
        </w:rPr>
        <w:t xml:space="preserve">, </w:t>
      </w:r>
      <w:r w:rsidRPr="00DE0250">
        <w:t>alla</w:t>
      </w:r>
      <w:r w:rsidRPr="00DE0250">
        <w:rPr>
          <w:b/>
        </w:rPr>
        <w:t xml:space="preserve"> </w:t>
      </w:r>
      <w:r w:rsidRPr="00DE0250">
        <w:rPr>
          <w:rStyle w:val="Enfasigrassetto"/>
          <w:b w:val="0"/>
        </w:rPr>
        <w:t>firma digitale</w:t>
      </w:r>
      <w:r w:rsidRPr="00DE0250">
        <w:rPr>
          <w:b/>
        </w:rPr>
        <w:t xml:space="preserve"> </w:t>
      </w:r>
      <w:r w:rsidRPr="00DE0250">
        <w:t>e ai</w:t>
      </w:r>
      <w:r w:rsidRPr="00DE0250">
        <w:rPr>
          <w:rStyle w:val="Enfasigrassetto"/>
          <w:b w:val="0"/>
        </w:rPr>
        <w:t xml:space="preserve"> metadati.</w:t>
      </w:r>
      <w:r w:rsidRPr="00DE0250">
        <w:rPr>
          <w:rStyle w:val="Enfasigrassetto"/>
        </w:rPr>
        <w:t xml:space="preserve"> </w:t>
      </w:r>
      <w:r w:rsidRPr="00DE0250">
        <w:t xml:space="preserve">Dell’esito del versamento </w:t>
      </w:r>
      <w:proofErr w:type="spellStart"/>
      <w:r w:rsidRPr="00DE0250">
        <w:t>ParER</w:t>
      </w:r>
      <w:proofErr w:type="spellEnd"/>
      <w:r w:rsidRPr="00DE0250">
        <w:t xml:space="preserve"> dà riscontro immediato alle amministrazioni che li hanno trasmessi, mediante la trasmissione del Rapporto di versamento.</w:t>
      </w:r>
    </w:p>
    <w:p w14:paraId="5D0FB141" w14:textId="77777777" w:rsidR="0070472D" w:rsidRPr="00DE0250" w:rsidRDefault="0070472D" w:rsidP="00406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FE14E" w14:textId="77777777" w:rsidR="00770DD4" w:rsidRPr="00DE0250" w:rsidRDefault="00770DD4" w:rsidP="00406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34D40" w14:textId="77777777" w:rsidR="004066B9" w:rsidRDefault="004066B9" w:rsidP="00406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L’u</w:t>
      </w: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nità documentaria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 le sue parti </w:t>
      </w:r>
      <w:r w:rsidRPr="004066B9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- La chiave dell’UD</w:t>
      </w:r>
      <w:r w:rsidRPr="00406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7308B" w14:textId="77777777" w:rsidR="000C03FC" w:rsidRPr="004066B9" w:rsidRDefault="00DE0250" w:rsidP="00406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6B9">
        <w:rPr>
          <w:rFonts w:ascii="Times New Roman" w:hAnsi="Times New Roman" w:cs="Times New Roman"/>
          <w:sz w:val="24"/>
          <w:szCs w:val="24"/>
        </w:rPr>
        <w:t>ParER</w:t>
      </w:r>
      <w:proofErr w:type="spellEnd"/>
      <w:r w:rsidRPr="004066B9">
        <w:rPr>
          <w:rFonts w:ascii="Times New Roman" w:hAnsi="Times New Roman" w:cs="Times New Roman"/>
          <w:sz w:val="24"/>
          <w:szCs w:val="24"/>
        </w:rPr>
        <w:t xml:space="preserve"> </w:t>
      </w:r>
      <w:r w:rsidR="00770DD4" w:rsidRPr="004066B9">
        <w:rPr>
          <w:rFonts w:ascii="Times New Roman" w:hAnsi="Times New Roman" w:cs="Times New Roman"/>
          <w:sz w:val="24"/>
          <w:szCs w:val="24"/>
        </w:rPr>
        <w:t xml:space="preserve">ha </w:t>
      </w:r>
      <w:r w:rsidR="000C03FC" w:rsidRPr="004066B9">
        <w:rPr>
          <w:rFonts w:ascii="Times New Roman" w:hAnsi="Times New Roman" w:cs="Times New Roman"/>
          <w:sz w:val="24"/>
          <w:szCs w:val="24"/>
        </w:rPr>
        <w:t xml:space="preserve">sviluppato nel proprio sistema il modello della unità documentaria come aggregato logico costituito da uno o più documenti che sono considerati come un tutto unico e </w:t>
      </w:r>
      <w:r w:rsidR="004066B9" w:rsidRPr="004066B9">
        <w:rPr>
          <w:rFonts w:ascii="Times New Roman" w:hAnsi="Times New Roman" w:cs="Times New Roman"/>
          <w:sz w:val="24"/>
          <w:szCs w:val="24"/>
        </w:rPr>
        <w:t xml:space="preserve">che </w:t>
      </w:r>
      <w:r w:rsidR="000C03FC" w:rsidRPr="004066B9">
        <w:rPr>
          <w:rFonts w:ascii="Times New Roman" w:hAnsi="Times New Roman" w:cs="Times New Roman"/>
          <w:sz w:val="24"/>
          <w:szCs w:val="24"/>
        </w:rPr>
        <w:t>costituisce l’unità elementare in cui è composto l’archivio.</w:t>
      </w:r>
    </w:p>
    <w:p w14:paraId="42553EFB" w14:textId="0E6F78BC" w:rsidR="004066B9" w:rsidRPr="004066B9" w:rsidRDefault="00B21D5C" w:rsidP="004066B9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66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L’unità documentaria è </w:t>
      </w:r>
      <w:r w:rsidR="004066B9" w:rsidRPr="004066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quindi </w:t>
      </w:r>
      <w:r w:rsidRPr="004066B9">
        <w:rPr>
          <w:rFonts w:ascii="Times New Roman" w:hAnsi="Times New Roman" w:cs="Times New Roman"/>
          <w:bCs/>
          <w:color w:val="000000"/>
          <w:sz w:val="24"/>
          <w:szCs w:val="24"/>
        </w:rPr>
        <w:t>il vero e proprio oggetto di versamento nel sistema di conservazione e viene riconosciuta da un identificativo univoco che è comune per tutti i documenti che la compongono</w:t>
      </w:r>
      <w:r w:rsidR="004066B9" w:rsidRPr="004066B9">
        <w:rPr>
          <w:rFonts w:ascii="Times New Roman" w:hAnsi="Times New Roman" w:cs="Times New Roman"/>
          <w:bCs/>
          <w:color w:val="000000"/>
          <w:sz w:val="24"/>
          <w:szCs w:val="24"/>
        </w:rPr>
        <w:t>. Questo identificativo, univoco, detto “chiave” è composto dalla terna registro-anno</w:t>
      </w:r>
      <w:r w:rsidR="00F8529B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4066B9" w:rsidRPr="004066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numero, quindi dal nome del </w:t>
      </w:r>
      <w:r w:rsidR="004066B9" w:rsidRPr="004066B9">
        <w:rPr>
          <w:rFonts w:ascii="Times New Roman" w:eastAsia="Times New Roman" w:hAnsi="Times New Roman" w:cs="Times New Roman"/>
          <w:sz w:val="24"/>
          <w:szCs w:val="24"/>
          <w:lang w:eastAsia="it-IT"/>
        </w:rPr>
        <w:t>registro dell’unità documentaria, dall’</w:t>
      </w:r>
      <w:r w:rsidR="003C743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anno</w:t>
      </w:r>
      <w:r w:rsidR="004066B9" w:rsidRPr="004066B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dal numero unico e progressivo attribuito all’unità documentaria di quell’anno.</w:t>
      </w:r>
    </w:p>
    <w:p w14:paraId="5B5E027E" w14:textId="77777777" w:rsidR="004066B9" w:rsidRDefault="004066B9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All’interno dell’UD, i documenti sono</w:t>
      </w:r>
      <w:r w:rsidR="00B21D5C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organizzati secondo logiche coerenti che individuano, per ciascuna tipologia, la natura del documento principale e dei diversi allegati, oltre ai relativi metadati.</w:t>
      </w:r>
    </w:p>
    <w:p w14:paraId="40927769" w14:textId="77777777" w:rsidR="004066B9" w:rsidRPr="00DE0250" w:rsidRDefault="004066B9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I documenti sono </w:t>
      </w:r>
      <w:r w:rsidRPr="00DE0250">
        <w:rPr>
          <w:rFonts w:ascii="Times New Roman" w:hAnsi="Times New Roman" w:cs="Times New Roman"/>
          <w:sz w:val="24"/>
          <w:szCs w:val="24"/>
        </w:rPr>
        <w:t xml:space="preserve">suddivisi </w:t>
      </w:r>
      <w:r>
        <w:rPr>
          <w:rFonts w:ascii="Times New Roman" w:hAnsi="Times New Roman" w:cs="Times New Roman"/>
          <w:sz w:val="24"/>
          <w:szCs w:val="24"/>
        </w:rPr>
        <w:t xml:space="preserve">tra </w:t>
      </w:r>
      <w:r w:rsidRPr="00DE0250">
        <w:rPr>
          <w:rFonts w:ascii="Times New Roman" w:hAnsi="Times New Roman" w:cs="Times New Roman"/>
          <w:sz w:val="24"/>
          <w:szCs w:val="24"/>
        </w:rPr>
        <w:t>allegati veri e propri (documenti che compongono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250">
        <w:rPr>
          <w:rFonts w:ascii="Times New Roman" w:hAnsi="Times New Roman" w:cs="Times New Roman"/>
          <w:sz w:val="24"/>
          <w:szCs w:val="24"/>
        </w:rPr>
        <w:t xml:space="preserve">l’unità documentaria a integrazione delle informazioni contenute nel documento principale, redatti contestualmente o precedentemente a quest’ultimo), annessi (documenti </w:t>
      </w:r>
      <w:r w:rsidRPr="00DE0250">
        <w:rPr>
          <w:rFonts w:ascii="Times New Roman" w:hAnsi="Times New Roman" w:cs="Times New Roman"/>
          <w:color w:val="000000"/>
          <w:sz w:val="24"/>
          <w:szCs w:val="24"/>
        </w:rPr>
        <w:t>generalmente prodott</w:t>
      </w:r>
      <w:r w:rsidRPr="00DE0250">
        <w:rPr>
          <w:rFonts w:ascii="Times New Roman" w:hAnsi="Times New Roman" w:cs="Times New Roman"/>
          <w:sz w:val="24"/>
          <w:szCs w:val="24"/>
        </w:rPr>
        <w:t>i e inseriti</w:t>
      </w:r>
      <w:r w:rsidRPr="00DE0250">
        <w:rPr>
          <w:rFonts w:ascii="Times New Roman" w:hAnsi="Times New Roman" w:cs="Times New Roman"/>
          <w:color w:val="000000"/>
          <w:sz w:val="24"/>
          <w:szCs w:val="24"/>
        </w:rPr>
        <w:t xml:space="preserve"> nell’</w:t>
      </w:r>
      <w:r w:rsidRPr="00DE0250">
        <w:rPr>
          <w:rFonts w:ascii="Times New Roman" w:hAnsi="Times New Roman" w:cs="Times New Roman"/>
          <w:sz w:val="24"/>
          <w:szCs w:val="24"/>
        </w:rPr>
        <w:t>u</w:t>
      </w:r>
      <w:r w:rsidRPr="00DE0250">
        <w:rPr>
          <w:rFonts w:ascii="Times New Roman" w:hAnsi="Times New Roman" w:cs="Times New Roman"/>
          <w:color w:val="000000"/>
          <w:sz w:val="24"/>
          <w:szCs w:val="24"/>
        </w:rPr>
        <w:t>nità documentaria in un momento successivo a quello di creazione del documento principale, quali ad esempio pareri o visti sul documento principale, ricevute, relate di pubblicazione o simili)</w:t>
      </w:r>
      <w:r w:rsidRPr="00DE0250">
        <w:rPr>
          <w:rFonts w:ascii="Times New Roman" w:hAnsi="Times New Roman" w:cs="Times New Roman"/>
          <w:sz w:val="24"/>
          <w:szCs w:val="24"/>
        </w:rPr>
        <w:t xml:space="preserve"> e annotazioni (cioè oggetti digitali separati, ma intimamente connessi con il documento principale, i cui elementi nel tradizionale ambiente cartaceo erano riportati sul supporto stesso del documento: caso tipico la segnatura di protocollo). </w:t>
      </w:r>
      <w:r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singoli documenti sono a loro volta distinti </w:t>
      </w:r>
      <w:proofErr w:type="gramStart"/>
      <w:r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>nei</w:t>
      </w:r>
      <w:proofErr w:type="gramEnd"/>
      <w:r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specifici componenti digitali (files) che li compongono.</w:t>
      </w:r>
    </w:p>
    <w:p w14:paraId="4DFBD69A" w14:textId="77777777" w:rsidR="00DE0250" w:rsidRDefault="00DE0250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164BB85" w14:textId="77777777" w:rsidR="004066B9" w:rsidRDefault="004066B9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7AB489" w14:textId="77777777" w:rsidR="00DE0250" w:rsidRPr="00DE0250" w:rsidRDefault="00DE0250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I m</w:t>
      </w:r>
      <w:r w:rsidRPr="00DE025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etadati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descrittivi</w:t>
      </w:r>
    </w:p>
    <w:p w14:paraId="1E6CAFBB" w14:textId="77777777" w:rsidR="004066B9" w:rsidRDefault="004066B9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173062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’analisi di tipo archivistico e informatico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che sta a monte di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Sacer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3062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>ha portato alla creazione di set di metadati specifici per le diverse tipologie di unità documentarie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(metadati </w:t>
      </w:r>
      <w:r w:rsidR="00173062" w:rsidRPr="00DE0250">
        <w:rPr>
          <w:rFonts w:ascii="Times New Roman" w:hAnsi="Times New Roman" w:cs="Times New Roman"/>
          <w:sz w:val="24"/>
          <w:szCs w:val="24"/>
        </w:rPr>
        <w:t>per delibere, determinazioni, documenti protocollati, documentazione sanitaria ecc</w:t>
      </w:r>
      <w:r>
        <w:rPr>
          <w:rFonts w:ascii="Times New Roman" w:hAnsi="Times New Roman" w:cs="Times New Roman"/>
          <w:sz w:val="24"/>
          <w:szCs w:val="24"/>
        </w:rPr>
        <w:t>.) e</w:t>
      </w:r>
      <w:r w:rsidR="00173062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metadati comuni a livello di unità documentaria, in grado di catturare e gestire le informazioni di contesto e tutte quelle informazioni utili a una conservazione a lungo termine.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73062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>Tali set di metadati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vengono </w:t>
      </w:r>
      <w:r w:rsidR="00173062"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>definiti in accordo con gli enti produttori e con i fornitori dei sistemi di gestione documentale.</w:t>
      </w:r>
    </w:p>
    <w:p w14:paraId="4A9E691B" w14:textId="2B22446D" w:rsidR="00173062" w:rsidRPr="00DE0250" w:rsidRDefault="00173062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E0250">
        <w:rPr>
          <w:rFonts w:ascii="Times New Roman" w:hAnsi="Times New Roman" w:cs="Times New Roman"/>
          <w:sz w:val="24"/>
          <w:szCs w:val="24"/>
        </w:rPr>
        <w:t xml:space="preserve">Il set di metadati dell’unità documentaria comprende </w:t>
      </w:r>
      <w:r w:rsidR="003C743F">
        <w:rPr>
          <w:rFonts w:ascii="Times New Roman" w:hAnsi="Times New Roman" w:cs="Times New Roman"/>
          <w:sz w:val="24"/>
          <w:szCs w:val="24"/>
        </w:rPr>
        <w:t xml:space="preserve">informazioni </w:t>
      </w:r>
      <w:bookmarkStart w:id="0" w:name="_GoBack"/>
      <w:bookmarkEnd w:id="0"/>
      <w:r w:rsidRPr="00DE0250">
        <w:rPr>
          <w:rFonts w:ascii="Times New Roman" w:hAnsi="Times New Roman" w:cs="Times New Roman"/>
          <w:sz w:val="24"/>
          <w:szCs w:val="24"/>
        </w:rPr>
        <w:t xml:space="preserve">dell’ente produttore e versante, identificativi della struttura produttrice dell’unità documentaria e del sistema di produzione, identificativi dell’unità documentaria (dati di registrazione), relativi al contesto cronologico di produzione dell’unità documentaria, al contesto archivistico (classificazione e fascicolazione). Il set di metadati sui componenti copre il ventaglio delle caratteristiche tecniche (formato, dimensione, rappresentazione), delle verifiche effettuate (su firme digitali, marche e riferimenti temporali) e degli aspetti di identificazione e integrità (funzioni di </w:t>
      </w:r>
      <w:proofErr w:type="spellStart"/>
      <w:r w:rsidRPr="00DE025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DE0250">
        <w:rPr>
          <w:rFonts w:ascii="Times New Roman" w:hAnsi="Times New Roman" w:cs="Times New Roman"/>
          <w:sz w:val="24"/>
          <w:szCs w:val="24"/>
        </w:rPr>
        <w:t>).</w:t>
      </w:r>
    </w:p>
    <w:p w14:paraId="3A331849" w14:textId="77777777" w:rsidR="00B21D5C" w:rsidRPr="00DE0250" w:rsidRDefault="00B21D5C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E0250">
        <w:rPr>
          <w:rFonts w:ascii="Times New Roman" w:hAnsi="Times New Roman" w:cs="Times New Roman"/>
          <w:bCs/>
          <w:color w:val="000000"/>
          <w:sz w:val="24"/>
          <w:szCs w:val="24"/>
        </w:rPr>
        <w:t>Il sistema di conservazione mantiene così non solo i singoli documenti ma anche tutte quelle informazioni di contesto che ne costituiscono parte integrante e sostanziale e costituiscono i nessi e vincoli archivistici necessari per comprendere a pieno il singolo documento nell'ambito della struttura dell'archivio del soggetto produttore nel suo complesso.</w:t>
      </w:r>
    </w:p>
    <w:p w14:paraId="55377C70" w14:textId="77777777" w:rsidR="0099370E" w:rsidRPr="00DE0250" w:rsidRDefault="0099370E" w:rsidP="004066B9">
      <w:pPr>
        <w:pStyle w:val="Paragrafoelenco"/>
        <w:autoSpaceDE w:val="0"/>
        <w:spacing w:before="0" w:after="0" w:line="240" w:lineRule="auto"/>
        <w:ind w:left="0" w:right="0"/>
        <w:rPr>
          <w:rFonts w:ascii="Times New Roman" w:eastAsia="Times New Roman" w:hAnsi="Times New Roman"/>
          <w:bCs/>
          <w:color w:val="000000"/>
          <w:szCs w:val="24"/>
        </w:rPr>
      </w:pPr>
    </w:p>
    <w:p w14:paraId="38E1E607" w14:textId="77777777" w:rsidR="00770DD4" w:rsidRPr="00DE0250" w:rsidRDefault="00770DD4" w:rsidP="004066B9">
      <w:pPr>
        <w:pStyle w:val="Paragrafoelenco"/>
        <w:autoSpaceDE w:val="0"/>
        <w:spacing w:before="0" w:after="0" w:line="240" w:lineRule="auto"/>
        <w:ind w:left="0" w:right="0"/>
        <w:rPr>
          <w:rFonts w:ascii="Times New Roman" w:hAnsi="Times New Roman"/>
          <w:bCs/>
          <w:color w:val="000000"/>
          <w:szCs w:val="24"/>
        </w:rPr>
      </w:pPr>
    </w:p>
    <w:p w14:paraId="4D427641" w14:textId="77777777" w:rsidR="0099370E" w:rsidRPr="00DE0250" w:rsidRDefault="0099370E" w:rsidP="004066B9">
      <w:pPr>
        <w:pStyle w:val="Paragrafoelenco"/>
        <w:autoSpaceDE w:val="0"/>
        <w:spacing w:before="0" w:after="0" w:line="240" w:lineRule="auto"/>
        <w:ind w:left="0" w:right="0"/>
        <w:rPr>
          <w:rFonts w:ascii="Times New Roman" w:hAnsi="Times New Roman"/>
          <w:bCs/>
          <w:color w:val="000000"/>
          <w:szCs w:val="24"/>
        </w:rPr>
      </w:pPr>
    </w:p>
    <w:p w14:paraId="09BF820B" w14:textId="77777777" w:rsidR="00770DD4" w:rsidRPr="00DE0250" w:rsidRDefault="00770DD4" w:rsidP="004066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DE025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Gestione dei fasci</w:t>
      </w:r>
      <w:r w:rsidR="0099370E" w:rsidRPr="00DE025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coli</w:t>
      </w:r>
      <w:r w:rsidR="00F8529B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 xml:space="preserve"> e </w:t>
      </w:r>
      <w:r w:rsidR="0099370E" w:rsidRPr="00DE0250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delle serie</w:t>
      </w:r>
    </w:p>
    <w:p w14:paraId="12EC9F17" w14:textId="77777777" w:rsidR="00B21D5C" w:rsidRPr="00DE0250" w:rsidRDefault="00B21D5C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250">
        <w:rPr>
          <w:rFonts w:ascii="Times New Roman" w:hAnsi="Times New Roman" w:cs="Times New Roman"/>
          <w:sz w:val="24"/>
          <w:szCs w:val="24"/>
        </w:rPr>
        <w:t xml:space="preserve">Dal punto di vista dell’oggetto della conservazione, il testo delle </w:t>
      </w:r>
      <w:proofErr w:type="gramStart"/>
      <w:r w:rsidRPr="00DE0250">
        <w:rPr>
          <w:rFonts w:ascii="Times New Roman" w:hAnsi="Times New Roman" w:cs="Times New Roman"/>
          <w:sz w:val="24"/>
          <w:szCs w:val="24"/>
        </w:rPr>
        <w:t>nuove  regole</w:t>
      </w:r>
      <w:proofErr w:type="gramEnd"/>
      <w:r w:rsidRPr="00DE0250">
        <w:rPr>
          <w:rFonts w:ascii="Times New Roman" w:hAnsi="Times New Roman" w:cs="Times New Roman"/>
          <w:sz w:val="24"/>
          <w:szCs w:val="24"/>
        </w:rPr>
        <w:t xml:space="preserve"> tecniche sulla conservazione si riferisce non solo ai documenti informatici, ma anche ai fascicoli informatici, ovvero alle aggregazioni documentali informatiche con i metadati ad essi associati. In questo senso, già ora il sistema di conservazione sviluppato da </w:t>
      </w:r>
      <w:proofErr w:type="spellStart"/>
      <w:r w:rsidRPr="00DE0250">
        <w:rPr>
          <w:rFonts w:ascii="Times New Roman" w:hAnsi="Times New Roman" w:cs="Times New Roman"/>
          <w:sz w:val="24"/>
          <w:szCs w:val="24"/>
        </w:rPr>
        <w:t>ParER</w:t>
      </w:r>
      <w:proofErr w:type="spellEnd"/>
      <w:r w:rsidRPr="00DE0250">
        <w:rPr>
          <w:rFonts w:ascii="Times New Roman" w:hAnsi="Times New Roman" w:cs="Times New Roman"/>
          <w:sz w:val="24"/>
          <w:szCs w:val="24"/>
        </w:rPr>
        <w:t xml:space="preserve"> ragiona in un’ottica di strutturazione dei documenti in aggregati logici e di conservazione, oltre che dei documenti, anche delle informazioni di contesto.</w:t>
      </w:r>
    </w:p>
    <w:p w14:paraId="1A9FE696" w14:textId="77777777" w:rsidR="00B21D5C" w:rsidRPr="00DE0250" w:rsidRDefault="00B21D5C" w:rsidP="004066B9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250">
        <w:rPr>
          <w:rFonts w:ascii="Times New Roman" w:hAnsi="Times New Roman" w:cs="Times New Roman"/>
          <w:color w:val="000000"/>
          <w:sz w:val="24"/>
          <w:szCs w:val="24"/>
        </w:rPr>
        <w:t xml:space="preserve">In particolare, il sistema di conservazione sviluppato da </w:t>
      </w:r>
      <w:proofErr w:type="spellStart"/>
      <w:r w:rsidRPr="00DE0250">
        <w:rPr>
          <w:rFonts w:ascii="Times New Roman" w:hAnsi="Times New Roman" w:cs="Times New Roman"/>
          <w:color w:val="000000"/>
          <w:sz w:val="24"/>
          <w:szCs w:val="24"/>
        </w:rPr>
        <w:t>ParER</w:t>
      </w:r>
      <w:proofErr w:type="spellEnd"/>
      <w:r w:rsidRPr="00DE0250">
        <w:rPr>
          <w:rFonts w:ascii="Times New Roman" w:hAnsi="Times New Roman" w:cs="Times New Roman"/>
          <w:color w:val="000000"/>
          <w:sz w:val="24"/>
          <w:szCs w:val="24"/>
        </w:rPr>
        <w:t xml:space="preserve"> prevede l’acquisizione, fin dal momento della produzione del documento, delle informazioni relative a classificazione e fascicolazione, gli elementi che consentono l’inserimento del documento stesso nell’unità funzionale minima dell’archivio, il fascicolo. Successivamente, e nel corso del tempo, le informazioni relative al contesto sono soggette ad incremento, con l’acquisizione dei dati</w:t>
      </w:r>
      <w:r w:rsidRPr="00DE0250">
        <w:rPr>
          <w:rFonts w:ascii="Times New Roman" w:hAnsi="Times New Roman" w:cs="Times New Roman"/>
          <w:sz w:val="24"/>
          <w:szCs w:val="24"/>
        </w:rPr>
        <w:t xml:space="preserve"> relativi all'evolversi del contesto della gestione documentale e dei processi di lavoro all’interno dei quali i </w:t>
      </w:r>
      <w:r w:rsidRPr="00DE0250">
        <w:rPr>
          <w:rFonts w:ascii="Times New Roman" w:hAnsi="Times New Roman" w:cs="Times New Roman"/>
          <w:sz w:val="24"/>
          <w:szCs w:val="24"/>
        </w:rPr>
        <w:lastRenderedPageBreak/>
        <w:t xml:space="preserve">documenti sono utilizzati. </w:t>
      </w:r>
      <w:r w:rsidRPr="00DE0250">
        <w:rPr>
          <w:rFonts w:ascii="Times New Roman" w:hAnsi="Times New Roman" w:cs="Times New Roman"/>
          <w:color w:val="000000"/>
          <w:sz w:val="24"/>
          <w:szCs w:val="24"/>
        </w:rPr>
        <w:t xml:space="preserve">In una fase più lontana nel tempo, in cui saranno stabilizzate tutte le relazioni di contesto e di </w:t>
      </w:r>
      <w:r w:rsidRPr="00DE0250">
        <w:rPr>
          <w:rFonts w:ascii="Times New Roman" w:hAnsi="Times New Roman" w:cs="Times New Roman"/>
          <w:sz w:val="24"/>
          <w:szCs w:val="24"/>
        </w:rPr>
        <w:t>struttura, si gestiranno le descrizioni relative ai livelli di aggregazione logica (fondo, serie, ecc.) secondo le specifiche ISAAR e ISAD e si procederà alla generazione della struttura descrittiva. Sarà quindi possibile offrire servizi di supporto alla consultazione e all’accesso per finalità amministrative, storiche, di studio e di ricerca scientifica, con la produzione di strumenti di corredo e descrizione archivistica e il loro inserimento nei sistemi informativi archivistici.</w:t>
      </w:r>
    </w:p>
    <w:p w14:paraId="3FF23464" w14:textId="20FD28AF" w:rsidR="00C023E9" w:rsidRPr="00DE0250" w:rsidRDefault="00C023E9" w:rsidP="004066B9">
      <w:pPr>
        <w:pStyle w:val="NormaleWeb"/>
        <w:spacing w:before="0" w:beforeAutospacing="0" w:after="0" w:afterAutospacing="0"/>
        <w:jc w:val="both"/>
      </w:pPr>
    </w:p>
    <w:p w14:paraId="49D0C9AD" w14:textId="384F8125" w:rsidR="00C023E9" w:rsidRPr="00F8529B" w:rsidRDefault="00C023E9" w:rsidP="00F8529B">
      <w:pPr>
        <w:pStyle w:val="NormaleWeb"/>
        <w:spacing w:before="0" w:beforeAutospacing="0" w:after="0" w:afterAutospacing="0"/>
        <w:jc w:val="both"/>
      </w:pPr>
      <w:r w:rsidRPr="00F8529B">
        <w:t xml:space="preserve">Il processo di conservazione prosegue </w:t>
      </w:r>
      <w:proofErr w:type="gramStart"/>
      <w:r w:rsidRPr="00F8529B">
        <w:t>con</w:t>
      </w:r>
      <w:r w:rsidR="00F2784C">
        <w:t xml:space="preserve"> </w:t>
      </w:r>
      <w:r w:rsidRPr="00F8529B">
        <w:t xml:space="preserve"> la</w:t>
      </w:r>
      <w:proofErr w:type="gramEnd"/>
      <w:r w:rsidRPr="00F8529B">
        <w:t xml:space="preserve"> creazione dell’Indice AIP della serie, l’apposizione di una marca temporale sullo stesso e la firma dell’Indice da parte del responsabile della funzione archivistica di conservazione di </w:t>
      </w:r>
      <w:proofErr w:type="spellStart"/>
      <w:r w:rsidRPr="00F8529B">
        <w:t>ParER</w:t>
      </w:r>
      <w:proofErr w:type="spellEnd"/>
      <w:r w:rsidRPr="00F8529B">
        <w:t>.</w:t>
      </w:r>
    </w:p>
    <w:p w14:paraId="69D5DA85" w14:textId="77777777" w:rsidR="00F8529B" w:rsidRDefault="00F8529B" w:rsidP="00F8529B">
      <w:pPr>
        <w:pStyle w:val="NormaleWeb"/>
        <w:spacing w:before="0" w:beforeAutospacing="0" w:after="0" w:afterAutospacing="0"/>
        <w:jc w:val="both"/>
      </w:pPr>
    </w:p>
    <w:p w14:paraId="4C2D1701" w14:textId="77777777" w:rsidR="00F8529B" w:rsidRPr="00F8529B" w:rsidRDefault="00F8529B" w:rsidP="00F8529B">
      <w:pPr>
        <w:pStyle w:val="NormaleWeb"/>
        <w:spacing w:before="0" w:beforeAutospacing="0" w:after="0" w:afterAutospacing="0"/>
        <w:jc w:val="both"/>
        <w:rPr>
          <w:b/>
        </w:rPr>
      </w:pPr>
      <w:r w:rsidRPr="00F8529B">
        <w:rPr>
          <w:b/>
        </w:rPr>
        <w:t>Lo scarto</w:t>
      </w:r>
    </w:p>
    <w:p w14:paraId="78D85069" w14:textId="77777777" w:rsidR="00AD7B26" w:rsidRPr="00F8529B" w:rsidRDefault="00C023E9" w:rsidP="00F8529B">
      <w:pPr>
        <w:pStyle w:val="NormaleWeb"/>
        <w:spacing w:before="0" w:beforeAutospacing="0" w:after="0" w:afterAutospacing="0"/>
        <w:jc w:val="both"/>
      </w:pPr>
      <w:r w:rsidRPr="00F8529B">
        <w:t>L’ente ha la possibilità in ogni momento di scaricare dal sistema di conservazione sia i documenti versati che le relative prove di conservazione, anche a fini di esibizione.</w:t>
      </w:r>
    </w:p>
    <w:p w14:paraId="1D91BE30" w14:textId="6948220A" w:rsidR="00FA1E76" w:rsidRPr="00FA1E76" w:rsidRDefault="00FA1E76" w:rsidP="00F85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Il Sistema mette a disposizione 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anche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funzionalità dedicate a gestire la selezione e lo 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scarto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delle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ggregazioni documentali informatiche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Unità archivistiche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Serie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) e dei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ocumenti informatici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che ne fanno parte, in conformità alle norme vigenti.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Queste funzionalità sono oggi in via di sviluppo.</w:t>
      </w:r>
    </w:p>
    <w:p w14:paraId="7B39FC98" w14:textId="1718873B" w:rsidR="00F8529B" w:rsidRDefault="00FA1E76" w:rsidP="00F85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In base ai tempi di conservazione risultanti dai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assimari di scarto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dei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>roduttori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, definiti a livello di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iano di classificazione, di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nità archivistica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o di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nità documentaria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in appositi 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>metadati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, il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istema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 xml:space="preserve">permetterà di 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produrre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un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lenco di scarto per ogni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>roduttore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, cioè un elenco delle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nità archivistiche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FA1E7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nità documentarie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che hanno superato il tempo minimo di conservazione e possono essere sottoposte a procedure di 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>scarto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. Tale elenco di scarto p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otrà e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ssere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trasmesso dal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roduttore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>all’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utorità di vigilanza che, in base alle norme vigenti, 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 xml:space="preserve">fornirà o meno 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 xml:space="preserve">il nulla-osta per lo </w:t>
      </w:r>
      <w:r w:rsidRPr="00FA1E76">
        <w:rPr>
          <w:rFonts w:ascii="Times New Roman" w:hAnsi="Times New Roman" w:cs="Times New Roman"/>
          <w:iCs/>
          <w:color w:val="000000"/>
          <w:sz w:val="24"/>
          <w:szCs w:val="24"/>
        </w:rPr>
        <w:t>scarto</w:t>
      </w:r>
      <w:r w:rsidRPr="00FA1E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 Dopo una serie di controlli, e ottenuto il nullaosta allo scarto, </w:t>
      </w:r>
      <w:proofErr w:type="spellStart"/>
      <w:r w:rsidRPr="00F8529B">
        <w:rPr>
          <w:rFonts w:ascii="Times New Roman" w:hAnsi="Times New Roman" w:cs="Times New Roman"/>
          <w:color w:val="000000"/>
          <w:sz w:val="24"/>
          <w:szCs w:val="24"/>
        </w:rPr>
        <w:t>ParER</w:t>
      </w:r>
      <w:proofErr w:type="spellEnd"/>
      <w:r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 xml:space="preserve">otrà </w:t>
      </w:r>
      <w:r w:rsidRPr="00F8529B">
        <w:rPr>
          <w:rFonts w:ascii="Times New Roman" w:hAnsi="Times New Roman" w:cs="Times New Roman"/>
          <w:color w:val="000000"/>
          <w:sz w:val="24"/>
          <w:szCs w:val="24"/>
        </w:rPr>
        <w:t>procede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 alla cancellazione degli AIP contenuti nell’Elenco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, con una </w:t>
      </w:r>
      <w:r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operazione 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che il sistema te</w:t>
      </w:r>
      <w:r w:rsidR="00F2784C">
        <w:rPr>
          <w:rFonts w:ascii="Times New Roman" w:hAnsi="Times New Roman" w:cs="Times New Roman"/>
          <w:color w:val="000000"/>
          <w:sz w:val="24"/>
          <w:szCs w:val="24"/>
        </w:rPr>
        <w:t xml:space="preserve">rrò </w:t>
      </w:r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 xml:space="preserve">tracciata passo </w:t>
      </w:r>
      <w:proofErr w:type="spellStart"/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passo</w:t>
      </w:r>
      <w:proofErr w:type="spellEnd"/>
      <w:r w:rsidR="00F8529B" w:rsidRPr="00F8529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F8529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5C62" w14:textId="77777777" w:rsidR="00C37E12" w:rsidRDefault="00C37E12" w:rsidP="00AD7B26">
      <w:pPr>
        <w:spacing w:after="0" w:line="240" w:lineRule="auto"/>
      </w:pPr>
      <w:r>
        <w:separator/>
      </w:r>
    </w:p>
  </w:endnote>
  <w:endnote w:type="continuationSeparator" w:id="0">
    <w:p w14:paraId="74806BBC" w14:textId="77777777" w:rsidR="00C37E12" w:rsidRDefault="00C37E12" w:rsidP="00AD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bon-Roman">
    <w:altName w:val="Sabon-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Interstate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charset w:val="80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ACA4A" w14:textId="77777777" w:rsidR="00C37E12" w:rsidRDefault="00C37E12" w:rsidP="00AD7B26">
      <w:pPr>
        <w:spacing w:after="0" w:line="240" w:lineRule="auto"/>
      </w:pPr>
      <w:r>
        <w:separator/>
      </w:r>
    </w:p>
  </w:footnote>
  <w:footnote w:type="continuationSeparator" w:id="0">
    <w:p w14:paraId="0556838E" w14:textId="77777777" w:rsidR="00C37E12" w:rsidRDefault="00C37E12" w:rsidP="00AD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472" w14:textId="28C0EB8B" w:rsidR="002642C9" w:rsidRDefault="002642C9">
    <w:pPr>
      <w:pStyle w:val="Intestazione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9854"/>
    </w:tblGrid>
    <w:tr w:rsidR="002642C9" w:rsidRPr="00DB1DE1" w14:paraId="4CF75B8A" w14:textId="77777777" w:rsidTr="001B501C">
      <w:trPr>
        <w:jc w:val="center"/>
      </w:trPr>
      <w:tc>
        <w:tcPr>
          <w:tcW w:w="9610" w:type="dxa"/>
          <w:tcBorders>
            <w:top w:val="nil"/>
            <w:left w:val="nil"/>
            <w:bottom w:val="nil"/>
            <w:right w:val="nil"/>
          </w:tcBorders>
        </w:tcPr>
        <w:p w14:paraId="5EE331B8" w14:textId="77777777" w:rsidR="002642C9" w:rsidRPr="00DB1DE1" w:rsidRDefault="002642C9" w:rsidP="002642C9">
          <w:pPr>
            <w:rPr>
              <w:b/>
            </w:rPr>
          </w:pPr>
          <w:r w:rsidRPr="00D456A5">
            <w:rPr>
              <w:b/>
              <w:noProof/>
            </w:rPr>
            <w:drawing>
              <wp:inline distT="0" distB="0" distL="0" distR="0" wp14:anchorId="1448BDF0" wp14:editId="45AB595C">
                <wp:extent cx="6120130" cy="705485"/>
                <wp:effectExtent l="0" t="0" r="0" b="0"/>
                <wp:docPr id="451" name="Immagin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" name="Immagine 3"/>
                        <pic:cNvPicPr/>
                      </pic:nvPicPr>
                      <pic:blipFill>
                        <a:blip r:embed="rId1"/>
                        <a:srcRect t="5593" b="66954"/>
                        <a:stretch/>
                      </pic:blipFill>
                      <pic:spPr>
                        <a:xfrm>
                          <a:off x="0" y="0"/>
                          <a:ext cx="6120130" cy="705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642C9" w:rsidRPr="00DB1DE1" w14:paraId="64A11FAB" w14:textId="77777777" w:rsidTr="001B501C">
      <w:trPr>
        <w:jc w:val="center"/>
      </w:trPr>
      <w:tc>
        <w:tcPr>
          <w:tcW w:w="9610" w:type="dxa"/>
          <w:tcBorders>
            <w:top w:val="nil"/>
            <w:left w:val="nil"/>
            <w:bottom w:val="nil"/>
            <w:right w:val="nil"/>
          </w:tcBorders>
        </w:tcPr>
        <w:p w14:paraId="487FA9C7" w14:textId="77777777" w:rsidR="002642C9" w:rsidRPr="00DB1DE1" w:rsidRDefault="002642C9" w:rsidP="002642C9">
          <w:pPr>
            <w:pStyle w:val="Nessunaspaziatura1"/>
            <w:spacing w:line="276" w:lineRule="auto"/>
            <w:rPr>
              <w:rFonts w:ascii="Verdana" w:eastAsia="MS ????" w:hAnsi="Verdana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98FE89A" wp14:editId="00DB2F0C">
                    <wp:extent cx="6174105" cy="635"/>
                    <wp:effectExtent l="0" t="19050" r="55245" b="56515"/>
                    <wp:docPr id="108" name="Connettore diritto 10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174105" cy="635"/>
                            </a:xfrm>
                            <a:prstGeom prst="line">
                              <a:avLst/>
                            </a:prstGeom>
                            <a:noFill/>
                            <a:ln w="50800" cap="flat" cmpd="sng" algn="ctr">
                              <a:solidFill>
                                <a:srgbClr val="07752C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70B0353" id="Connettore diritto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" strokecolor="#07752c" strokeweight="4pt">
                    <o:lock v:ext="edit" shapetype="f"/>
                    <w10:anchorlock/>
                  </v:line>
                </w:pict>
              </mc:Fallback>
            </mc:AlternateContent>
          </w:r>
        </w:p>
      </w:tc>
    </w:tr>
  </w:tbl>
  <w:p w14:paraId="51A42269" w14:textId="345129E4" w:rsidR="002642C9" w:rsidRDefault="002642C9">
    <w:pPr>
      <w:pStyle w:val="Intestazione"/>
    </w:pPr>
  </w:p>
  <w:p w14:paraId="3CE1E762" w14:textId="77777777" w:rsidR="002642C9" w:rsidRDefault="002642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0000005"/>
    <w:multiLevelType w:val="singleLevel"/>
    <w:tmpl w:val="00000005"/>
    <w:name w:val="WW8Num25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2" w15:restartNumberingAfterBreak="0">
    <w:nsid w:val="5C154FE7"/>
    <w:multiLevelType w:val="multilevel"/>
    <w:tmpl w:val="08FC2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04F"/>
    <w:rsid w:val="00041F8C"/>
    <w:rsid w:val="00044CB5"/>
    <w:rsid w:val="000B2332"/>
    <w:rsid w:val="000C03FC"/>
    <w:rsid w:val="00173062"/>
    <w:rsid w:val="00194DA3"/>
    <w:rsid w:val="002642C9"/>
    <w:rsid w:val="002B304F"/>
    <w:rsid w:val="003C743F"/>
    <w:rsid w:val="003E7CE2"/>
    <w:rsid w:val="004066B9"/>
    <w:rsid w:val="005502F8"/>
    <w:rsid w:val="00580B18"/>
    <w:rsid w:val="0070472D"/>
    <w:rsid w:val="007163F7"/>
    <w:rsid w:val="007378ED"/>
    <w:rsid w:val="00770DD4"/>
    <w:rsid w:val="00790704"/>
    <w:rsid w:val="007D3A06"/>
    <w:rsid w:val="009812FD"/>
    <w:rsid w:val="0099370E"/>
    <w:rsid w:val="00AB47C5"/>
    <w:rsid w:val="00AD7B26"/>
    <w:rsid w:val="00B21D5C"/>
    <w:rsid w:val="00C023E9"/>
    <w:rsid w:val="00C13CE4"/>
    <w:rsid w:val="00C37E12"/>
    <w:rsid w:val="00D15479"/>
    <w:rsid w:val="00D347FA"/>
    <w:rsid w:val="00DE0250"/>
    <w:rsid w:val="00F2784C"/>
    <w:rsid w:val="00F7107B"/>
    <w:rsid w:val="00F8529B"/>
    <w:rsid w:val="00FA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47648E"/>
  <w15:docId w15:val="{7EAEA5CC-49D7-40DC-8935-B2F0C2D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xmsolistparagraph">
    <w:name w:val="x_msolistparagraph"/>
    <w:basedOn w:val="Normale"/>
    <w:rsid w:val="002B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unhideWhenUsed/>
    <w:rsid w:val="002B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B304F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2B304F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0C03FC"/>
    <w:rPr>
      <w:i/>
      <w:iCs/>
    </w:rPr>
  </w:style>
  <w:style w:type="paragraph" w:styleId="Testonotaapidipagina">
    <w:name w:val="footnote text"/>
    <w:basedOn w:val="Normale"/>
    <w:link w:val="TestonotaapidipaginaCarattere"/>
    <w:semiHidden/>
    <w:unhideWhenUsed/>
    <w:rsid w:val="00AD7B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AD7B26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unhideWhenUsed/>
    <w:rsid w:val="00AD7B26"/>
    <w:rPr>
      <w:vertAlign w:val="superscript"/>
    </w:rPr>
  </w:style>
  <w:style w:type="paragraph" w:customStyle="1" w:styleId="Default">
    <w:name w:val="Default"/>
    <w:rsid w:val="00AD7B26"/>
    <w:pPr>
      <w:autoSpaceDE w:val="0"/>
      <w:autoSpaceDN w:val="0"/>
      <w:adjustRightInd w:val="0"/>
      <w:spacing w:after="0" w:line="240" w:lineRule="auto"/>
    </w:pPr>
    <w:rPr>
      <w:rFonts w:ascii="Sabon-Roman" w:eastAsia="Times New Roman" w:hAnsi="Sabon-Roman" w:cs="Sabon-Roman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qFormat/>
    <w:rsid w:val="00AD7B26"/>
    <w:pPr>
      <w:widowControl w:val="0"/>
      <w:spacing w:before="120" w:after="100" w:line="264" w:lineRule="auto"/>
      <w:ind w:left="720" w:right="215"/>
      <w:contextualSpacing/>
      <w:jc w:val="both"/>
    </w:pPr>
    <w:rPr>
      <w:rFonts w:ascii="Calibri" w:eastAsia="Calibri" w:hAnsi="Calibri" w:cs="Times New Roman"/>
      <w:sz w:val="24"/>
    </w:rPr>
  </w:style>
  <w:style w:type="character" w:customStyle="1" w:styleId="Caratteredellanota">
    <w:name w:val="Carattere della nota"/>
    <w:basedOn w:val="Carpredefinitoparagrafo"/>
    <w:rsid w:val="00AD7B26"/>
    <w:rPr>
      <w:vertAlign w:val="superscript"/>
    </w:rPr>
  </w:style>
  <w:style w:type="paragraph" w:customStyle="1" w:styleId="TESTO">
    <w:name w:val="TESTO"/>
    <w:rsid w:val="00B21D5C"/>
    <w:pPr>
      <w:suppressAutoHyphens/>
      <w:overflowPunct w:val="0"/>
      <w:autoSpaceDE w:val="0"/>
      <w:spacing w:after="0" w:line="240" w:lineRule="exact"/>
      <w:jc w:val="both"/>
    </w:pPr>
    <w:rPr>
      <w:rFonts w:ascii="Times New Roman" w:eastAsia="Arial" w:hAnsi="Times New Roman" w:cs="Times New Roman"/>
      <w:szCs w:val="20"/>
      <w:lang w:eastAsia="ar-SA"/>
    </w:rPr>
  </w:style>
  <w:style w:type="character" w:customStyle="1" w:styleId="highlight">
    <w:name w:val="highlight"/>
    <w:basedOn w:val="Carpredefinitoparagrafo"/>
    <w:rsid w:val="00DE025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7CE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7CE2"/>
    <w:rPr>
      <w:rFonts w:ascii="Lucida Grande" w:hAnsi="Lucida Grande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3E7CE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E7CE2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E7CE2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E7CE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E7CE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3C743F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2642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2C9"/>
  </w:style>
  <w:style w:type="paragraph" w:styleId="Pidipagina">
    <w:name w:val="footer"/>
    <w:basedOn w:val="Normale"/>
    <w:link w:val="PidipaginaCarattere"/>
    <w:uiPriority w:val="99"/>
    <w:unhideWhenUsed/>
    <w:rsid w:val="002642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2C9"/>
  </w:style>
  <w:style w:type="paragraph" w:customStyle="1" w:styleId="Nessunaspaziatura1">
    <w:name w:val="Nessuna spaziatura1"/>
    <w:link w:val="NoSpacingChar"/>
    <w:rsid w:val="002642C9"/>
    <w:pPr>
      <w:spacing w:after="0" w:line="240" w:lineRule="auto"/>
    </w:pPr>
    <w:rPr>
      <w:rFonts w:ascii="Calibri" w:eastAsia="MS ??" w:hAnsi="Calibri" w:cs="Times New Roman"/>
    </w:rPr>
  </w:style>
  <w:style w:type="character" w:customStyle="1" w:styleId="NoSpacingChar">
    <w:name w:val="No Spacing Char"/>
    <w:link w:val="Nessunaspaziatura1"/>
    <w:locked/>
    <w:rsid w:val="002642C9"/>
    <w:rPr>
      <w:rFonts w:ascii="Calibri" w:eastAsia="MS ??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3E9A-BD53-4805-A1E0-59C8611D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Nuovo Circondario Imolese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Berti Ceroni Laura</dc:creator>
  <cp:lastModifiedBy>Giovanni Galazzini</cp:lastModifiedBy>
  <cp:revision>7</cp:revision>
  <dcterms:created xsi:type="dcterms:W3CDTF">2019-02-03T17:09:00Z</dcterms:created>
  <dcterms:modified xsi:type="dcterms:W3CDTF">2019-03-12T06:45:00Z</dcterms:modified>
</cp:coreProperties>
</file>