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020" w:rsidRPr="00871750" w:rsidRDefault="001B6020" w:rsidP="001B6020">
      <w:pPr>
        <w:spacing w:before="360"/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  <w:lang w:eastAsia="en-US"/>
        </w:rPr>
      </w:pPr>
      <w:r w:rsidRPr="00871750">
        <w:rPr>
          <w:rFonts w:asciiTheme="minorHAnsi" w:hAnsiTheme="minorHAnsi" w:cstheme="minorHAnsi"/>
          <w:b/>
          <w:bCs/>
          <w:color w:val="0070C0"/>
          <w:sz w:val="48"/>
          <w:szCs w:val="48"/>
          <w:lang w:eastAsia="en-US"/>
        </w:rPr>
        <w:t>PROGETTO SIBIT</w:t>
      </w:r>
    </w:p>
    <w:p w:rsidR="00D4796A" w:rsidRPr="00871750" w:rsidRDefault="001B6020" w:rsidP="001B6020">
      <w:pPr>
        <w:spacing w:before="360"/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  <w:lang w:eastAsia="en-US"/>
        </w:rPr>
      </w:pPr>
      <w:r w:rsidRPr="00871750">
        <w:rPr>
          <w:rFonts w:asciiTheme="minorHAnsi" w:hAnsiTheme="minorHAnsi" w:cstheme="minorHAnsi"/>
          <w:b/>
          <w:bCs/>
          <w:color w:val="0070C0"/>
          <w:sz w:val="48"/>
          <w:szCs w:val="48"/>
          <w:lang w:eastAsia="en-US"/>
        </w:rPr>
        <w:t xml:space="preserve">STANDARD ITALIANO BIGLIETTAZIONE </w:t>
      </w:r>
    </w:p>
    <w:p w:rsidR="001B6020" w:rsidRPr="00871750" w:rsidRDefault="001B6020" w:rsidP="001B6020">
      <w:pPr>
        <w:spacing w:before="360"/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  <w:lang w:eastAsia="en-US"/>
        </w:rPr>
      </w:pPr>
      <w:r w:rsidRPr="00871750">
        <w:rPr>
          <w:rFonts w:asciiTheme="minorHAnsi" w:hAnsiTheme="minorHAnsi" w:cstheme="minorHAnsi"/>
          <w:b/>
          <w:bCs/>
          <w:color w:val="0070C0"/>
          <w:sz w:val="48"/>
          <w:szCs w:val="48"/>
          <w:lang w:eastAsia="en-US"/>
        </w:rPr>
        <w:t>TRASPORTI</w:t>
      </w:r>
    </w:p>
    <w:p w:rsidR="003C08EE" w:rsidRDefault="008516AC" w:rsidP="003C08EE">
      <w:pPr>
        <w:spacing w:before="360"/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  <w:lang w:eastAsia="en-US"/>
        </w:rPr>
      </w:pPr>
      <w:r w:rsidRPr="00871750">
        <w:rPr>
          <w:rFonts w:asciiTheme="minorHAnsi" w:hAnsiTheme="minorHAnsi" w:cstheme="minorHAnsi"/>
          <w:b/>
          <w:bCs/>
          <w:color w:val="0070C0"/>
          <w:sz w:val="48"/>
          <w:szCs w:val="48"/>
          <w:lang w:eastAsia="en-US"/>
        </w:rPr>
        <w:t>A.4.</w:t>
      </w:r>
      <w:r w:rsidR="00D3525F">
        <w:rPr>
          <w:rFonts w:asciiTheme="minorHAnsi" w:hAnsiTheme="minorHAnsi" w:cstheme="minorHAnsi"/>
          <w:b/>
          <w:bCs/>
          <w:color w:val="0070C0"/>
          <w:sz w:val="48"/>
          <w:szCs w:val="48"/>
          <w:lang w:eastAsia="en-US"/>
        </w:rPr>
        <w:t>3</w:t>
      </w:r>
      <w:r w:rsidRPr="00871750">
        <w:rPr>
          <w:rFonts w:asciiTheme="minorHAnsi" w:hAnsiTheme="minorHAnsi" w:cstheme="minorHAnsi"/>
          <w:b/>
          <w:bCs/>
          <w:color w:val="0070C0"/>
          <w:sz w:val="48"/>
          <w:szCs w:val="48"/>
          <w:lang w:eastAsia="en-US"/>
        </w:rPr>
        <w:t xml:space="preserve"> – </w:t>
      </w:r>
      <w:r w:rsidR="003C08EE">
        <w:rPr>
          <w:rFonts w:asciiTheme="minorHAnsi" w:hAnsiTheme="minorHAnsi" w:cstheme="minorHAnsi"/>
          <w:b/>
          <w:bCs/>
          <w:color w:val="0070C0"/>
          <w:sz w:val="48"/>
          <w:szCs w:val="48"/>
          <w:lang w:eastAsia="en-US"/>
        </w:rPr>
        <w:t xml:space="preserve">proposta revisione normative regionali – posizionamento rispetto al kit di riuso </w:t>
      </w:r>
    </w:p>
    <w:p w:rsidR="009273D7" w:rsidRPr="00871750" w:rsidRDefault="003C08EE" w:rsidP="003C08EE">
      <w:pPr>
        <w:spacing w:before="360"/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  <w:lang w:eastAsia="en-US"/>
        </w:rPr>
      </w:pPr>
      <w:r>
        <w:rPr>
          <w:rFonts w:asciiTheme="minorHAnsi" w:hAnsiTheme="minorHAnsi" w:cstheme="minorHAnsi"/>
          <w:b/>
          <w:bCs/>
          <w:color w:val="0070C0"/>
          <w:sz w:val="48"/>
          <w:szCs w:val="48"/>
          <w:lang w:eastAsia="en-US"/>
        </w:rPr>
        <w:t>(</w:t>
      </w:r>
      <w:r w:rsidRPr="00871750">
        <w:rPr>
          <w:rFonts w:asciiTheme="minorHAnsi" w:hAnsiTheme="minorHAnsi" w:cstheme="minorHAnsi"/>
          <w:b/>
          <w:bCs/>
          <w:color w:val="0070C0"/>
          <w:sz w:val="48"/>
          <w:szCs w:val="48"/>
          <w:lang w:eastAsia="en-US"/>
        </w:rPr>
        <w:t>Liguria</w:t>
      </w:r>
      <w:r>
        <w:rPr>
          <w:rFonts w:asciiTheme="minorHAnsi" w:hAnsiTheme="minorHAnsi" w:cstheme="minorHAnsi"/>
          <w:b/>
          <w:bCs/>
          <w:color w:val="0070C0"/>
          <w:sz w:val="48"/>
          <w:szCs w:val="48"/>
          <w:lang w:eastAsia="en-US"/>
        </w:rPr>
        <w:t>, Toscana, Calabria)</w:t>
      </w:r>
    </w:p>
    <w:p w:rsidR="003C08EE" w:rsidRDefault="003C08EE">
      <w:p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br w:type="page"/>
      </w:r>
    </w:p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4"/>
          <w:szCs w:val="24"/>
          <w:lang w:eastAsia="it-IT"/>
        </w:rPr>
        <w:id w:val="-966294"/>
        <w:docPartObj>
          <w:docPartGallery w:val="Table of Contents"/>
          <w:docPartUnique/>
        </w:docPartObj>
      </w:sdtPr>
      <w:sdtEndPr/>
      <w:sdtContent>
        <w:p w:rsidR="00871750" w:rsidRPr="00871750" w:rsidRDefault="00871750" w:rsidP="00BB2D5C">
          <w:pPr>
            <w:pStyle w:val="Titolosommario"/>
            <w:numPr>
              <w:ilvl w:val="0"/>
              <w:numId w:val="0"/>
            </w:numPr>
            <w:ind w:left="432"/>
            <w:rPr>
              <w:rFonts w:asciiTheme="minorHAnsi" w:hAnsiTheme="minorHAnsi" w:cstheme="minorHAnsi"/>
            </w:rPr>
          </w:pPr>
          <w:r w:rsidRPr="00871750">
            <w:rPr>
              <w:rFonts w:asciiTheme="minorHAnsi" w:hAnsiTheme="minorHAnsi" w:cstheme="minorHAnsi"/>
            </w:rPr>
            <w:t>Sommario</w:t>
          </w:r>
        </w:p>
        <w:p w:rsidR="008F675C" w:rsidRDefault="009F3EDF">
          <w:pPr>
            <w:pStyle w:val="Sommario1"/>
            <w:rPr>
              <w:rFonts w:asciiTheme="minorHAnsi" w:hAnsiTheme="minorHAnsi"/>
              <w:noProof/>
              <w:sz w:val="22"/>
              <w:szCs w:val="22"/>
            </w:rPr>
          </w:pPr>
          <w:r w:rsidRPr="00871750">
            <w:rPr>
              <w:rFonts w:asciiTheme="minorHAnsi" w:hAnsiTheme="minorHAnsi" w:cstheme="minorHAnsi"/>
              <w:b/>
              <w:bCs/>
            </w:rPr>
            <w:fldChar w:fldCharType="begin"/>
          </w:r>
          <w:r w:rsidR="00871750" w:rsidRPr="00871750">
            <w:rPr>
              <w:rFonts w:asciiTheme="minorHAnsi" w:hAnsiTheme="minorHAnsi" w:cstheme="minorHAnsi"/>
              <w:b/>
              <w:bCs/>
            </w:rPr>
            <w:instrText xml:space="preserve"> TOC \o "1-3" \h \z \u </w:instrText>
          </w:r>
          <w:r w:rsidRPr="00871750">
            <w:rPr>
              <w:rFonts w:asciiTheme="minorHAnsi" w:hAnsiTheme="minorHAnsi" w:cstheme="minorHAnsi"/>
              <w:b/>
              <w:bCs/>
            </w:rPr>
            <w:fldChar w:fldCharType="separate"/>
          </w:r>
          <w:hyperlink w:anchor="_Toc52358359" w:history="1">
            <w:r w:rsidR="008F675C" w:rsidRPr="00896F9E">
              <w:rPr>
                <w:rStyle w:val="Collegamentoipertestuale"/>
                <w:noProof/>
              </w:rPr>
              <w:t>1</w:t>
            </w:r>
            <w:r w:rsidR="008F675C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8F675C" w:rsidRPr="00896F9E">
              <w:rPr>
                <w:rStyle w:val="Collegamentoipertestuale"/>
                <w:noProof/>
              </w:rPr>
              <w:t>Posizionamento rispetto al kit del riuso</w:t>
            </w:r>
            <w:r w:rsidR="008F675C">
              <w:rPr>
                <w:noProof/>
                <w:webHidden/>
              </w:rPr>
              <w:tab/>
            </w:r>
            <w:r w:rsidR="008F675C">
              <w:rPr>
                <w:noProof/>
                <w:webHidden/>
              </w:rPr>
              <w:fldChar w:fldCharType="begin"/>
            </w:r>
            <w:r w:rsidR="008F675C">
              <w:rPr>
                <w:noProof/>
                <w:webHidden/>
              </w:rPr>
              <w:instrText xml:space="preserve"> PAGEREF _Toc52358359 \h </w:instrText>
            </w:r>
            <w:r w:rsidR="008F675C">
              <w:rPr>
                <w:noProof/>
                <w:webHidden/>
              </w:rPr>
            </w:r>
            <w:r w:rsidR="008F675C">
              <w:rPr>
                <w:noProof/>
                <w:webHidden/>
              </w:rPr>
              <w:fldChar w:fldCharType="separate"/>
            </w:r>
            <w:r w:rsidR="008F675C">
              <w:rPr>
                <w:noProof/>
                <w:webHidden/>
              </w:rPr>
              <w:t>3</w:t>
            </w:r>
            <w:r w:rsidR="008F675C">
              <w:rPr>
                <w:noProof/>
                <w:webHidden/>
              </w:rPr>
              <w:fldChar w:fldCharType="end"/>
            </w:r>
          </w:hyperlink>
        </w:p>
        <w:p w:rsidR="008F675C" w:rsidRDefault="0044549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52358360" w:history="1">
            <w:r w:rsidR="008F675C" w:rsidRPr="00896F9E">
              <w:rPr>
                <w:rStyle w:val="Collegamentoipertestuale"/>
                <w:noProof/>
              </w:rPr>
              <w:t>1.1</w:t>
            </w:r>
            <w:r w:rsidR="008F675C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8F675C" w:rsidRPr="00896F9E">
              <w:rPr>
                <w:rStyle w:val="Collegamentoipertestuale"/>
                <w:noProof/>
              </w:rPr>
              <w:t>Regione Liguria</w:t>
            </w:r>
            <w:r w:rsidR="008F675C">
              <w:rPr>
                <w:noProof/>
                <w:webHidden/>
              </w:rPr>
              <w:tab/>
            </w:r>
            <w:r w:rsidR="008F675C">
              <w:rPr>
                <w:noProof/>
                <w:webHidden/>
              </w:rPr>
              <w:fldChar w:fldCharType="begin"/>
            </w:r>
            <w:r w:rsidR="008F675C">
              <w:rPr>
                <w:noProof/>
                <w:webHidden/>
              </w:rPr>
              <w:instrText xml:space="preserve"> PAGEREF _Toc52358360 \h </w:instrText>
            </w:r>
            <w:r w:rsidR="008F675C">
              <w:rPr>
                <w:noProof/>
                <w:webHidden/>
              </w:rPr>
            </w:r>
            <w:r w:rsidR="008F675C">
              <w:rPr>
                <w:noProof/>
                <w:webHidden/>
              </w:rPr>
              <w:fldChar w:fldCharType="separate"/>
            </w:r>
            <w:r w:rsidR="008F675C">
              <w:rPr>
                <w:noProof/>
                <w:webHidden/>
              </w:rPr>
              <w:t>3</w:t>
            </w:r>
            <w:r w:rsidR="008F675C">
              <w:rPr>
                <w:noProof/>
                <w:webHidden/>
              </w:rPr>
              <w:fldChar w:fldCharType="end"/>
            </w:r>
          </w:hyperlink>
        </w:p>
        <w:p w:rsidR="008F675C" w:rsidRDefault="0044549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52358361" w:history="1">
            <w:r w:rsidR="008F675C" w:rsidRPr="00896F9E">
              <w:rPr>
                <w:rStyle w:val="Collegamentoipertestuale"/>
                <w:noProof/>
              </w:rPr>
              <w:t>1.2</w:t>
            </w:r>
            <w:r w:rsidR="008F675C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8F675C" w:rsidRPr="00896F9E">
              <w:rPr>
                <w:rStyle w:val="Collegamentoipertestuale"/>
                <w:noProof/>
              </w:rPr>
              <w:t>Regione Toscana</w:t>
            </w:r>
            <w:r w:rsidR="008F675C">
              <w:rPr>
                <w:noProof/>
                <w:webHidden/>
              </w:rPr>
              <w:tab/>
            </w:r>
            <w:r w:rsidR="008F675C">
              <w:rPr>
                <w:noProof/>
                <w:webHidden/>
              </w:rPr>
              <w:fldChar w:fldCharType="begin"/>
            </w:r>
            <w:r w:rsidR="008F675C">
              <w:rPr>
                <w:noProof/>
                <w:webHidden/>
              </w:rPr>
              <w:instrText xml:space="preserve"> PAGEREF _Toc52358361 \h </w:instrText>
            </w:r>
            <w:r w:rsidR="008F675C">
              <w:rPr>
                <w:noProof/>
                <w:webHidden/>
              </w:rPr>
            </w:r>
            <w:r w:rsidR="008F675C">
              <w:rPr>
                <w:noProof/>
                <w:webHidden/>
              </w:rPr>
              <w:fldChar w:fldCharType="separate"/>
            </w:r>
            <w:r w:rsidR="008F675C">
              <w:rPr>
                <w:noProof/>
                <w:webHidden/>
              </w:rPr>
              <w:t>4</w:t>
            </w:r>
            <w:r w:rsidR="008F675C">
              <w:rPr>
                <w:noProof/>
                <w:webHidden/>
              </w:rPr>
              <w:fldChar w:fldCharType="end"/>
            </w:r>
          </w:hyperlink>
        </w:p>
        <w:p w:rsidR="008F675C" w:rsidRDefault="0044549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52358362" w:history="1">
            <w:r w:rsidR="008F675C" w:rsidRPr="00896F9E">
              <w:rPr>
                <w:rStyle w:val="Collegamentoipertestuale"/>
                <w:noProof/>
              </w:rPr>
              <w:t>1.3</w:t>
            </w:r>
            <w:r w:rsidR="008F675C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8F675C" w:rsidRPr="00896F9E">
              <w:rPr>
                <w:rStyle w:val="Collegamentoipertestuale"/>
                <w:noProof/>
              </w:rPr>
              <w:t>Regione Calabria</w:t>
            </w:r>
            <w:r w:rsidR="008F675C">
              <w:rPr>
                <w:noProof/>
                <w:webHidden/>
              </w:rPr>
              <w:tab/>
            </w:r>
            <w:r w:rsidR="008F675C">
              <w:rPr>
                <w:noProof/>
                <w:webHidden/>
              </w:rPr>
              <w:fldChar w:fldCharType="begin"/>
            </w:r>
            <w:r w:rsidR="008F675C">
              <w:rPr>
                <w:noProof/>
                <w:webHidden/>
              </w:rPr>
              <w:instrText xml:space="preserve"> PAGEREF _Toc52358362 \h </w:instrText>
            </w:r>
            <w:r w:rsidR="008F675C">
              <w:rPr>
                <w:noProof/>
                <w:webHidden/>
              </w:rPr>
            </w:r>
            <w:r w:rsidR="008F675C">
              <w:rPr>
                <w:noProof/>
                <w:webHidden/>
              </w:rPr>
              <w:fldChar w:fldCharType="separate"/>
            </w:r>
            <w:r w:rsidR="008F675C">
              <w:rPr>
                <w:noProof/>
                <w:webHidden/>
              </w:rPr>
              <w:t>5</w:t>
            </w:r>
            <w:r w:rsidR="008F675C">
              <w:rPr>
                <w:noProof/>
                <w:webHidden/>
              </w:rPr>
              <w:fldChar w:fldCharType="end"/>
            </w:r>
          </w:hyperlink>
        </w:p>
        <w:p w:rsidR="008F675C" w:rsidRDefault="00445490">
          <w:pPr>
            <w:pStyle w:val="Sommario1"/>
            <w:rPr>
              <w:rFonts w:asciiTheme="minorHAnsi" w:hAnsiTheme="minorHAnsi"/>
              <w:noProof/>
              <w:sz w:val="22"/>
              <w:szCs w:val="22"/>
            </w:rPr>
          </w:pPr>
          <w:hyperlink w:anchor="_Toc52358363" w:history="1">
            <w:r w:rsidR="008F675C" w:rsidRPr="00896F9E">
              <w:rPr>
                <w:rStyle w:val="Collegamentoipertestuale"/>
                <w:noProof/>
              </w:rPr>
              <w:t>2</w:t>
            </w:r>
            <w:r w:rsidR="008F675C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8F675C" w:rsidRPr="00896F9E">
              <w:rPr>
                <w:rStyle w:val="Collegamentoipertestuale"/>
                <w:noProof/>
              </w:rPr>
              <w:t>Indicazioni per l’implementazione del KIT</w:t>
            </w:r>
            <w:r w:rsidR="008F675C">
              <w:rPr>
                <w:noProof/>
                <w:webHidden/>
              </w:rPr>
              <w:tab/>
            </w:r>
            <w:r w:rsidR="008F675C">
              <w:rPr>
                <w:noProof/>
                <w:webHidden/>
              </w:rPr>
              <w:fldChar w:fldCharType="begin"/>
            </w:r>
            <w:r w:rsidR="008F675C">
              <w:rPr>
                <w:noProof/>
                <w:webHidden/>
              </w:rPr>
              <w:instrText xml:space="preserve"> PAGEREF _Toc52358363 \h </w:instrText>
            </w:r>
            <w:r w:rsidR="008F675C">
              <w:rPr>
                <w:noProof/>
                <w:webHidden/>
              </w:rPr>
            </w:r>
            <w:r w:rsidR="008F675C">
              <w:rPr>
                <w:noProof/>
                <w:webHidden/>
              </w:rPr>
              <w:fldChar w:fldCharType="separate"/>
            </w:r>
            <w:r w:rsidR="008F675C">
              <w:rPr>
                <w:noProof/>
                <w:webHidden/>
              </w:rPr>
              <w:t>6</w:t>
            </w:r>
            <w:r w:rsidR="008F675C">
              <w:rPr>
                <w:noProof/>
                <w:webHidden/>
              </w:rPr>
              <w:fldChar w:fldCharType="end"/>
            </w:r>
          </w:hyperlink>
        </w:p>
        <w:p w:rsidR="008F675C" w:rsidRDefault="0044549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52358364" w:history="1">
            <w:r w:rsidR="008F675C" w:rsidRPr="00896F9E">
              <w:rPr>
                <w:rStyle w:val="Collegamentoipertestuale"/>
                <w:noProof/>
              </w:rPr>
              <w:t>2.1</w:t>
            </w:r>
            <w:r w:rsidR="008F675C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8F675C" w:rsidRPr="00896F9E">
              <w:rPr>
                <w:rStyle w:val="Collegamentoipertestuale"/>
                <w:noProof/>
              </w:rPr>
              <w:t>Regione Liguria</w:t>
            </w:r>
            <w:r w:rsidR="008F675C">
              <w:rPr>
                <w:noProof/>
                <w:webHidden/>
              </w:rPr>
              <w:tab/>
            </w:r>
            <w:r w:rsidR="008F675C">
              <w:rPr>
                <w:noProof/>
                <w:webHidden/>
              </w:rPr>
              <w:fldChar w:fldCharType="begin"/>
            </w:r>
            <w:r w:rsidR="008F675C">
              <w:rPr>
                <w:noProof/>
                <w:webHidden/>
              </w:rPr>
              <w:instrText xml:space="preserve"> PAGEREF _Toc52358364 \h </w:instrText>
            </w:r>
            <w:r w:rsidR="008F675C">
              <w:rPr>
                <w:noProof/>
                <w:webHidden/>
              </w:rPr>
            </w:r>
            <w:r w:rsidR="008F675C">
              <w:rPr>
                <w:noProof/>
                <w:webHidden/>
              </w:rPr>
              <w:fldChar w:fldCharType="separate"/>
            </w:r>
            <w:r w:rsidR="008F675C">
              <w:rPr>
                <w:noProof/>
                <w:webHidden/>
              </w:rPr>
              <w:t>6</w:t>
            </w:r>
            <w:r w:rsidR="008F675C">
              <w:rPr>
                <w:noProof/>
                <w:webHidden/>
              </w:rPr>
              <w:fldChar w:fldCharType="end"/>
            </w:r>
          </w:hyperlink>
        </w:p>
        <w:p w:rsidR="008F675C" w:rsidRDefault="0044549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52358365" w:history="1">
            <w:r w:rsidR="008F675C" w:rsidRPr="00896F9E">
              <w:rPr>
                <w:rStyle w:val="Collegamentoipertestuale"/>
                <w:noProof/>
              </w:rPr>
              <w:t>2.2</w:t>
            </w:r>
            <w:r w:rsidR="008F675C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8F675C" w:rsidRPr="00896F9E">
              <w:rPr>
                <w:rStyle w:val="Collegamentoipertestuale"/>
                <w:noProof/>
              </w:rPr>
              <w:t>Regione Toscana</w:t>
            </w:r>
            <w:r w:rsidR="008F675C">
              <w:rPr>
                <w:noProof/>
                <w:webHidden/>
              </w:rPr>
              <w:tab/>
            </w:r>
            <w:r w:rsidR="008F675C">
              <w:rPr>
                <w:noProof/>
                <w:webHidden/>
              </w:rPr>
              <w:fldChar w:fldCharType="begin"/>
            </w:r>
            <w:r w:rsidR="008F675C">
              <w:rPr>
                <w:noProof/>
                <w:webHidden/>
              </w:rPr>
              <w:instrText xml:space="preserve"> PAGEREF _Toc52358365 \h </w:instrText>
            </w:r>
            <w:r w:rsidR="008F675C">
              <w:rPr>
                <w:noProof/>
                <w:webHidden/>
              </w:rPr>
            </w:r>
            <w:r w:rsidR="008F675C">
              <w:rPr>
                <w:noProof/>
                <w:webHidden/>
              </w:rPr>
              <w:fldChar w:fldCharType="separate"/>
            </w:r>
            <w:r w:rsidR="008F675C">
              <w:rPr>
                <w:noProof/>
                <w:webHidden/>
              </w:rPr>
              <w:t>9</w:t>
            </w:r>
            <w:r w:rsidR="008F675C">
              <w:rPr>
                <w:noProof/>
                <w:webHidden/>
              </w:rPr>
              <w:fldChar w:fldCharType="end"/>
            </w:r>
          </w:hyperlink>
        </w:p>
        <w:p w:rsidR="008F675C" w:rsidRDefault="0044549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52358366" w:history="1">
            <w:r w:rsidR="008F675C" w:rsidRPr="00896F9E">
              <w:rPr>
                <w:rStyle w:val="Collegamentoipertestuale"/>
                <w:noProof/>
              </w:rPr>
              <w:t>2.3</w:t>
            </w:r>
            <w:r w:rsidR="008F675C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8F675C" w:rsidRPr="00896F9E">
              <w:rPr>
                <w:rStyle w:val="Collegamentoipertestuale"/>
                <w:noProof/>
              </w:rPr>
              <w:t>Regione Calabria</w:t>
            </w:r>
            <w:r w:rsidR="008F675C">
              <w:rPr>
                <w:noProof/>
                <w:webHidden/>
              </w:rPr>
              <w:tab/>
            </w:r>
            <w:r w:rsidR="008F675C">
              <w:rPr>
                <w:noProof/>
                <w:webHidden/>
              </w:rPr>
              <w:fldChar w:fldCharType="begin"/>
            </w:r>
            <w:r w:rsidR="008F675C">
              <w:rPr>
                <w:noProof/>
                <w:webHidden/>
              </w:rPr>
              <w:instrText xml:space="preserve"> PAGEREF _Toc52358366 \h </w:instrText>
            </w:r>
            <w:r w:rsidR="008F675C">
              <w:rPr>
                <w:noProof/>
                <w:webHidden/>
              </w:rPr>
            </w:r>
            <w:r w:rsidR="008F675C">
              <w:rPr>
                <w:noProof/>
                <w:webHidden/>
              </w:rPr>
              <w:fldChar w:fldCharType="separate"/>
            </w:r>
            <w:r w:rsidR="008F675C">
              <w:rPr>
                <w:noProof/>
                <w:webHidden/>
              </w:rPr>
              <w:t>12</w:t>
            </w:r>
            <w:r w:rsidR="008F675C">
              <w:rPr>
                <w:noProof/>
                <w:webHidden/>
              </w:rPr>
              <w:fldChar w:fldCharType="end"/>
            </w:r>
          </w:hyperlink>
        </w:p>
        <w:p w:rsidR="00871750" w:rsidRPr="00871750" w:rsidRDefault="009F3EDF">
          <w:pPr>
            <w:rPr>
              <w:rFonts w:asciiTheme="minorHAnsi" w:hAnsiTheme="minorHAnsi" w:cstheme="minorHAnsi"/>
            </w:rPr>
          </w:pPr>
          <w:r w:rsidRPr="00871750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:rsidR="001B6020" w:rsidRPr="00871750" w:rsidRDefault="001B6020">
      <w:pPr>
        <w:spacing w:after="200" w:line="276" w:lineRule="auto"/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  <w:r w:rsidRPr="00871750">
        <w:rPr>
          <w:rFonts w:asciiTheme="minorHAnsi" w:hAnsiTheme="minorHAnsi" w:cstheme="minorHAnsi"/>
        </w:rPr>
        <w:br w:type="page"/>
      </w:r>
    </w:p>
    <w:p w:rsidR="00F222E6" w:rsidRDefault="00F222E6" w:rsidP="009273D7"/>
    <w:p w:rsidR="00743267" w:rsidRDefault="00D3525F" w:rsidP="001B73A0">
      <w:pPr>
        <w:pStyle w:val="Titolo1"/>
        <w:spacing w:before="120"/>
        <w:ind w:left="431" w:hanging="431"/>
      </w:pPr>
      <w:bookmarkStart w:id="0" w:name="_Toc52358359"/>
      <w:r w:rsidRPr="00D3525F">
        <w:t>Posizionamento rispetto al kit del riuso</w:t>
      </w:r>
      <w:bookmarkEnd w:id="0"/>
      <w:r w:rsidRPr="00D3525F">
        <w:t xml:space="preserve"> </w:t>
      </w:r>
    </w:p>
    <w:p w:rsidR="00F222E6" w:rsidRPr="00F222E6" w:rsidRDefault="00743267" w:rsidP="00743267">
      <w:pPr>
        <w:pStyle w:val="Titolo2"/>
      </w:pPr>
      <w:bookmarkStart w:id="1" w:name="_Toc52358360"/>
      <w:r w:rsidRPr="00D3525F">
        <w:t>Regione Liguria</w:t>
      </w:r>
      <w:bookmarkEnd w:id="1"/>
    </w:p>
    <w:p w:rsidR="00D3525F" w:rsidRPr="00D3525F" w:rsidRDefault="00D3525F" w:rsidP="00D3525F"/>
    <w:p w:rsidR="00D3525F" w:rsidRPr="00D3525F" w:rsidRDefault="00D3525F" w:rsidP="00F222E6">
      <w:pPr>
        <w:jc w:val="both"/>
        <w:rPr>
          <w:rFonts w:asciiTheme="minorHAnsi" w:hAnsiTheme="minorHAnsi" w:cstheme="minorHAnsi"/>
        </w:rPr>
      </w:pPr>
      <w:r w:rsidRPr="00D3525F">
        <w:rPr>
          <w:rFonts w:asciiTheme="minorHAnsi" w:hAnsiTheme="minorHAnsi" w:cstheme="minorHAnsi"/>
        </w:rPr>
        <w:t xml:space="preserve">L’analisi critica condotta in A.4.1 relativamente alla Regione Liguria identifica, in base al </w:t>
      </w:r>
      <w:r w:rsidR="00146A45">
        <w:rPr>
          <w:rFonts w:asciiTheme="minorHAnsi" w:hAnsiTheme="minorHAnsi" w:cstheme="minorHAnsi"/>
        </w:rPr>
        <w:t>K</w:t>
      </w:r>
      <w:r w:rsidRPr="00D3525F">
        <w:rPr>
          <w:rFonts w:asciiTheme="minorHAnsi" w:hAnsiTheme="minorHAnsi" w:cstheme="minorHAnsi"/>
        </w:rPr>
        <w:t xml:space="preserve">it del </w:t>
      </w:r>
      <w:r w:rsidR="00146A45">
        <w:rPr>
          <w:rFonts w:asciiTheme="minorHAnsi" w:hAnsiTheme="minorHAnsi" w:cstheme="minorHAnsi"/>
        </w:rPr>
        <w:t>R</w:t>
      </w:r>
      <w:r w:rsidRPr="00D3525F">
        <w:rPr>
          <w:rFonts w:asciiTheme="minorHAnsi" w:hAnsiTheme="minorHAnsi" w:cstheme="minorHAnsi"/>
        </w:rPr>
        <w:t>iuso fornito dalla Regione Piemonte, le seguenti integrazioni alla situazione normativa ed informativa esistente</w:t>
      </w:r>
      <w:r w:rsidR="00B03819">
        <w:rPr>
          <w:rFonts w:asciiTheme="minorHAnsi" w:hAnsiTheme="minorHAnsi" w:cstheme="minorHAnsi"/>
        </w:rPr>
        <w:t xml:space="preserve"> </w:t>
      </w:r>
      <w:r w:rsidR="00B03819" w:rsidRPr="00D3525F">
        <w:rPr>
          <w:rFonts w:asciiTheme="minorHAnsi" w:hAnsiTheme="minorHAnsi" w:cstheme="minorHAnsi"/>
        </w:rPr>
        <w:t>nella Regione</w:t>
      </w:r>
      <w:r w:rsidR="00B03819">
        <w:rPr>
          <w:rFonts w:asciiTheme="minorHAnsi" w:hAnsiTheme="minorHAnsi" w:cstheme="minorHAnsi"/>
        </w:rPr>
        <w:t xml:space="preserve"> Liguria</w:t>
      </w:r>
      <w:r w:rsidRPr="00D3525F">
        <w:rPr>
          <w:rFonts w:asciiTheme="minorHAnsi" w:hAnsiTheme="minorHAnsi" w:cstheme="minorHAnsi"/>
        </w:rPr>
        <w:t xml:space="preserve">: </w:t>
      </w:r>
    </w:p>
    <w:p w:rsidR="00D3525F" w:rsidRDefault="00D3525F" w:rsidP="00D3525F"/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4927"/>
        <w:gridCol w:w="4927"/>
      </w:tblGrid>
      <w:tr w:rsidR="00D3525F" w:rsidRPr="00D3525F" w:rsidTr="00D3525F">
        <w:tc>
          <w:tcPr>
            <w:tcW w:w="2500" w:type="pct"/>
          </w:tcPr>
          <w:p w:rsidR="00D3525F" w:rsidRPr="00D3525F" w:rsidRDefault="00D3525F" w:rsidP="00D3525F">
            <w:pPr>
              <w:rPr>
                <w:rFonts w:asciiTheme="minorHAnsi" w:hAnsiTheme="minorHAnsi" w:cstheme="minorHAnsi"/>
                <w:sz w:val="24"/>
              </w:rPr>
            </w:pPr>
            <w:r w:rsidRPr="00D3525F">
              <w:rPr>
                <w:rFonts w:asciiTheme="minorHAnsi" w:hAnsiTheme="minorHAnsi" w:cstheme="minorHAnsi"/>
                <w:sz w:val="24"/>
              </w:rPr>
              <w:t>NUOVA DELIBERAZIONE</w:t>
            </w:r>
          </w:p>
        </w:tc>
        <w:tc>
          <w:tcPr>
            <w:tcW w:w="2500" w:type="pct"/>
          </w:tcPr>
          <w:p w:rsidR="00D3525F" w:rsidRPr="00D3525F" w:rsidRDefault="00D3525F" w:rsidP="00D3525F">
            <w:pPr>
              <w:rPr>
                <w:rFonts w:asciiTheme="minorHAnsi" w:hAnsiTheme="minorHAnsi" w:cstheme="minorHAnsi"/>
                <w:sz w:val="24"/>
              </w:rPr>
            </w:pPr>
            <w:r w:rsidRPr="00D3525F">
              <w:rPr>
                <w:rFonts w:asciiTheme="minorHAnsi" w:hAnsiTheme="minorHAnsi" w:cstheme="minorHAnsi"/>
                <w:sz w:val="24"/>
              </w:rPr>
              <w:t>CONTENUTO</w:t>
            </w:r>
          </w:p>
        </w:tc>
      </w:tr>
      <w:tr w:rsidR="00D3525F" w:rsidRPr="00D3525F" w:rsidTr="00D3525F">
        <w:tc>
          <w:tcPr>
            <w:tcW w:w="2500" w:type="pct"/>
          </w:tcPr>
          <w:p w:rsidR="00D3525F" w:rsidRPr="00D3525F" w:rsidRDefault="00D3525F" w:rsidP="00D3525F">
            <w:pPr>
              <w:rPr>
                <w:rFonts w:asciiTheme="minorHAnsi" w:hAnsiTheme="minorHAnsi" w:cstheme="minorHAnsi"/>
                <w:sz w:val="24"/>
              </w:rPr>
            </w:pPr>
            <w:r w:rsidRPr="00D3525F">
              <w:rPr>
                <w:rFonts w:asciiTheme="minorHAnsi" w:hAnsiTheme="minorHAnsi" w:cstheme="minorHAnsi"/>
                <w:sz w:val="24"/>
              </w:rPr>
              <w:t xml:space="preserve">Scelta oggetto strumentale </w:t>
            </w:r>
          </w:p>
          <w:p w:rsidR="00D3525F" w:rsidRPr="00D3525F" w:rsidRDefault="00D3525F" w:rsidP="00D3525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500" w:type="pct"/>
          </w:tcPr>
          <w:p w:rsidR="00D3525F" w:rsidRPr="00D3525F" w:rsidRDefault="00D3525F" w:rsidP="00F222E6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D3525F">
              <w:rPr>
                <w:rFonts w:asciiTheme="minorHAnsi" w:hAnsiTheme="minorHAnsi" w:cstheme="minorHAnsi"/>
                <w:sz w:val="24"/>
              </w:rPr>
              <w:t xml:space="preserve">Liguria Digitale </w:t>
            </w:r>
          </w:p>
          <w:p w:rsidR="00D3525F" w:rsidRDefault="00D3525F" w:rsidP="00F222E6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D3525F">
              <w:rPr>
                <w:rFonts w:asciiTheme="minorHAnsi" w:hAnsiTheme="minorHAnsi" w:cstheme="minorHAnsi"/>
                <w:sz w:val="24"/>
              </w:rPr>
              <w:t>Occorre verificare in fase di implementazione del sistema in fase di aggiudicazione eventuali fabbisogni in termini di Direttore Lavori (per la fase di implementazione) e Project Manager nella fase a regime (supporto a Regione ed Enti di governo per la gestione e fruizione del patrimonio informativo)</w:t>
            </w:r>
          </w:p>
          <w:p w:rsidR="00F222E6" w:rsidRPr="00D3525F" w:rsidRDefault="00F222E6" w:rsidP="00F222E6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D3525F" w:rsidRPr="00D3525F" w:rsidTr="00D3525F">
        <w:tc>
          <w:tcPr>
            <w:tcW w:w="2500" w:type="pct"/>
          </w:tcPr>
          <w:p w:rsidR="00D3525F" w:rsidRPr="00D3525F" w:rsidRDefault="00D3525F" w:rsidP="00D3525F">
            <w:pPr>
              <w:rPr>
                <w:rFonts w:asciiTheme="minorHAnsi" w:hAnsiTheme="minorHAnsi" w:cstheme="minorHAnsi"/>
                <w:sz w:val="24"/>
              </w:rPr>
            </w:pPr>
            <w:r w:rsidRPr="00D3525F">
              <w:rPr>
                <w:rFonts w:asciiTheme="minorHAnsi" w:hAnsiTheme="minorHAnsi" w:cstheme="minorHAnsi"/>
                <w:sz w:val="24"/>
              </w:rPr>
              <w:t xml:space="preserve">Risorse </w:t>
            </w:r>
          </w:p>
        </w:tc>
        <w:tc>
          <w:tcPr>
            <w:tcW w:w="2500" w:type="pct"/>
          </w:tcPr>
          <w:p w:rsidR="00D3525F" w:rsidRDefault="00D3525F" w:rsidP="00F222E6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D3525F">
              <w:rPr>
                <w:rFonts w:asciiTheme="minorHAnsi" w:hAnsiTheme="minorHAnsi" w:cstheme="minorHAnsi"/>
                <w:sz w:val="24"/>
              </w:rPr>
              <w:t>Risorse stanziate da Regione Liguria</w:t>
            </w:r>
          </w:p>
          <w:p w:rsidR="00F222E6" w:rsidRPr="00D3525F" w:rsidRDefault="00F222E6" w:rsidP="00F222E6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D3525F" w:rsidRPr="00D3525F" w:rsidTr="00D3525F">
        <w:tc>
          <w:tcPr>
            <w:tcW w:w="2500" w:type="pct"/>
          </w:tcPr>
          <w:p w:rsidR="00D3525F" w:rsidRPr="00D3525F" w:rsidRDefault="00D3525F" w:rsidP="00D3525F">
            <w:pPr>
              <w:rPr>
                <w:rFonts w:asciiTheme="minorHAnsi" w:hAnsiTheme="minorHAnsi" w:cstheme="minorHAnsi"/>
                <w:sz w:val="24"/>
              </w:rPr>
            </w:pPr>
            <w:r w:rsidRPr="00D3525F">
              <w:rPr>
                <w:rFonts w:asciiTheme="minorHAnsi" w:hAnsiTheme="minorHAnsi" w:cstheme="minorHAnsi"/>
                <w:sz w:val="24"/>
              </w:rPr>
              <w:t>Sistema informativo dell’esercizio</w:t>
            </w:r>
          </w:p>
          <w:p w:rsidR="00D3525F" w:rsidRPr="00D3525F" w:rsidRDefault="00D3525F" w:rsidP="00D3525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500" w:type="pct"/>
          </w:tcPr>
          <w:p w:rsidR="00D3525F" w:rsidRDefault="00D3525F" w:rsidP="00F222E6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D3525F">
              <w:rPr>
                <w:rFonts w:asciiTheme="minorHAnsi" w:hAnsiTheme="minorHAnsi" w:cstheme="minorHAnsi"/>
                <w:sz w:val="24"/>
              </w:rPr>
              <w:t xml:space="preserve">Verificare (e, se del caso, prevedere) la presenza nei contratti di servizio (tutti in </w:t>
            </w:r>
            <w:proofErr w:type="spellStart"/>
            <w:r w:rsidRPr="00D3525F">
              <w:rPr>
                <w:rFonts w:asciiTheme="minorHAnsi" w:hAnsiTheme="minorHAnsi" w:cstheme="minorHAnsi"/>
                <w:sz w:val="24"/>
              </w:rPr>
              <w:t>house</w:t>
            </w:r>
            <w:proofErr w:type="spellEnd"/>
            <w:r w:rsidRPr="00D3525F">
              <w:rPr>
                <w:rFonts w:asciiTheme="minorHAnsi" w:hAnsiTheme="minorHAnsi" w:cstheme="minorHAnsi"/>
                <w:sz w:val="24"/>
              </w:rPr>
              <w:t>) dell’obbligazione relativa ai protocolli di comunicazione SIBIT</w:t>
            </w:r>
          </w:p>
          <w:p w:rsidR="00F222E6" w:rsidRPr="00D3525F" w:rsidRDefault="00F222E6" w:rsidP="00F222E6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D3525F" w:rsidRPr="00D3525F" w:rsidTr="00D3525F">
        <w:tc>
          <w:tcPr>
            <w:tcW w:w="2500" w:type="pct"/>
          </w:tcPr>
          <w:p w:rsidR="00D3525F" w:rsidRPr="00D3525F" w:rsidRDefault="00D3525F" w:rsidP="00D3525F">
            <w:pPr>
              <w:rPr>
                <w:rFonts w:asciiTheme="minorHAnsi" w:hAnsiTheme="minorHAnsi" w:cstheme="minorHAnsi"/>
                <w:sz w:val="24"/>
              </w:rPr>
            </w:pPr>
            <w:r w:rsidRPr="00D3525F">
              <w:rPr>
                <w:rFonts w:asciiTheme="minorHAnsi" w:hAnsiTheme="minorHAnsi" w:cstheme="minorHAnsi"/>
                <w:sz w:val="24"/>
              </w:rPr>
              <w:t xml:space="preserve">Standard di base bigliettazione elettronica  </w:t>
            </w:r>
          </w:p>
          <w:p w:rsidR="00D3525F" w:rsidRPr="00D3525F" w:rsidRDefault="00D3525F" w:rsidP="00D3525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500" w:type="pct"/>
          </w:tcPr>
          <w:p w:rsidR="00D3525F" w:rsidRPr="00D3525F" w:rsidRDefault="00D3525F" w:rsidP="00F222E6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D3525F">
              <w:rPr>
                <w:rFonts w:asciiTheme="minorHAnsi" w:hAnsiTheme="minorHAnsi" w:cstheme="minorHAnsi"/>
                <w:sz w:val="24"/>
              </w:rPr>
              <w:t>Il sistema appaltato da Regione Liguria prevede caratteristiche tecniche conformi al sistema di bigliettazione Piemontese (BIP):</w:t>
            </w:r>
          </w:p>
          <w:p w:rsidR="00D3525F" w:rsidRPr="00D3525F" w:rsidRDefault="00D3525F" w:rsidP="00F222E6">
            <w:pPr>
              <w:pStyle w:val="Paragrafoelenco"/>
              <w:numPr>
                <w:ilvl w:val="0"/>
                <w:numId w:val="33"/>
              </w:numPr>
              <w:contextualSpacing/>
              <w:jc w:val="both"/>
              <w:rPr>
                <w:rFonts w:asciiTheme="minorHAnsi" w:hAnsiTheme="minorHAnsi" w:cstheme="minorHAnsi"/>
                <w:sz w:val="24"/>
              </w:rPr>
            </w:pPr>
            <w:r w:rsidRPr="00D3525F">
              <w:rPr>
                <w:rFonts w:asciiTheme="minorHAnsi" w:hAnsiTheme="minorHAnsi" w:cstheme="minorHAnsi"/>
                <w:sz w:val="24"/>
              </w:rPr>
              <w:t>Architettura centri di controllo (CC/CL)</w:t>
            </w:r>
          </w:p>
          <w:p w:rsidR="00D3525F" w:rsidRPr="00D3525F" w:rsidRDefault="00D3525F" w:rsidP="00F222E6">
            <w:pPr>
              <w:pStyle w:val="Paragrafoelenco"/>
              <w:numPr>
                <w:ilvl w:val="0"/>
                <w:numId w:val="33"/>
              </w:numPr>
              <w:contextualSpacing/>
              <w:jc w:val="both"/>
              <w:rPr>
                <w:rFonts w:asciiTheme="minorHAnsi" w:hAnsiTheme="minorHAnsi" w:cstheme="minorHAnsi"/>
                <w:sz w:val="24"/>
              </w:rPr>
            </w:pPr>
            <w:r w:rsidRPr="00D3525F">
              <w:rPr>
                <w:rFonts w:asciiTheme="minorHAnsi" w:hAnsiTheme="minorHAnsi" w:cstheme="minorHAnsi"/>
                <w:sz w:val="24"/>
              </w:rPr>
              <w:t>Tecnologia Calypso</w:t>
            </w:r>
          </w:p>
          <w:p w:rsidR="00D3525F" w:rsidRPr="00D3525F" w:rsidRDefault="00D3525F" w:rsidP="00F222E6">
            <w:pPr>
              <w:pStyle w:val="Paragrafoelenco"/>
              <w:numPr>
                <w:ilvl w:val="0"/>
                <w:numId w:val="33"/>
              </w:numPr>
              <w:contextualSpacing/>
              <w:jc w:val="both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D3525F">
              <w:rPr>
                <w:rFonts w:asciiTheme="minorHAnsi" w:hAnsiTheme="minorHAnsi" w:cstheme="minorHAnsi"/>
                <w:sz w:val="24"/>
              </w:rPr>
              <w:t>Bipex</w:t>
            </w:r>
            <w:proofErr w:type="spellEnd"/>
          </w:p>
          <w:p w:rsidR="00D3525F" w:rsidRPr="00D3525F" w:rsidRDefault="00D3525F" w:rsidP="00F222E6">
            <w:pPr>
              <w:pStyle w:val="Paragrafoelenco"/>
              <w:numPr>
                <w:ilvl w:val="0"/>
                <w:numId w:val="33"/>
              </w:numPr>
              <w:contextualSpacing/>
              <w:jc w:val="both"/>
              <w:rPr>
                <w:rFonts w:asciiTheme="minorHAnsi" w:hAnsiTheme="minorHAnsi" w:cstheme="minorHAnsi"/>
                <w:sz w:val="24"/>
              </w:rPr>
            </w:pPr>
            <w:r w:rsidRPr="00D3525F">
              <w:rPr>
                <w:rFonts w:asciiTheme="minorHAnsi" w:hAnsiTheme="minorHAnsi" w:cstheme="minorHAnsi"/>
                <w:sz w:val="24"/>
              </w:rPr>
              <w:t>Architettura di bordo</w:t>
            </w:r>
          </w:p>
          <w:p w:rsidR="00D3525F" w:rsidRPr="00D3525F" w:rsidRDefault="00D3525F" w:rsidP="00F222E6">
            <w:pPr>
              <w:pStyle w:val="Paragrafoelenco"/>
              <w:numPr>
                <w:ilvl w:val="0"/>
                <w:numId w:val="33"/>
              </w:numPr>
              <w:contextualSpacing/>
              <w:jc w:val="both"/>
              <w:rPr>
                <w:rFonts w:asciiTheme="minorHAnsi" w:hAnsiTheme="minorHAnsi" w:cstheme="minorHAnsi"/>
                <w:sz w:val="24"/>
              </w:rPr>
            </w:pPr>
            <w:r w:rsidRPr="00D3525F">
              <w:rPr>
                <w:rFonts w:asciiTheme="minorHAnsi" w:hAnsiTheme="minorHAnsi" w:cstheme="minorHAnsi"/>
                <w:sz w:val="24"/>
              </w:rPr>
              <w:t>Modello dati carta</w:t>
            </w:r>
          </w:p>
          <w:p w:rsidR="00D3525F" w:rsidRDefault="00D3525F" w:rsidP="00F222E6">
            <w:pPr>
              <w:pStyle w:val="Paragrafoelenco"/>
              <w:numPr>
                <w:ilvl w:val="0"/>
                <w:numId w:val="33"/>
              </w:numPr>
              <w:contextualSpacing/>
              <w:jc w:val="both"/>
              <w:rPr>
                <w:rFonts w:asciiTheme="minorHAnsi" w:hAnsiTheme="minorHAnsi" w:cstheme="minorHAnsi"/>
                <w:sz w:val="24"/>
              </w:rPr>
            </w:pPr>
            <w:r w:rsidRPr="00D3525F">
              <w:rPr>
                <w:rFonts w:asciiTheme="minorHAnsi" w:hAnsiTheme="minorHAnsi" w:cstheme="minorHAnsi"/>
                <w:sz w:val="24"/>
              </w:rPr>
              <w:t>Servizi di sistema</w:t>
            </w:r>
          </w:p>
          <w:p w:rsidR="00F222E6" w:rsidRPr="00D3525F" w:rsidRDefault="00F222E6" w:rsidP="00F222E6">
            <w:pPr>
              <w:pStyle w:val="Paragrafoelenco"/>
              <w:ind w:left="360"/>
              <w:contextualSpacing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D3525F" w:rsidRDefault="00D3525F" w:rsidP="00D3525F"/>
    <w:p w:rsidR="00D3525F" w:rsidRDefault="00D3525F" w:rsidP="00D3525F">
      <w:pPr>
        <w:pStyle w:val="Normale1"/>
        <w:rPr>
          <w:b/>
          <w:sz w:val="24"/>
          <w:szCs w:val="24"/>
        </w:rPr>
      </w:pPr>
    </w:p>
    <w:p w:rsidR="00D3525F" w:rsidRDefault="00D3525F" w:rsidP="00D3525F">
      <w:pPr>
        <w:pStyle w:val="Normale1"/>
        <w:rPr>
          <w:b/>
          <w:sz w:val="24"/>
          <w:szCs w:val="24"/>
        </w:rPr>
      </w:pPr>
    </w:p>
    <w:p w:rsidR="00F222E6" w:rsidRDefault="00F222E6" w:rsidP="00F222E6">
      <w:pPr>
        <w:pStyle w:val="Titolo1"/>
        <w:numPr>
          <w:ilvl w:val="0"/>
          <w:numId w:val="0"/>
        </w:numPr>
        <w:rPr>
          <w:rFonts w:ascii="Arial" w:eastAsia="Arial" w:hAnsi="Arial" w:cs="Arial"/>
          <w:bCs w:val="0"/>
          <w:color w:val="auto"/>
          <w:sz w:val="24"/>
          <w:szCs w:val="24"/>
        </w:rPr>
      </w:pPr>
    </w:p>
    <w:p w:rsidR="00F222E6" w:rsidRDefault="00F222E6" w:rsidP="00F222E6"/>
    <w:p w:rsidR="00F222E6" w:rsidRDefault="00F222E6" w:rsidP="00F222E6"/>
    <w:p w:rsidR="001B73A0" w:rsidRDefault="001B73A0" w:rsidP="00F222E6"/>
    <w:p w:rsidR="001B73A0" w:rsidRDefault="001B73A0" w:rsidP="00F222E6"/>
    <w:p w:rsidR="009273D7" w:rsidRDefault="00743267" w:rsidP="00743267">
      <w:pPr>
        <w:pStyle w:val="Titolo2"/>
      </w:pPr>
      <w:bookmarkStart w:id="2" w:name="_Toc52358361"/>
      <w:r w:rsidRPr="001B73A0">
        <w:lastRenderedPageBreak/>
        <w:t>Regione Toscana</w:t>
      </w:r>
      <w:bookmarkEnd w:id="2"/>
    </w:p>
    <w:p w:rsidR="009273D7" w:rsidRDefault="009273D7" w:rsidP="00F222E6">
      <w:pPr>
        <w:pStyle w:val="Normale1"/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D3525F" w:rsidRDefault="00D3525F" w:rsidP="00F222E6">
      <w:pPr>
        <w:pStyle w:val="Normale1"/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3525F">
        <w:rPr>
          <w:rFonts w:asciiTheme="minorHAnsi" w:hAnsiTheme="minorHAnsi" w:cstheme="minorHAnsi"/>
          <w:sz w:val="24"/>
          <w:szCs w:val="24"/>
        </w:rPr>
        <w:t>L’analisi criti</w:t>
      </w:r>
      <w:r w:rsidR="00B03819">
        <w:rPr>
          <w:rFonts w:asciiTheme="minorHAnsi" w:hAnsiTheme="minorHAnsi" w:cstheme="minorHAnsi"/>
          <w:sz w:val="24"/>
          <w:szCs w:val="24"/>
        </w:rPr>
        <w:t>ca condotta in A.4.1 identifica</w:t>
      </w:r>
      <w:r w:rsidRPr="00D3525F">
        <w:rPr>
          <w:rFonts w:asciiTheme="minorHAnsi" w:hAnsiTheme="minorHAnsi" w:cstheme="minorHAnsi"/>
          <w:sz w:val="24"/>
          <w:szCs w:val="24"/>
        </w:rPr>
        <w:t xml:space="preserve">, in base al </w:t>
      </w:r>
      <w:r w:rsidR="00146A45">
        <w:rPr>
          <w:rFonts w:asciiTheme="minorHAnsi" w:hAnsiTheme="minorHAnsi" w:cstheme="minorHAnsi"/>
          <w:sz w:val="24"/>
          <w:szCs w:val="24"/>
        </w:rPr>
        <w:t>Kit del R</w:t>
      </w:r>
      <w:r w:rsidRPr="00D3525F">
        <w:rPr>
          <w:rFonts w:asciiTheme="minorHAnsi" w:hAnsiTheme="minorHAnsi" w:cstheme="minorHAnsi"/>
          <w:sz w:val="24"/>
          <w:szCs w:val="24"/>
        </w:rPr>
        <w:t>iuso fornito dalla Regione Piemonte, le seguenti integraz</w:t>
      </w:r>
      <w:r w:rsidR="00B03819">
        <w:rPr>
          <w:rFonts w:asciiTheme="minorHAnsi" w:hAnsiTheme="minorHAnsi" w:cstheme="minorHAnsi"/>
          <w:sz w:val="24"/>
          <w:szCs w:val="24"/>
        </w:rPr>
        <w:t xml:space="preserve">ioni alla situazione normativa </w:t>
      </w:r>
      <w:r w:rsidRPr="00D3525F">
        <w:rPr>
          <w:rFonts w:asciiTheme="minorHAnsi" w:hAnsiTheme="minorHAnsi" w:cstheme="minorHAnsi"/>
          <w:sz w:val="24"/>
          <w:szCs w:val="24"/>
        </w:rPr>
        <w:t>ed informativa esistente nella Regione Toscana</w:t>
      </w:r>
      <w:r w:rsidR="00F222E6">
        <w:rPr>
          <w:rFonts w:asciiTheme="minorHAnsi" w:hAnsiTheme="minorHAnsi" w:cstheme="minorHAnsi"/>
          <w:sz w:val="24"/>
          <w:szCs w:val="24"/>
        </w:rPr>
        <w:t>.</w:t>
      </w:r>
    </w:p>
    <w:p w:rsidR="00F222E6" w:rsidRDefault="00F222E6" w:rsidP="00D3525F">
      <w:pPr>
        <w:pStyle w:val="Normale1"/>
        <w:rPr>
          <w:rFonts w:asciiTheme="minorHAnsi" w:hAnsiTheme="minorHAnsi" w:cstheme="minorHAnsi"/>
          <w:sz w:val="24"/>
          <w:szCs w:val="24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4927"/>
        <w:gridCol w:w="4927"/>
      </w:tblGrid>
      <w:tr w:rsidR="00D3525F" w:rsidRPr="00D3525F" w:rsidTr="00D3525F">
        <w:tc>
          <w:tcPr>
            <w:tcW w:w="2500" w:type="pct"/>
          </w:tcPr>
          <w:p w:rsidR="00D3525F" w:rsidRPr="00D3525F" w:rsidRDefault="00D3525F" w:rsidP="00D3525F">
            <w:pPr>
              <w:rPr>
                <w:rFonts w:asciiTheme="minorHAnsi" w:hAnsiTheme="minorHAnsi" w:cstheme="minorHAnsi"/>
                <w:sz w:val="24"/>
              </w:rPr>
            </w:pPr>
            <w:r w:rsidRPr="00D3525F">
              <w:rPr>
                <w:rFonts w:asciiTheme="minorHAnsi" w:hAnsiTheme="minorHAnsi" w:cstheme="minorHAnsi"/>
                <w:sz w:val="24"/>
              </w:rPr>
              <w:t xml:space="preserve">NUOVA DELIBERAZIONE </w:t>
            </w:r>
          </w:p>
        </w:tc>
        <w:tc>
          <w:tcPr>
            <w:tcW w:w="2500" w:type="pct"/>
          </w:tcPr>
          <w:p w:rsidR="00D3525F" w:rsidRPr="00D3525F" w:rsidRDefault="00D3525F" w:rsidP="00D3525F">
            <w:pPr>
              <w:rPr>
                <w:rFonts w:asciiTheme="minorHAnsi" w:hAnsiTheme="minorHAnsi" w:cstheme="minorHAnsi"/>
                <w:sz w:val="24"/>
              </w:rPr>
            </w:pPr>
            <w:r w:rsidRPr="00D3525F">
              <w:rPr>
                <w:rFonts w:asciiTheme="minorHAnsi" w:hAnsiTheme="minorHAnsi" w:cstheme="minorHAnsi"/>
                <w:sz w:val="24"/>
              </w:rPr>
              <w:t>CONTENUTO</w:t>
            </w:r>
          </w:p>
        </w:tc>
      </w:tr>
      <w:tr w:rsidR="00D3525F" w:rsidRPr="00D3525F" w:rsidTr="00D3525F">
        <w:tc>
          <w:tcPr>
            <w:tcW w:w="2500" w:type="pct"/>
          </w:tcPr>
          <w:p w:rsidR="00D3525F" w:rsidRPr="00D3525F" w:rsidRDefault="00D3525F" w:rsidP="00D3525F">
            <w:pPr>
              <w:rPr>
                <w:rFonts w:asciiTheme="minorHAnsi" w:hAnsiTheme="minorHAnsi" w:cstheme="minorHAnsi"/>
                <w:sz w:val="24"/>
              </w:rPr>
            </w:pPr>
            <w:r w:rsidRPr="00D3525F">
              <w:rPr>
                <w:rFonts w:asciiTheme="minorHAnsi" w:hAnsiTheme="minorHAnsi" w:cstheme="minorHAnsi"/>
                <w:sz w:val="24"/>
              </w:rPr>
              <w:t xml:space="preserve">Scelta oggetto strumentale </w:t>
            </w:r>
          </w:p>
          <w:p w:rsidR="00D3525F" w:rsidRPr="00D3525F" w:rsidRDefault="00D3525F" w:rsidP="00D3525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500" w:type="pct"/>
          </w:tcPr>
          <w:p w:rsidR="00F222E6" w:rsidRPr="00D3525F" w:rsidRDefault="00F222E6" w:rsidP="00F222E6">
            <w:pPr>
              <w:pStyle w:val="Normale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3525F">
              <w:rPr>
                <w:rFonts w:asciiTheme="minorHAnsi" w:hAnsiTheme="minorHAnsi" w:cstheme="minorHAnsi"/>
                <w:sz w:val="24"/>
                <w:szCs w:val="24"/>
              </w:rPr>
              <w:t xml:space="preserve">Occorre verificare se l’Ufficio Unico può coprire tutte le attività previste dal Kit a carico del soggetto tecnico per la parte </w:t>
            </w:r>
          </w:p>
          <w:p w:rsidR="00F222E6" w:rsidRPr="00D3525F" w:rsidRDefault="00F222E6" w:rsidP="00F222E6">
            <w:pPr>
              <w:pStyle w:val="Normale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3525F">
              <w:rPr>
                <w:rFonts w:asciiTheme="minorHAnsi" w:hAnsiTheme="minorHAnsi" w:cstheme="minorHAnsi"/>
                <w:sz w:val="24"/>
                <w:szCs w:val="24"/>
              </w:rPr>
              <w:t>•</w:t>
            </w:r>
            <w:r w:rsidRPr="00D3525F">
              <w:rPr>
                <w:rFonts w:asciiTheme="minorHAnsi" w:hAnsiTheme="minorHAnsi" w:cstheme="minorHAnsi"/>
                <w:sz w:val="24"/>
                <w:szCs w:val="24"/>
              </w:rPr>
              <w:tab/>
              <w:t>Qualificazione fornitori</w:t>
            </w:r>
          </w:p>
          <w:p w:rsidR="00F222E6" w:rsidRPr="00D3525F" w:rsidRDefault="00F222E6" w:rsidP="00F222E6">
            <w:pPr>
              <w:pStyle w:val="Normale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3525F">
              <w:rPr>
                <w:rFonts w:asciiTheme="minorHAnsi" w:hAnsiTheme="minorHAnsi" w:cstheme="minorHAnsi"/>
                <w:sz w:val="24"/>
                <w:szCs w:val="24"/>
              </w:rPr>
              <w:t>•</w:t>
            </w:r>
            <w:r w:rsidRPr="00D3525F">
              <w:rPr>
                <w:rFonts w:asciiTheme="minorHAnsi" w:hAnsiTheme="minorHAnsi" w:cstheme="minorHAnsi"/>
                <w:sz w:val="24"/>
                <w:szCs w:val="24"/>
              </w:rPr>
              <w:tab/>
              <w:t>Capitolati</w:t>
            </w:r>
          </w:p>
          <w:p w:rsidR="00F222E6" w:rsidRPr="00D3525F" w:rsidRDefault="00F222E6" w:rsidP="00F222E6">
            <w:pPr>
              <w:pStyle w:val="Normale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3525F">
              <w:rPr>
                <w:rFonts w:asciiTheme="minorHAnsi" w:hAnsiTheme="minorHAnsi" w:cstheme="minorHAnsi"/>
                <w:sz w:val="24"/>
                <w:szCs w:val="24"/>
              </w:rPr>
              <w:t>•</w:t>
            </w:r>
            <w:r w:rsidRPr="00D3525F">
              <w:rPr>
                <w:rFonts w:asciiTheme="minorHAnsi" w:hAnsiTheme="minorHAnsi" w:cstheme="minorHAnsi"/>
                <w:sz w:val="24"/>
                <w:szCs w:val="24"/>
              </w:rPr>
              <w:tab/>
              <w:t>Collaudi</w:t>
            </w:r>
          </w:p>
          <w:p w:rsidR="00D3525F" w:rsidRDefault="00F222E6" w:rsidP="00F222E6">
            <w:pPr>
              <w:pStyle w:val="Normale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3525F">
              <w:rPr>
                <w:rFonts w:asciiTheme="minorHAnsi" w:hAnsiTheme="minorHAnsi" w:cstheme="minorHAnsi"/>
                <w:sz w:val="24"/>
                <w:szCs w:val="24"/>
              </w:rPr>
              <w:t>Oppure, se questa attività può essere demandata al gestore unico o comunque alle aziende esercenti sul modello Pegaso</w:t>
            </w:r>
          </w:p>
          <w:p w:rsidR="00F222E6" w:rsidRPr="00F222E6" w:rsidRDefault="00F222E6" w:rsidP="00F222E6">
            <w:pPr>
              <w:pStyle w:val="Normale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3525F" w:rsidRPr="00D3525F" w:rsidTr="00D3525F">
        <w:tc>
          <w:tcPr>
            <w:tcW w:w="2500" w:type="pct"/>
          </w:tcPr>
          <w:p w:rsidR="00D3525F" w:rsidRPr="00D3525F" w:rsidRDefault="00D3525F" w:rsidP="00D3525F">
            <w:pPr>
              <w:rPr>
                <w:rFonts w:asciiTheme="minorHAnsi" w:hAnsiTheme="minorHAnsi" w:cstheme="minorHAnsi"/>
                <w:sz w:val="24"/>
              </w:rPr>
            </w:pPr>
            <w:r w:rsidRPr="00D3525F">
              <w:rPr>
                <w:rFonts w:asciiTheme="minorHAnsi" w:hAnsiTheme="minorHAnsi" w:cstheme="minorHAnsi"/>
                <w:sz w:val="24"/>
              </w:rPr>
              <w:t xml:space="preserve">Risorse </w:t>
            </w:r>
          </w:p>
          <w:p w:rsidR="00D3525F" w:rsidRPr="00D3525F" w:rsidRDefault="00D3525F" w:rsidP="00D3525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500" w:type="pct"/>
          </w:tcPr>
          <w:p w:rsidR="00F222E6" w:rsidRPr="00D3525F" w:rsidRDefault="00F222E6" w:rsidP="00F222E6">
            <w:pPr>
              <w:pStyle w:val="Normale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3525F">
              <w:rPr>
                <w:rFonts w:asciiTheme="minorHAnsi" w:hAnsiTheme="minorHAnsi" w:cstheme="minorHAnsi"/>
                <w:sz w:val="24"/>
                <w:szCs w:val="24"/>
              </w:rPr>
              <w:t>Le risorse sono nel corrispettivo contrattuale della gara “unica”.</w:t>
            </w:r>
          </w:p>
          <w:p w:rsidR="00D3525F" w:rsidRDefault="00F222E6" w:rsidP="00F222E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3525F">
              <w:rPr>
                <w:rFonts w:asciiTheme="minorHAnsi" w:hAnsiTheme="minorHAnsi" w:cstheme="minorHAnsi"/>
                <w:sz w:val="24"/>
                <w:szCs w:val="24"/>
              </w:rPr>
              <w:t>In passato sono state previste risorse (DGR 880/200)</w:t>
            </w:r>
            <w:r w:rsidR="009273D7">
              <w:rPr>
                <w:rFonts w:asciiTheme="minorHAnsi" w:hAnsiTheme="minorHAnsi" w:cstheme="minorHAnsi"/>
                <w:sz w:val="24"/>
                <w:szCs w:val="24"/>
              </w:rPr>
              <w:t xml:space="preserve"> per lo sviluppo della monetica</w:t>
            </w:r>
          </w:p>
          <w:p w:rsidR="00F222E6" w:rsidRPr="00D3525F" w:rsidRDefault="00F222E6" w:rsidP="00F222E6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D3525F" w:rsidRPr="00D3525F" w:rsidTr="00D3525F">
        <w:tc>
          <w:tcPr>
            <w:tcW w:w="2500" w:type="pct"/>
          </w:tcPr>
          <w:p w:rsidR="00D3525F" w:rsidRPr="00D3525F" w:rsidRDefault="00D3525F" w:rsidP="00D3525F">
            <w:pPr>
              <w:rPr>
                <w:rFonts w:asciiTheme="minorHAnsi" w:hAnsiTheme="minorHAnsi" w:cstheme="minorHAnsi"/>
                <w:sz w:val="24"/>
              </w:rPr>
            </w:pPr>
            <w:r w:rsidRPr="00D3525F">
              <w:rPr>
                <w:rFonts w:asciiTheme="minorHAnsi" w:hAnsiTheme="minorHAnsi" w:cstheme="minorHAnsi"/>
                <w:sz w:val="24"/>
              </w:rPr>
              <w:t>Sistema informativo dell’esercizio</w:t>
            </w:r>
          </w:p>
          <w:p w:rsidR="00D3525F" w:rsidRPr="00D3525F" w:rsidRDefault="00D3525F" w:rsidP="00D3525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500" w:type="pct"/>
          </w:tcPr>
          <w:p w:rsidR="00D3525F" w:rsidRDefault="00F222E6" w:rsidP="00F222E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3525F">
              <w:rPr>
                <w:rFonts w:asciiTheme="minorHAnsi" w:hAnsiTheme="minorHAnsi" w:cstheme="minorHAnsi"/>
                <w:sz w:val="24"/>
                <w:szCs w:val="24"/>
              </w:rPr>
              <w:t xml:space="preserve">La normativa (legge 42/98 e Regolamento 9r/2005) e le prescrizioni Tecniche (Decreto n.4420 del 26-09-2012) sono in linea con 3 delle 4 </w:t>
            </w:r>
            <w:proofErr w:type="spellStart"/>
            <w:r w:rsidRPr="00D3525F">
              <w:rPr>
                <w:rFonts w:asciiTheme="minorHAnsi" w:hAnsiTheme="minorHAnsi" w:cstheme="minorHAnsi"/>
                <w:sz w:val="24"/>
                <w:szCs w:val="24"/>
              </w:rPr>
              <w:t>macrocategorie</w:t>
            </w:r>
            <w:proofErr w:type="spellEnd"/>
            <w:r w:rsidRPr="00D3525F">
              <w:rPr>
                <w:rFonts w:asciiTheme="minorHAnsi" w:hAnsiTheme="minorHAnsi" w:cstheme="minorHAnsi"/>
                <w:sz w:val="24"/>
                <w:szCs w:val="24"/>
              </w:rPr>
              <w:t xml:space="preserve"> informative del formato </w:t>
            </w:r>
            <w:proofErr w:type="spellStart"/>
            <w:r w:rsidRPr="00D3525F">
              <w:rPr>
                <w:rFonts w:asciiTheme="minorHAnsi" w:hAnsiTheme="minorHAnsi" w:cstheme="minorHAnsi"/>
                <w:sz w:val="24"/>
                <w:szCs w:val="24"/>
              </w:rPr>
              <w:t>Bipex</w:t>
            </w:r>
            <w:proofErr w:type="spellEnd"/>
            <w:r w:rsidRPr="00D3525F">
              <w:rPr>
                <w:rFonts w:asciiTheme="minorHAnsi" w:hAnsiTheme="minorHAnsi" w:cstheme="minorHAnsi"/>
                <w:sz w:val="24"/>
                <w:szCs w:val="24"/>
              </w:rPr>
              <w:t xml:space="preserve"> elencate nel Kit del Riuso. La corrispondenza con la quarta macro categoria “Tariffazione” è data dalla previsioni del Contratto di Servizio relativo al lotto</w:t>
            </w:r>
            <w:r w:rsidR="009273D7">
              <w:rPr>
                <w:rFonts w:asciiTheme="minorHAnsi" w:hAnsiTheme="minorHAnsi" w:cstheme="minorHAnsi"/>
                <w:sz w:val="24"/>
                <w:szCs w:val="24"/>
              </w:rPr>
              <w:t xml:space="preserve"> unico regionale in affidamento</w:t>
            </w:r>
          </w:p>
          <w:p w:rsidR="00F222E6" w:rsidRPr="00D3525F" w:rsidRDefault="00F222E6" w:rsidP="00F222E6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D3525F" w:rsidRPr="00D3525F" w:rsidTr="00D3525F">
        <w:tc>
          <w:tcPr>
            <w:tcW w:w="2500" w:type="pct"/>
          </w:tcPr>
          <w:p w:rsidR="00D3525F" w:rsidRPr="00D3525F" w:rsidRDefault="00D3525F" w:rsidP="00D3525F">
            <w:pPr>
              <w:rPr>
                <w:rFonts w:asciiTheme="minorHAnsi" w:hAnsiTheme="minorHAnsi" w:cstheme="minorHAnsi"/>
                <w:sz w:val="24"/>
              </w:rPr>
            </w:pPr>
            <w:r w:rsidRPr="00D3525F">
              <w:rPr>
                <w:rFonts w:asciiTheme="minorHAnsi" w:hAnsiTheme="minorHAnsi" w:cstheme="minorHAnsi"/>
                <w:sz w:val="24"/>
              </w:rPr>
              <w:t xml:space="preserve">Standard di base bigliettazione elettronica  </w:t>
            </w:r>
          </w:p>
          <w:p w:rsidR="00D3525F" w:rsidRPr="00D3525F" w:rsidRDefault="00D3525F" w:rsidP="00D3525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500" w:type="pct"/>
          </w:tcPr>
          <w:p w:rsidR="00D3525F" w:rsidRDefault="00F222E6" w:rsidP="00F222E6">
            <w:pPr>
              <w:keepNext/>
              <w:contextualSpacing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3525F">
              <w:rPr>
                <w:rFonts w:asciiTheme="minorHAnsi" w:hAnsiTheme="minorHAnsi" w:cstheme="minorHAnsi"/>
                <w:sz w:val="24"/>
                <w:szCs w:val="24"/>
              </w:rPr>
              <w:t xml:space="preserve">Nel contratto di servizio della gara unica regionale sono previsti impegni compatibili con il protocollo </w:t>
            </w:r>
            <w:proofErr w:type="spellStart"/>
            <w:r w:rsidRPr="00D3525F">
              <w:rPr>
                <w:rFonts w:asciiTheme="minorHAnsi" w:hAnsiTheme="minorHAnsi" w:cstheme="minorHAnsi"/>
                <w:sz w:val="24"/>
                <w:szCs w:val="24"/>
              </w:rPr>
              <w:t>B</w:t>
            </w:r>
            <w:r w:rsidR="00146A45">
              <w:rPr>
                <w:rFonts w:asciiTheme="minorHAnsi" w:hAnsiTheme="minorHAnsi" w:cstheme="minorHAnsi"/>
                <w:sz w:val="24"/>
                <w:szCs w:val="24"/>
              </w:rPr>
              <w:t>ipe</w:t>
            </w:r>
            <w:r w:rsidRPr="00D3525F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proofErr w:type="spellEnd"/>
            <w:r w:rsidRPr="00D3525F">
              <w:rPr>
                <w:rFonts w:asciiTheme="minorHAnsi" w:hAnsiTheme="minorHAnsi" w:cstheme="minorHAnsi"/>
                <w:sz w:val="24"/>
                <w:szCs w:val="24"/>
              </w:rPr>
              <w:t xml:space="preserve"> (articolo 13 “Vendita e Gestione dei TITOLI di Viaggio</w:t>
            </w:r>
            <w:r w:rsidR="00146A45"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  <w:r w:rsidRPr="00D3525F">
              <w:rPr>
                <w:rFonts w:asciiTheme="minorHAnsi" w:hAnsiTheme="minorHAnsi" w:cstheme="minorHAnsi"/>
                <w:sz w:val="24"/>
                <w:szCs w:val="24"/>
              </w:rPr>
              <w:t xml:space="preserve">). L’affidatario Autolinee Toscane ha dichiarato alla RT la propria volontà di aderire allo standard </w:t>
            </w:r>
            <w:proofErr w:type="spellStart"/>
            <w:r w:rsidRPr="00D3525F">
              <w:rPr>
                <w:rFonts w:asciiTheme="minorHAnsi" w:hAnsiTheme="minorHAnsi" w:cstheme="minorHAnsi"/>
                <w:sz w:val="24"/>
                <w:szCs w:val="24"/>
              </w:rPr>
              <w:t>Bipex</w:t>
            </w:r>
            <w:proofErr w:type="spellEnd"/>
            <w:r w:rsidRPr="00D3525F">
              <w:rPr>
                <w:rFonts w:asciiTheme="minorHAnsi" w:hAnsiTheme="minorHAnsi" w:cstheme="minorHAnsi"/>
                <w:sz w:val="24"/>
                <w:szCs w:val="24"/>
              </w:rPr>
              <w:t xml:space="preserve">. Manca un chiaro riferimento al protocollo stesso e manca una disposizione normativa che estenda l’obbligo </w:t>
            </w:r>
            <w:r w:rsidR="009273D7">
              <w:rPr>
                <w:rFonts w:asciiTheme="minorHAnsi" w:hAnsiTheme="minorHAnsi" w:cstheme="minorHAnsi"/>
                <w:sz w:val="24"/>
                <w:szCs w:val="24"/>
              </w:rPr>
              <w:t>a tutti gli operatori regionali</w:t>
            </w:r>
          </w:p>
          <w:p w:rsidR="00F222E6" w:rsidRPr="00F222E6" w:rsidRDefault="00F222E6" w:rsidP="00F222E6">
            <w:pPr>
              <w:keepNext/>
              <w:contextualSpacing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F222E6" w:rsidRDefault="00F222E6" w:rsidP="001B73A0">
      <w:pPr>
        <w:pStyle w:val="Titolo1"/>
        <w:numPr>
          <w:ilvl w:val="0"/>
          <w:numId w:val="0"/>
        </w:numPr>
        <w:ind w:left="432"/>
      </w:pPr>
    </w:p>
    <w:p w:rsidR="001B73A0" w:rsidRDefault="001B73A0" w:rsidP="001B73A0"/>
    <w:p w:rsidR="001B73A0" w:rsidRDefault="001B73A0" w:rsidP="001B73A0"/>
    <w:p w:rsidR="001B73A0" w:rsidRDefault="001B73A0" w:rsidP="009273D7"/>
    <w:p w:rsidR="001B73A0" w:rsidRPr="001B73A0" w:rsidRDefault="00743267" w:rsidP="00743267">
      <w:pPr>
        <w:pStyle w:val="Titolo2"/>
      </w:pPr>
      <w:bookmarkStart w:id="3" w:name="_Toc52358362"/>
      <w:r w:rsidRPr="001B73A0">
        <w:lastRenderedPageBreak/>
        <w:t xml:space="preserve">Regione </w:t>
      </w:r>
      <w:r>
        <w:t>Calabria</w:t>
      </w:r>
      <w:bookmarkEnd w:id="3"/>
    </w:p>
    <w:p w:rsidR="001B73A0" w:rsidRDefault="001B73A0" w:rsidP="00F222E6">
      <w:pPr>
        <w:jc w:val="both"/>
      </w:pPr>
    </w:p>
    <w:p w:rsidR="00F222E6" w:rsidRDefault="00D3525F" w:rsidP="00743267">
      <w:pPr>
        <w:jc w:val="both"/>
      </w:pPr>
      <w:r>
        <w:t>L’analisi critica condotta in</w:t>
      </w:r>
      <w:r w:rsidR="00146A45">
        <w:t xml:space="preserve"> A.4.1 identifica, in base al Kit del R</w:t>
      </w:r>
      <w:r>
        <w:t xml:space="preserve">iuso fornito dalla Regione Piemonte, le seguenti integrazioni alla </w:t>
      </w:r>
      <w:r w:rsidR="00743267">
        <w:t xml:space="preserve">situazione normativa </w:t>
      </w:r>
      <w:r>
        <w:t>ed informativa e</w:t>
      </w:r>
      <w:r w:rsidR="00F222E6">
        <w:t>sistente nella Regione Calabria.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3936"/>
        <w:gridCol w:w="5918"/>
      </w:tblGrid>
      <w:tr w:rsidR="00D3525F" w:rsidRPr="00F222E6" w:rsidTr="00F52FF9">
        <w:tc>
          <w:tcPr>
            <w:tcW w:w="1997" w:type="pct"/>
          </w:tcPr>
          <w:p w:rsidR="00D3525F" w:rsidRPr="00F222E6" w:rsidRDefault="00D3525F" w:rsidP="00D3525F">
            <w:pPr>
              <w:rPr>
                <w:rFonts w:asciiTheme="minorHAnsi" w:hAnsiTheme="minorHAnsi" w:cstheme="minorHAnsi"/>
                <w:sz w:val="24"/>
              </w:rPr>
            </w:pPr>
            <w:r w:rsidRPr="00F222E6">
              <w:rPr>
                <w:rFonts w:asciiTheme="minorHAnsi" w:hAnsiTheme="minorHAnsi" w:cstheme="minorHAnsi"/>
                <w:sz w:val="24"/>
              </w:rPr>
              <w:t xml:space="preserve">NUOVA DELIBERAZIONE </w:t>
            </w:r>
          </w:p>
        </w:tc>
        <w:tc>
          <w:tcPr>
            <w:tcW w:w="3003" w:type="pct"/>
          </w:tcPr>
          <w:p w:rsidR="00D3525F" w:rsidRPr="00F222E6" w:rsidRDefault="00D3525F" w:rsidP="00D3525F">
            <w:pPr>
              <w:rPr>
                <w:rFonts w:asciiTheme="minorHAnsi" w:hAnsiTheme="minorHAnsi" w:cstheme="minorHAnsi"/>
                <w:sz w:val="24"/>
              </w:rPr>
            </w:pPr>
            <w:r w:rsidRPr="00F222E6">
              <w:rPr>
                <w:rFonts w:asciiTheme="minorHAnsi" w:hAnsiTheme="minorHAnsi" w:cstheme="minorHAnsi"/>
                <w:sz w:val="24"/>
              </w:rPr>
              <w:t>CONTENUTO</w:t>
            </w:r>
          </w:p>
        </w:tc>
      </w:tr>
      <w:tr w:rsidR="00D3525F" w:rsidRPr="00F222E6" w:rsidTr="00F52FF9">
        <w:tc>
          <w:tcPr>
            <w:tcW w:w="1997" w:type="pct"/>
          </w:tcPr>
          <w:p w:rsidR="00D3525F" w:rsidRPr="00F222E6" w:rsidRDefault="00D3525F" w:rsidP="00D3525F">
            <w:pPr>
              <w:rPr>
                <w:rFonts w:asciiTheme="minorHAnsi" w:hAnsiTheme="minorHAnsi" w:cstheme="minorHAnsi"/>
                <w:sz w:val="24"/>
              </w:rPr>
            </w:pPr>
            <w:r w:rsidRPr="00F222E6">
              <w:rPr>
                <w:rFonts w:asciiTheme="minorHAnsi" w:hAnsiTheme="minorHAnsi" w:cstheme="minorHAnsi"/>
                <w:sz w:val="24"/>
              </w:rPr>
              <w:t xml:space="preserve">Scelta oggetto strumentale </w:t>
            </w:r>
          </w:p>
          <w:p w:rsidR="00D3525F" w:rsidRPr="00F222E6" w:rsidRDefault="00D3525F" w:rsidP="00D3525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003" w:type="pct"/>
          </w:tcPr>
          <w:p w:rsidR="00D3525F" w:rsidRPr="00F222E6" w:rsidRDefault="00743267" w:rsidP="00F222E6">
            <w:pPr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V</w:t>
            </w:r>
            <w:r w:rsidR="00D3525F" w:rsidRPr="00F222E6">
              <w:rPr>
                <w:rFonts w:asciiTheme="minorHAnsi" w:hAnsiTheme="minorHAnsi" w:cstheme="minorHAnsi"/>
                <w:sz w:val="24"/>
              </w:rPr>
              <w:t>erificare se la convenzione con l’universit</w:t>
            </w:r>
            <w:r w:rsidR="00F222E6">
              <w:rPr>
                <w:rFonts w:asciiTheme="minorHAnsi" w:hAnsiTheme="minorHAnsi" w:cstheme="minorHAnsi"/>
                <w:sz w:val="24"/>
              </w:rPr>
              <w:t>à</w:t>
            </w:r>
            <w:r>
              <w:rPr>
                <w:rFonts w:asciiTheme="minorHAnsi" w:hAnsiTheme="minorHAnsi" w:cstheme="minorHAnsi"/>
                <w:sz w:val="24"/>
              </w:rPr>
              <w:t xml:space="preserve"> della Calabria (</w:t>
            </w:r>
            <w:r w:rsidR="00D3525F" w:rsidRPr="00F222E6">
              <w:rPr>
                <w:rFonts w:asciiTheme="minorHAnsi" w:hAnsiTheme="minorHAnsi" w:cstheme="minorHAnsi"/>
                <w:sz w:val="24"/>
              </w:rPr>
              <w:t>che ha portato alla</w:t>
            </w:r>
            <w:r>
              <w:rPr>
                <w:rFonts w:asciiTheme="minorHAnsi" w:hAnsiTheme="minorHAnsi" w:cstheme="minorHAnsi"/>
                <w:sz w:val="24"/>
              </w:rPr>
              <w:t xml:space="preserve"> costituzione del sistema AVL e</w:t>
            </w:r>
            <w:r w:rsidR="00D3525F" w:rsidRPr="00F222E6">
              <w:rPr>
                <w:rFonts w:asciiTheme="minorHAnsi" w:hAnsiTheme="minorHAnsi" w:cstheme="minorHAnsi"/>
                <w:sz w:val="24"/>
              </w:rPr>
              <w:t xml:space="preserve"> del Core) può essere rinnovata e se può coprire tutte le attività previste dal </w:t>
            </w:r>
            <w:r w:rsidR="00146A45">
              <w:rPr>
                <w:rFonts w:asciiTheme="minorHAnsi" w:hAnsiTheme="minorHAnsi" w:cstheme="minorHAnsi"/>
                <w:sz w:val="24"/>
              </w:rPr>
              <w:t>K</w:t>
            </w:r>
            <w:r w:rsidR="00D3525F" w:rsidRPr="00F222E6">
              <w:rPr>
                <w:rFonts w:asciiTheme="minorHAnsi" w:hAnsiTheme="minorHAnsi" w:cstheme="minorHAnsi"/>
                <w:sz w:val="24"/>
              </w:rPr>
              <w:t>it a carico del soggett</w:t>
            </w:r>
            <w:r w:rsidR="00F222E6">
              <w:rPr>
                <w:rFonts w:asciiTheme="minorHAnsi" w:hAnsiTheme="minorHAnsi" w:cstheme="minorHAnsi"/>
                <w:sz w:val="24"/>
              </w:rPr>
              <w:t>o tecnico</w:t>
            </w:r>
            <w:r w:rsidR="00D3525F" w:rsidRPr="00F222E6">
              <w:rPr>
                <w:rFonts w:asciiTheme="minorHAnsi" w:hAnsiTheme="minorHAnsi" w:cstheme="minorHAnsi"/>
                <w:sz w:val="24"/>
              </w:rPr>
              <w:t>:</w:t>
            </w:r>
          </w:p>
          <w:p w:rsidR="00D3525F" w:rsidRPr="00F222E6" w:rsidRDefault="00D3525F" w:rsidP="00F222E6">
            <w:pPr>
              <w:pStyle w:val="Paragrafoelenco"/>
              <w:numPr>
                <w:ilvl w:val="0"/>
                <w:numId w:val="34"/>
              </w:numPr>
              <w:contextualSpacing/>
              <w:jc w:val="both"/>
              <w:rPr>
                <w:rFonts w:asciiTheme="minorHAnsi" w:hAnsiTheme="minorHAnsi" w:cstheme="minorHAnsi"/>
                <w:sz w:val="24"/>
              </w:rPr>
            </w:pPr>
            <w:r w:rsidRPr="00F222E6">
              <w:rPr>
                <w:rFonts w:asciiTheme="minorHAnsi" w:hAnsiTheme="minorHAnsi" w:cstheme="minorHAnsi"/>
                <w:sz w:val="24"/>
              </w:rPr>
              <w:t>Qualificazione fornitori</w:t>
            </w:r>
          </w:p>
          <w:p w:rsidR="00D3525F" w:rsidRPr="00F222E6" w:rsidRDefault="00D3525F" w:rsidP="00F222E6">
            <w:pPr>
              <w:pStyle w:val="Paragrafoelenco"/>
              <w:numPr>
                <w:ilvl w:val="0"/>
                <w:numId w:val="34"/>
              </w:numPr>
              <w:contextualSpacing/>
              <w:jc w:val="both"/>
              <w:rPr>
                <w:rFonts w:asciiTheme="minorHAnsi" w:hAnsiTheme="minorHAnsi" w:cstheme="minorHAnsi"/>
                <w:sz w:val="24"/>
              </w:rPr>
            </w:pPr>
            <w:r w:rsidRPr="00F222E6">
              <w:rPr>
                <w:rFonts w:asciiTheme="minorHAnsi" w:hAnsiTheme="minorHAnsi" w:cstheme="minorHAnsi"/>
                <w:sz w:val="24"/>
              </w:rPr>
              <w:t>Soluzione preesistenze</w:t>
            </w:r>
          </w:p>
          <w:p w:rsidR="00D3525F" w:rsidRPr="00F222E6" w:rsidRDefault="00D3525F" w:rsidP="00F222E6">
            <w:pPr>
              <w:pStyle w:val="Paragrafoelenco"/>
              <w:numPr>
                <w:ilvl w:val="0"/>
                <w:numId w:val="34"/>
              </w:numPr>
              <w:contextualSpacing/>
              <w:jc w:val="both"/>
              <w:rPr>
                <w:rFonts w:asciiTheme="minorHAnsi" w:hAnsiTheme="minorHAnsi" w:cstheme="minorHAnsi"/>
                <w:sz w:val="24"/>
              </w:rPr>
            </w:pPr>
            <w:r w:rsidRPr="00F222E6">
              <w:rPr>
                <w:rFonts w:asciiTheme="minorHAnsi" w:hAnsiTheme="minorHAnsi" w:cstheme="minorHAnsi"/>
                <w:sz w:val="24"/>
              </w:rPr>
              <w:t>Capitolati</w:t>
            </w:r>
          </w:p>
          <w:p w:rsidR="009273D7" w:rsidRPr="00743267" w:rsidRDefault="00D3525F" w:rsidP="00743267">
            <w:pPr>
              <w:pStyle w:val="Paragrafoelenco"/>
              <w:numPr>
                <w:ilvl w:val="0"/>
                <w:numId w:val="34"/>
              </w:numPr>
              <w:contextualSpacing/>
              <w:jc w:val="both"/>
              <w:rPr>
                <w:rFonts w:asciiTheme="minorHAnsi" w:hAnsiTheme="minorHAnsi" w:cstheme="minorHAnsi"/>
                <w:sz w:val="24"/>
              </w:rPr>
            </w:pPr>
            <w:r w:rsidRPr="00F222E6">
              <w:rPr>
                <w:rFonts w:asciiTheme="minorHAnsi" w:hAnsiTheme="minorHAnsi" w:cstheme="minorHAnsi"/>
                <w:sz w:val="24"/>
              </w:rPr>
              <w:t>Collaudi</w:t>
            </w:r>
          </w:p>
        </w:tc>
      </w:tr>
      <w:tr w:rsidR="00D3525F" w:rsidRPr="00F222E6" w:rsidTr="00F52FF9">
        <w:tc>
          <w:tcPr>
            <w:tcW w:w="1997" w:type="pct"/>
          </w:tcPr>
          <w:p w:rsidR="00D3525F" w:rsidRPr="00F222E6" w:rsidRDefault="00D3525F" w:rsidP="00D3525F">
            <w:pPr>
              <w:rPr>
                <w:rFonts w:asciiTheme="minorHAnsi" w:hAnsiTheme="minorHAnsi" w:cstheme="minorHAnsi"/>
                <w:sz w:val="24"/>
              </w:rPr>
            </w:pPr>
            <w:r w:rsidRPr="00F222E6">
              <w:rPr>
                <w:rFonts w:asciiTheme="minorHAnsi" w:hAnsiTheme="minorHAnsi" w:cstheme="minorHAnsi"/>
                <w:sz w:val="24"/>
              </w:rPr>
              <w:t xml:space="preserve">Risorse </w:t>
            </w:r>
          </w:p>
          <w:p w:rsidR="00D3525F" w:rsidRPr="00F222E6" w:rsidRDefault="00D3525F" w:rsidP="00D3525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003" w:type="pct"/>
          </w:tcPr>
          <w:p w:rsidR="00D3525F" w:rsidRPr="00F222E6" w:rsidRDefault="00D3525F" w:rsidP="00F222E6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F222E6">
              <w:rPr>
                <w:rFonts w:asciiTheme="minorHAnsi" w:hAnsiTheme="minorHAnsi" w:cstheme="minorHAnsi"/>
                <w:sz w:val="24"/>
              </w:rPr>
              <w:t xml:space="preserve">Occorre prevedere un’apposita fonte finanziaria (oggi non presente) per </w:t>
            </w:r>
            <w:r w:rsidR="00743267">
              <w:rPr>
                <w:rFonts w:asciiTheme="minorHAnsi" w:hAnsiTheme="minorHAnsi" w:cstheme="minorHAnsi"/>
                <w:sz w:val="24"/>
              </w:rPr>
              <w:t xml:space="preserve">garantire </w:t>
            </w:r>
            <w:r w:rsidR="00146A45">
              <w:rPr>
                <w:rFonts w:asciiTheme="minorHAnsi" w:hAnsiTheme="minorHAnsi" w:cstheme="minorHAnsi"/>
                <w:sz w:val="24"/>
              </w:rPr>
              <w:t>l’implementazione del K</w:t>
            </w:r>
            <w:r w:rsidRPr="00F222E6">
              <w:rPr>
                <w:rFonts w:asciiTheme="minorHAnsi" w:hAnsiTheme="minorHAnsi" w:cstheme="minorHAnsi"/>
                <w:sz w:val="24"/>
              </w:rPr>
              <w:t>it.</w:t>
            </w:r>
          </w:p>
          <w:p w:rsidR="00D3525F" w:rsidRPr="00F222E6" w:rsidRDefault="00D3525F" w:rsidP="00F222E6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F222E6">
              <w:rPr>
                <w:rFonts w:asciiTheme="minorHAnsi" w:hAnsiTheme="minorHAnsi" w:cstheme="minorHAnsi"/>
                <w:sz w:val="24"/>
              </w:rPr>
              <w:t xml:space="preserve">La realtà degli AVL attuali sembra obsoleta </w:t>
            </w:r>
          </w:p>
          <w:p w:rsidR="009273D7" w:rsidRPr="00F222E6" w:rsidRDefault="00D3525F" w:rsidP="00F222E6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F222E6">
              <w:rPr>
                <w:rFonts w:asciiTheme="minorHAnsi" w:hAnsiTheme="minorHAnsi" w:cstheme="minorHAnsi"/>
                <w:sz w:val="24"/>
              </w:rPr>
              <w:t xml:space="preserve">Le realizzazioni aziendali di monetica </w:t>
            </w:r>
            <w:r w:rsidR="00F222E6" w:rsidRPr="00F222E6">
              <w:rPr>
                <w:rFonts w:asciiTheme="minorHAnsi" w:hAnsiTheme="minorHAnsi" w:cstheme="minorHAnsi"/>
                <w:sz w:val="24"/>
              </w:rPr>
              <w:t>pressoché</w:t>
            </w:r>
            <w:r w:rsidRPr="00F222E6">
              <w:rPr>
                <w:rFonts w:asciiTheme="minorHAnsi" w:hAnsiTheme="minorHAnsi" w:cstheme="minorHAnsi"/>
                <w:sz w:val="24"/>
              </w:rPr>
              <w:t xml:space="preserve"> assenti e comunque da rinnovare </w:t>
            </w:r>
          </w:p>
        </w:tc>
      </w:tr>
      <w:tr w:rsidR="00D3525F" w:rsidRPr="00F222E6" w:rsidTr="00F52FF9">
        <w:tc>
          <w:tcPr>
            <w:tcW w:w="1997" w:type="pct"/>
          </w:tcPr>
          <w:p w:rsidR="00D3525F" w:rsidRPr="00F222E6" w:rsidRDefault="00D3525F" w:rsidP="00D3525F">
            <w:pPr>
              <w:rPr>
                <w:rFonts w:asciiTheme="minorHAnsi" w:hAnsiTheme="minorHAnsi" w:cstheme="minorHAnsi"/>
                <w:sz w:val="24"/>
              </w:rPr>
            </w:pPr>
            <w:r w:rsidRPr="00F222E6">
              <w:rPr>
                <w:rFonts w:asciiTheme="minorHAnsi" w:hAnsiTheme="minorHAnsi" w:cstheme="minorHAnsi"/>
                <w:sz w:val="24"/>
              </w:rPr>
              <w:t>Sistema informativo dell’esercizio</w:t>
            </w:r>
          </w:p>
          <w:p w:rsidR="00D3525F" w:rsidRPr="00F222E6" w:rsidRDefault="00D3525F" w:rsidP="00D3525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003" w:type="pct"/>
          </w:tcPr>
          <w:p w:rsidR="00D3525F" w:rsidRPr="00F222E6" w:rsidRDefault="00D3525F" w:rsidP="00F222E6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F222E6">
              <w:rPr>
                <w:rFonts w:asciiTheme="minorHAnsi" w:hAnsiTheme="minorHAnsi" w:cstheme="minorHAnsi"/>
                <w:sz w:val="24"/>
              </w:rPr>
              <w:t>La lettura combinat</w:t>
            </w:r>
            <w:r w:rsidR="00743267">
              <w:rPr>
                <w:rFonts w:asciiTheme="minorHAnsi" w:hAnsiTheme="minorHAnsi" w:cstheme="minorHAnsi"/>
                <w:sz w:val="24"/>
              </w:rPr>
              <w:t>a delle DGR 335/2018 e 336/2018</w:t>
            </w:r>
            <w:r w:rsidRPr="00F222E6">
              <w:rPr>
                <w:rFonts w:asciiTheme="minorHAnsi" w:hAnsiTheme="minorHAnsi" w:cstheme="minorHAnsi"/>
                <w:sz w:val="24"/>
              </w:rPr>
              <w:t xml:space="preserve">, al di là delle deroghe e delle limitazioni previste dalla delibera di rinnovo degli affidamenti, fa capire la lontananza dalle condizioni minime di conoscenza previste dal </w:t>
            </w:r>
            <w:r w:rsidR="00146A45">
              <w:rPr>
                <w:rFonts w:asciiTheme="minorHAnsi" w:hAnsiTheme="minorHAnsi" w:cstheme="minorHAnsi"/>
                <w:sz w:val="24"/>
              </w:rPr>
              <w:t>kit</w:t>
            </w:r>
            <w:r w:rsidRPr="00F222E6">
              <w:rPr>
                <w:rFonts w:asciiTheme="minorHAnsi" w:hAnsiTheme="minorHAnsi" w:cstheme="minorHAnsi"/>
                <w:sz w:val="24"/>
              </w:rPr>
              <w:t>.</w:t>
            </w:r>
            <w:r w:rsidR="00743267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6C74A7" w:rsidRPr="006C74A7">
              <w:rPr>
                <w:rFonts w:asciiTheme="minorHAnsi" w:hAnsiTheme="minorHAnsi" w:cstheme="minorHAnsi"/>
                <w:sz w:val="24"/>
              </w:rPr>
              <w:t>All’Osservatorio oggi è riservata solo la possibilità di definire l’esatta modalità di rappre</w:t>
            </w:r>
            <w:r w:rsidR="006C74A7">
              <w:rPr>
                <w:rFonts w:asciiTheme="minorHAnsi" w:hAnsiTheme="minorHAnsi" w:cstheme="minorHAnsi"/>
                <w:sz w:val="24"/>
              </w:rPr>
              <w:t xml:space="preserve">sentazione dei dati oggetto di </w:t>
            </w:r>
            <w:r w:rsidR="006C74A7" w:rsidRPr="006C74A7">
              <w:rPr>
                <w:rFonts w:asciiTheme="minorHAnsi" w:hAnsiTheme="minorHAnsi" w:cstheme="minorHAnsi"/>
                <w:sz w:val="24"/>
              </w:rPr>
              <w:t>trasmissione, mentre</w:t>
            </w:r>
            <w:r w:rsidR="006C74A7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6C74A7" w:rsidRPr="006C74A7">
              <w:rPr>
                <w:rFonts w:asciiTheme="minorHAnsi" w:hAnsiTheme="minorHAnsi" w:cstheme="minorHAnsi"/>
                <w:sz w:val="24"/>
              </w:rPr>
              <w:t>deve diventare un obbligo contrattualmente definito nel de</w:t>
            </w:r>
            <w:r w:rsidR="006C74A7">
              <w:rPr>
                <w:rFonts w:asciiTheme="minorHAnsi" w:hAnsiTheme="minorHAnsi" w:cstheme="minorHAnsi"/>
                <w:sz w:val="24"/>
              </w:rPr>
              <w:t>ttaglio come da kit del riuso (</w:t>
            </w:r>
            <w:r w:rsidR="006C74A7" w:rsidRPr="006C74A7">
              <w:rPr>
                <w:rFonts w:asciiTheme="minorHAnsi" w:hAnsiTheme="minorHAnsi" w:cstheme="minorHAnsi"/>
                <w:sz w:val="24"/>
              </w:rPr>
              <w:t xml:space="preserve">protocollo </w:t>
            </w:r>
            <w:proofErr w:type="spellStart"/>
            <w:r w:rsidR="006C74A7" w:rsidRPr="006C74A7">
              <w:rPr>
                <w:rFonts w:asciiTheme="minorHAnsi" w:hAnsiTheme="minorHAnsi" w:cstheme="minorHAnsi"/>
                <w:sz w:val="24"/>
              </w:rPr>
              <w:t>bipex</w:t>
            </w:r>
            <w:proofErr w:type="spellEnd"/>
            <w:r w:rsidR="006C74A7" w:rsidRPr="006C74A7">
              <w:rPr>
                <w:rFonts w:asciiTheme="minorHAnsi" w:hAnsiTheme="minorHAnsi" w:cstheme="minorHAnsi"/>
                <w:sz w:val="24"/>
              </w:rPr>
              <w:t>)</w:t>
            </w:r>
            <w:r w:rsidR="006C74A7">
              <w:rPr>
                <w:rFonts w:asciiTheme="minorHAnsi" w:hAnsiTheme="minorHAnsi" w:cstheme="minorHAnsi"/>
                <w:sz w:val="24"/>
              </w:rPr>
              <w:t>.</w:t>
            </w:r>
          </w:p>
          <w:p w:rsidR="009273D7" w:rsidRPr="00F222E6" w:rsidRDefault="00D3525F" w:rsidP="006C74A7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F222E6">
              <w:rPr>
                <w:rFonts w:asciiTheme="minorHAnsi" w:hAnsiTheme="minorHAnsi" w:cstheme="minorHAnsi"/>
                <w:sz w:val="24"/>
              </w:rPr>
              <w:t xml:space="preserve">Occorre una nuova formulazione delle delibere </w:t>
            </w:r>
            <w:r w:rsidR="006C74A7">
              <w:rPr>
                <w:rFonts w:asciiTheme="minorHAnsi" w:hAnsiTheme="minorHAnsi" w:cstheme="minorHAnsi"/>
                <w:sz w:val="24"/>
              </w:rPr>
              <w:t xml:space="preserve">per </w:t>
            </w:r>
            <w:r w:rsidR="00743267">
              <w:rPr>
                <w:rFonts w:asciiTheme="minorHAnsi" w:hAnsiTheme="minorHAnsi" w:cstheme="minorHAnsi"/>
                <w:sz w:val="24"/>
              </w:rPr>
              <w:t xml:space="preserve">definire il </w:t>
            </w:r>
            <w:r w:rsidRPr="00F222E6">
              <w:rPr>
                <w:rFonts w:asciiTheme="minorHAnsi" w:hAnsiTheme="minorHAnsi" w:cstheme="minorHAnsi"/>
                <w:sz w:val="24"/>
              </w:rPr>
              <w:t>formato dati per la rappresentazione dell’esercizio programma</w:t>
            </w:r>
            <w:r w:rsidR="006C74A7">
              <w:rPr>
                <w:rFonts w:asciiTheme="minorHAnsi" w:hAnsiTheme="minorHAnsi" w:cstheme="minorHAnsi"/>
                <w:sz w:val="24"/>
              </w:rPr>
              <w:t>to</w:t>
            </w:r>
            <w:r w:rsidR="00146A45">
              <w:rPr>
                <w:rFonts w:asciiTheme="minorHAnsi" w:hAnsiTheme="minorHAnsi" w:cstheme="minorHAnsi"/>
                <w:sz w:val="24"/>
              </w:rPr>
              <w:t xml:space="preserve"> e del tempo reale come da K</w:t>
            </w:r>
            <w:r w:rsidRPr="00F222E6">
              <w:rPr>
                <w:rFonts w:asciiTheme="minorHAnsi" w:hAnsiTheme="minorHAnsi" w:cstheme="minorHAnsi"/>
                <w:sz w:val="24"/>
              </w:rPr>
              <w:t>it</w:t>
            </w:r>
          </w:p>
        </w:tc>
      </w:tr>
      <w:tr w:rsidR="00D3525F" w:rsidRPr="00F222E6" w:rsidTr="00F52FF9">
        <w:tc>
          <w:tcPr>
            <w:tcW w:w="1997" w:type="pct"/>
          </w:tcPr>
          <w:p w:rsidR="00D3525F" w:rsidRPr="00F222E6" w:rsidRDefault="00D3525F" w:rsidP="00D3525F">
            <w:pPr>
              <w:rPr>
                <w:rFonts w:asciiTheme="minorHAnsi" w:hAnsiTheme="minorHAnsi" w:cstheme="minorHAnsi"/>
                <w:sz w:val="24"/>
              </w:rPr>
            </w:pPr>
            <w:r w:rsidRPr="00F222E6">
              <w:rPr>
                <w:rFonts w:asciiTheme="minorHAnsi" w:hAnsiTheme="minorHAnsi" w:cstheme="minorHAnsi"/>
                <w:sz w:val="24"/>
              </w:rPr>
              <w:t xml:space="preserve">Standard di base bigliettazione elettronica  </w:t>
            </w:r>
          </w:p>
          <w:p w:rsidR="00D3525F" w:rsidRPr="00F222E6" w:rsidRDefault="00D3525F" w:rsidP="00D3525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003" w:type="pct"/>
          </w:tcPr>
          <w:p w:rsidR="00D3525F" w:rsidRPr="00F222E6" w:rsidRDefault="00D3525F" w:rsidP="00F222E6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F222E6">
              <w:rPr>
                <w:rFonts w:asciiTheme="minorHAnsi" w:hAnsiTheme="minorHAnsi" w:cstheme="minorHAnsi"/>
                <w:sz w:val="24"/>
              </w:rPr>
              <w:t>Questo contesto è assente dalle delibere ed è semplicemente richiamato dall’allegato 9.1 del Programma Regionale del Trasporto Pubblico Locale.</w:t>
            </w:r>
            <w:r w:rsidR="00743267">
              <w:rPr>
                <w:rFonts w:asciiTheme="minorHAnsi" w:hAnsiTheme="minorHAnsi" w:cstheme="minorHAnsi"/>
                <w:sz w:val="24"/>
              </w:rPr>
              <w:t xml:space="preserve"> Occorre quindi una </w:t>
            </w:r>
            <w:r w:rsidRPr="00F222E6">
              <w:rPr>
                <w:rFonts w:asciiTheme="minorHAnsi" w:hAnsiTheme="minorHAnsi" w:cstheme="minorHAnsi"/>
                <w:sz w:val="24"/>
              </w:rPr>
              <w:t xml:space="preserve">nuova delibera che approvi il contenuto informativo del </w:t>
            </w:r>
            <w:r w:rsidR="00F222E6" w:rsidRPr="00F222E6">
              <w:rPr>
                <w:rFonts w:asciiTheme="minorHAnsi" w:hAnsiTheme="minorHAnsi" w:cstheme="minorHAnsi"/>
                <w:sz w:val="24"/>
              </w:rPr>
              <w:t>kit</w:t>
            </w:r>
            <w:r w:rsidRPr="00F222E6">
              <w:rPr>
                <w:rFonts w:asciiTheme="minorHAnsi" w:hAnsiTheme="minorHAnsi" w:cstheme="minorHAnsi"/>
                <w:sz w:val="24"/>
              </w:rPr>
              <w:t xml:space="preserve">: </w:t>
            </w:r>
          </w:p>
          <w:p w:rsidR="00D3525F" w:rsidRPr="00F222E6" w:rsidRDefault="00146A45" w:rsidP="00F222E6">
            <w:pPr>
              <w:pStyle w:val="Paragrafoelenco"/>
              <w:numPr>
                <w:ilvl w:val="0"/>
                <w:numId w:val="33"/>
              </w:numPr>
              <w:contextualSpacing/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A</w:t>
            </w:r>
            <w:r w:rsidR="00D3525F" w:rsidRPr="00F222E6">
              <w:rPr>
                <w:rFonts w:asciiTheme="minorHAnsi" w:hAnsiTheme="minorHAnsi" w:cstheme="minorHAnsi"/>
                <w:sz w:val="24"/>
              </w:rPr>
              <w:t>rchitettura centri di controllo (CC/CL)</w:t>
            </w:r>
          </w:p>
          <w:p w:rsidR="00146A45" w:rsidRPr="00D3525F" w:rsidRDefault="00146A45" w:rsidP="00146A45">
            <w:pPr>
              <w:pStyle w:val="Paragrafoelenco"/>
              <w:numPr>
                <w:ilvl w:val="0"/>
                <w:numId w:val="33"/>
              </w:numPr>
              <w:contextualSpacing/>
              <w:jc w:val="both"/>
              <w:rPr>
                <w:rFonts w:asciiTheme="minorHAnsi" w:hAnsiTheme="minorHAnsi" w:cstheme="minorHAnsi"/>
                <w:sz w:val="24"/>
              </w:rPr>
            </w:pPr>
            <w:r w:rsidRPr="00D3525F">
              <w:rPr>
                <w:rFonts w:asciiTheme="minorHAnsi" w:hAnsiTheme="minorHAnsi" w:cstheme="minorHAnsi"/>
                <w:sz w:val="24"/>
              </w:rPr>
              <w:t>Tecnologia Calypso</w:t>
            </w:r>
          </w:p>
          <w:p w:rsidR="00D3525F" w:rsidRPr="00F222E6" w:rsidRDefault="00F222E6" w:rsidP="00F222E6">
            <w:pPr>
              <w:pStyle w:val="Paragrafoelenco"/>
              <w:numPr>
                <w:ilvl w:val="0"/>
                <w:numId w:val="33"/>
              </w:numPr>
              <w:contextualSpacing/>
              <w:jc w:val="both"/>
              <w:rPr>
                <w:rFonts w:asciiTheme="minorHAnsi" w:hAnsiTheme="minorHAnsi" w:cstheme="minorHAnsi"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</w:rPr>
              <w:t>B</w:t>
            </w:r>
            <w:r w:rsidR="00D3525F" w:rsidRPr="00F222E6">
              <w:rPr>
                <w:rFonts w:asciiTheme="minorHAnsi" w:hAnsiTheme="minorHAnsi" w:cstheme="minorHAnsi"/>
                <w:sz w:val="24"/>
              </w:rPr>
              <w:t>ipex</w:t>
            </w:r>
            <w:proofErr w:type="spellEnd"/>
          </w:p>
          <w:p w:rsidR="00D3525F" w:rsidRPr="00F222E6" w:rsidRDefault="00146A45" w:rsidP="00F222E6">
            <w:pPr>
              <w:pStyle w:val="Paragrafoelenco"/>
              <w:numPr>
                <w:ilvl w:val="0"/>
                <w:numId w:val="33"/>
              </w:numPr>
              <w:contextualSpacing/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A</w:t>
            </w:r>
            <w:r w:rsidR="00D3525F" w:rsidRPr="00F222E6">
              <w:rPr>
                <w:rFonts w:asciiTheme="minorHAnsi" w:hAnsiTheme="minorHAnsi" w:cstheme="minorHAnsi"/>
                <w:sz w:val="24"/>
              </w:rPr>
              <w:t>rchitettura di bordo</w:t>
            </w:r>
          </w:p>
          <w:p w:rsidR="00D3525F" w:rsidRPr="00F222E6" w:rsidRDefault="00146A45" w:rsidP="00F222E6">
            <w:pPr>
              <w:pStyle w:val="Paragrafoelenco"/>
              <w:numPr>
                <w:ilvl w:val="0"/>
                <w:numId w:val="33"/>
              </w:numPr>
              <w:contextualSpacing/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</w:t>
            </w:r>
            <w:r w:rsidR="00D3525F" w:rsidRPr="00F222E6">
              <w:rPr>
                <w:rFonts w:asciiTheme="minorHAnsi" w:hAnsiTheme="minorHAnsi" w:cstheme="minorHAnsi"/>
                <w:sz w:val="24"/>
              </w:rPr>
              <w:t>odello dati carta</w:t>
            </w:r>
          </w:p>
          <w:p w:rsidR="009273D7" w:rsidRPr="00743267" w:rsidRDefault="00146A45" w:rsidP="00743267">
            <w:pPr>
              <w:pStyle w:val="Paragrafoelenco"/>
              <w:numPr>
                <w:ilvl w:val="0"/>
                <w:numId w:val="33"/>
              </w:numPr>
              <w:contextualSpacing/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</w:t>
            </w:r>
            <w:r w:rsidR="00D3525F" w:rsidRPr="00F222E6">
              <w:rPr>
                <w:rFonts w:asciiTheme="minorHAnsi" w:hAnsiTheme="minorHAnsi" w:cstheme="minorHAnsi"/>
                <w:sz w:val="24"/>
              </w:rPr>
              <w:t>ervizi di sistema</w:t>
            </w:r>
          </w:p>
        </w:tc>
      </w:tr>
    </w:tbl>
    <w:p w:rsidR="00F52FF9" w:rsidRDefault="00F52FF9" w:rsidP="00F52FF9"/>
    <w:p w:rsidR="00F52FF9" w:rsidRDefault="00F52FF9" w:rsidP="00F52FF9">
      <w:pPr>
        <w:pStyle w:val="Titolo1"/>
        <w:spacing w:before="120"/>
        <w:ind w:left="431" w:hanging="431"/>
        <w:sectPr w:rsidR="00F52FF9" w:rsidSect="000223A5">
          <w:headerReference w:type="default" r:id="rId8"/>
          <w:footerReference w:type="default" r:id="rId9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bookmarkStart w:id="4" w:name="_Toc52304620"/>
    </w:p>
    <w:p w:rsidR="00F52FF9" w:rsidRDefault="00F52FF9" w:rsidP="00F52FF9">
      <w:pPr>
        <w:pStyle w:val="Titolo1"/>
        <w:spacing w:before="120"/>
        <w:ind w:left="431" w:hanging="431"/>
      </w:pPr>
      <w:bookmarkStart w:id="5" w:name="_Toc52358363"/>
      <w:r>
        <w:lastRenderedPageBreak/>
        <w:t>Indicazioni per l’implementazione del KIT</w:t>
      </w:r>
      <w:bookmarkEnd w:id="5"/>
    </w:p>
    <w:p w:rsidR="00F52FF9" w:rsidRPr="00F222E6" w:rsidRDefault="00F52FF9" w:rsidP="00F52FF9">
      <w:pPr>
        <w:pStyle w:val="Titolo2"/>
      </w:pPr>
      <w:bookmarkStart w:id="6" w:name="_Toc52358364"/>
      <w:r w:rsidRPr="00D3525F">
        <w:t>Regione Liguria</w:t>
      </w:r>
      <w:bookmarkEnd w:id="4"/>
      <w:bookmarkEnd w:id="6"/>
    </w:p>
    <w:p w:rsidR="00F52FF9" w:rsidRPr="00D3525F" w:rsidRDefault="00F52FF9" w:rsidP="00F52FF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84"/>
        <w:gridCol w:w="1451"/>
        <w:gridCol w:w="2345"/>
        <w:gridCol w:w="3767"/>
        <w:gridCol w:w="4756"/>
      </w:tblGrid>
      <w:tr w:rsidR="00F52FF9" w:rsidRPr="00655F80" w:rsidTr="00F52FF9">
        <w:trPr>
          <w:trHeight w:val="290"/>
        </w:trPr>
        <w:tc>
          <w:tcPr>
            <w:tcW w:w="2184" w:type="dxa"/>
            <w:hideMark/>
          </w:tcPr>
          <w:p w:rsidR="00F52FF9" w:rsidRPr="00655F80" w:rsidRDefault="00F52FF9" w:rsidP="00F52FF9">
            <w:pPr>
              <w:rPr>
                <w:b/>
                <w:bCs/>
              </w:rPr>
            </w:pPr>
            <w:r w:rsidRPr="00655F80">
              <w:rPr>
                <w:b/>
                <w:bCs/>
              </w:rPr>
              <w:t>Attività</w:t>
            </w:r>
          </w:p>
        </w:tc>
        <w:tc>
          <w:tcPr>
            <w:tcW w:w="1451" w:type="dxa"/>
            <w:noWrap/>
            <w:hideMark/>
          </w:tcPr>
          <w:p w:rsidR="00F52FF9" w:rsidRPr="00655F80" w:rsidRDefault="00F52FF9" w:rsidP="00F52FF9">
            <w:pPr>
              <w:rPr>
                <w:b/>
                <w:bCs/>
              </w:rPr>
            </w:pPr>
            <w:r w:rsidRPr="00655F80">
              <w:rPr>
                <w:b/>
                <w:bCs/>
              </w:rPr>
              <w:t>Responsabile</w:t>
            </w:r>
          </w:p>
        </w:tc>
        <w:tc>
          <w:tcPr>
            <w:tcW w:w="2345" w:type="dxa"/>
            <w:hideMark/>
          </w:tcPr>
          <w:p w:rsidR="00F52FF9" w:rsidRPr="00655F80" w:rsidRDefault="00F52FF9" w:rsidP="00F52FF9">
            <w:pPr>
              <w:rPr>
                <w:b/>
                <w:bCs/>
              </w:rPr>
            </w:pPr>
            <w:r w:rsidRPr="00655F80">
              <w:rPr>
                <w:b/>
                <w:bCs/>
              </w:rPr>
              <w:t>Output</w:t>
            </w:r>
          </w:p>
        </w:tc>
        <w:tc>
          <w:tcPr>
            <w:tcW w:w="3767" w:type="dxa"/>
            <w:hideMark/>
          </w:tcPr>
          <w:p w:rsidR="00F52FF9" w:rsidRPr="00655F80" w:rsidRDefault="00F52FF9" w:rsidP="00F52FF9">
            <w:pPr>
              <w:rPr>
                <w:b/>
                <w:bCs/>
              </w:rPr>
            </w:pPr>
            <w:r w:rsidRPr="00655F80">
              <w:rPr>
                <w:b/>
                <w:bCs/>
              </w:rPr>
              <w:t>Scopo</w:t>
            </w:r>
          </w:p>
        </w:tc>
        <w:tc>
          <w:tcPr>
            <w:tcW w:w="4756" w:type="dxa"/>
            <w:hideMark/>
          </w:tcPr>
          <w:p w:rsidR="00F52FF9" w:rsidRPr="00655F80" w:rsidRDefault="00F52FF9" w:rsidP="00F52FF9">
            <w:pPr>
              <w:rPr>
                <w:b/>
                <w:bCs/>
              </w:rPr>
            </w:pPr>
            <w:r w:rsidRPr="00655F80">
              <w:rPr>
                <w:b/>
                <w:bCs/>
              </w:rPr>
              <w:t>LIGURIA</w:t>
            </w:r>
          </w:p>
        </w:tc>
      </w:tr>
      <w:tr w:rsidR="00F52FF9" w:rsidRPr="00655F80" w:rsidTr="00F52FF9">
        <w:trPr>
          <w:trHeight w:val="870"/>
        </w:trPr>
        <w:tc>
          <w:tcPr>
            <w:tcW w:w="2184" w:type="dxa"/>
            <w:hideMark/>
          </w:tcPr>
          <w:p w:rsidR="00F52FF9" w:rsidRPr="00655F80" w:rsidRDefault="00F52FF9" w:rsidP="00F52FF9">
            <w:r w:rsidRPr="00655F80">
              <w:t xml:space="preserve">Legislazione per creazione soggetto tecnico </w:t>
            </w:r>
          </w:p>
        </w:tc>
        <w:tc>
          <w:tcPr>
            <w:tcW w:w="1451" w:type="dxa"/>
            <w:noWrap/>
            <w:hideMark/>
          </w:tcPr>
          <w:p w:rsidR="00F52FF9" w:rsidRPr="00655F80" w:rsidRDefault="00F52FF9" w:rsidP="00F52FF9">
            <w:r w:rsidRPr="00655F80">
              <w:t>Regione</w:t>
            </w:r>
          </w:p>
        </w:tc>
        <w:tc>
          <w:tcPr>
            <w:tcW w:w="2345" w:type="dxa"/>
            <w:hideMark/>
          </w:tcPr>
          <w:p w:rsidR="00F52FF9" w:rsidRPr="00655F80" w:rsidRDefault="00F52FF9" w:rsidP="00F52FF9">
            <w:r w:rsidRPr="00655F80">
              <w:t>Atti formativi società partecipata tecnica di supporto</w:t>
            </w:r>
          </w:p>
        </w:tc>
        <w:tc>
          <w:tcPr>
            <w:tcW w:w="3767" w:type="dxa"/>
            <w:hideMark/>
          </w:tcPr>
          <w:p w:rsidR="00F52FF9" w:rsidRPr="00655F80" w:rsidRDefault="00F52FF9" w:rsidP="00F52FF9">
            <w:r w:rsidRPr="00655F80">
              <w:t>Individuare soggetto tecnico in grado di coordinare le attività di progetto a livello regionale</w:t>
            </w:r>
          </w:p>
        </w:tc>
        <w:tc>
          <w:tcPr>
            <w:tcW w:w="4756" w:type="dxa"/>
            <w:hideMark/>
          </w:tcPr>
          <w:p w:rsidR="00F52FF9" w:rsidRPr="00655F80" w:rsidRDefault="00F52FF9" w:rsidP="00F52FF9">
            <w:r w:rsidRPr="00655F80">
              <w:t>Soggetto individuato (Liguria Digitale)</w:t>
            </w:r>
          </w:p>
        </w:tc>
      </w:tr>
      <w:tr w:rsidR="00F52FF9" w:rsidRPr="00655F80" w:rsidTr="00F52FF9">
        <w:trPr>
          <w:trHeight w:val="870"/>
        </w:trPr>
        <w:tc>
          <w:tcPr>
            <w:tcW w:w="2184" w:type="dxa"/>
            <w:hideMark/>
          </w:tcPr>
          <w:p w:rsidR="00F52FF9" w:rsidRPr="00655F80" w:rsidRDefault="00F52FF9" w:rsidP="00F52FF9">
            <w:r w:rsidRPr="00655F80">
              <w:t>Legislazione per definizione budget progetto</w:t>
            </w:r>
          </w:p>
        </w:tc>
        <w:tc>
          <w:tcPr>
            <w:tcW w:w="1451" w:type="dxa"/>
            <w:noWrap/>
            <w:hideMark/>
          </w:tcPr>
          <w:p w:rsidR="00F52FF9" w:rsidRPr="00655F80" w:rsidRDefault="00F52FF9" w:rsidP="00F52FF9">
            <w:r w:rsidRPr="00655F80">
              <w:t>Regione</w:t>
            </w:r>
          </w:p>
        </w:tc>
        <w:tc>
          <w:tcPr>
            <w:tcW w:w="2345" w:type="dxa"/>
            <w:hideMark/>
          </w:tcPr>
          <w:p w:rsidR="00F52FF9" w:rsidRPr="00655F80" w:rsidRDefault="00F52FF9" w:rsidP="00F52FF9">
            <w:r w:rsidRPr="00655F80">
              <w:t>Accantonamento fondi</w:t>
            </w:r>
          </w:p>
        </w:tc>
        <w:tc>
          <w:tcPr>
            <w:tcW w:w="3767" w:type="dxa"/>
            <w:hideMark/>
          </w:tcPr>
          <w:p w:rsidR="00F52FF9" w:rsidRPr="00655F80" w:rsidRDefault="00F52FF9" w:rsidP="00F52FF9">
            <w:r w:rsidRPr="00655F80">
              <w:t>Consentire l'avvio del progetto</w:t>
            </w:r>
          </w:p>
        </w:tc>
        <w:tc>
          <w:tcPr>
            <w:tcW w:w="4756" w:type="dxa"/>
            <w:hideMark/>
          </w:tcPr>
          <w:p w:rsidR="00F52FF9" w:rsidRPr="00655F80" w:rsidRDefault="00F52FF9" w:rsidP="00F52FF9">
            <w:r w:rsidRPr="00655F80">
              <w:t>Budget individuato; finanziato con Fondi strutturali POR FESR E Fondi Regione Liguria</w:t>
            </w:r>
          </w:p>
        </w:tc>
      </w:tr>
      <w:tr w:rsidR="00F52FF9" w:rsidRPr="00655F80" w:rsidTr="00F52FF9">
        <w:trPr>
          <w:trHeight w:val="870"/>
        </w:trPr>
        <w:tc>
          <w:tcPr>
            <w:tcW w:w="2184" w:type="dxa"/>
            <w:hideMark/>
          </w:tcPr>
          <w:p w:rsidR="00F52FF9" w:rsidRPr="00655F80" w:rsidRDefault="00F52FF9" w:rsidP="00F52FF9">
            <w:r w:rsidRPr="00655F80">
              <w:t>Definizione legislativa coinvolgimento aziende TPL</w:t>
            </w:r>
          </w:p>
        </w:tc>
        <w:tc>
          <w:tcPr>
            <w:tcW w:w="1451" w:type="dxa"/>
            <w:noWrap/>
            <w:hideMark/>
          </w:tcPr>
          <w:p w:rsidR="00F52FF9" w:rsidRPr="00655F80" w:rsidRDefault="00F52FF9" w:rsidP="00F52FF9">
            <w:r w:rsidRPr="00655F80">
              <w:t>Regione</w:t>
            </w:r>
          </w:p>
        </w:tc>
        <w:tc>
          <w:tcPr>
            <w:tcW w:w="2345" w:type="dxa"/>
            <w:hideMark/>
          </w:tcPr>
          <w:p w:rsidR="00F52FF9" w:rsidRPr="00655F80" w:rsidRDefault="00F52FF9" w:rsidP="00F52FF9">
            <w:r w:rsidRPr="00655F80">
              <w:t>Atti formali che rendono cogente per società TPL adesione al programma</w:t>
            </w:r>
          </w:p>
        </w:tc>
        <w:tc>
          <w:tcPr>
            <w:tcW w:w="3767" w:type="dxa"/>
            <w:hideMark/>
          </w:tcPr>
          <w:p w:rsidR="00F52FF9" w:rsidRPr="00655F80" w:rsidRDefault="00F52FF9" w:rsidP="00F52FF9">
            <w:r w:rsidRPr="00655F80">
              <w:t xml:space="preserve">Creare il giusto </w:t>
            </w:r>
            <w:proofErr w:type="spellStart"/>
            <w:r w:rsidRPr="00655F80">
              <w:t>committment</w:t>
            </w:r>
            <w:proofErr w:type="spellEnd"/>
            <w:r w:rsidRPr="00655F80">
              <w:t xml:space="preserve"> nelle aziende di TPL</w:t>
            </w:r>
          </w:p>
        </w:tc>
        <w:tc>
          <w:tcPr>
            <w:tcW w:w="4756" w:type="dxa"/>
            <w:hideMark/>
          </w:tcPr>
          <w:p w:rsidR="00F52FF9" w:rsidRPr="00655F80" w:rsidRDefault="00F52FF9" w:rsidP="00F52FF9">
            <w:r w:rsidRPr="00655F80">
              <w:t>SBE Liguria è sistema centra</w:t>
            </w:r>
            <w:r>
              <w:t>lizzato; Aziende TPL hanno sotto</w:t>
            </w:r>
            <w:r w:rsidRPr="00655F80">
              <w:t>scritto convenzione</w:t>
            </w:r>
          </w:p>
        </w:tc>
      </w:tr>
      <w:tr w:rsidR="00F52FF9" w:rsidRPr="00655F80" w:rsidTr="00F52FF9">
        <w:trPr>
          <w:trHeight w:val="857"/>
        </w:trPr>
        <w:tc>
          <w:tcPr>
            <w:tcW w:w="2184" w:type="dxa"/>
            <w:hideMark/>
          </w:tcPr>
          <w:p w:rsidR="00F52FF9" w:rsidRPr="00655F80" w:rsidRDefault="00F52FF9" w:rsidP="00F52FF9">
            <w:r w:rsidRPr="00655F80">
              <w:t xml:space="preserve">(Eventuale) Creazione consorzi tra aziende </w:t>
            </w:r>
          </w:p>
        </w:tc>
        <w:tc>
          <w:tcPr>
            <w:tcW w:w="1451" w:type="dxa"/>
            <w:noWrap/>
            <w:hideMark/>
          </w:tcPr>
          <w:p w:rsidR="00F52FF9" w:rsidRPr="00655F80" w:rsidRDefault="00F52FF9" w:rsidP="00F52FF9">
            <w:r w:rsidRPr="00655F80">
              <w:t xml:space="preserve">Aziende </w:t>
            </w:r>
          </w:p>
        </w:tc>
        <w:tc>
          <w:tcPr>
            <w:tcW w:w="2345" w:type="dxa"/>
            <w:hideMark/>
          </w:tcPr>
          <w:p w:rsidR="00F52FF9" w:rsidRPr="00655F80" w:rsidRDefault="00F52FF9" w:rsidP="00F52FF9">
            <w:r w:rsidRPr="00655F80">
              <w:t xml:space="preserve">(Eventuali)Consorzi TPL </w:t>
            </w:r>
          </w:p>
        </w:tc>
        <w:tc>
          <w:tcPr>
            <w:tcW w:w="3767" w:type="dxa"/>
            <w:hideMark/>
          </w:tcPr>
          <w:p w:rsidR="00F52FF9" w:rsidRPr="00655F80" w:rsidRDefault="00F52FF9" w:rsidP="00F52FF9">
            <w:r w:rsidRPr="00655F80">
              <w:t xml:space="preserve">Ottimizzare l'impegno economico necessario </w:t>
            </w:r>
          </w:p>
        </w:tc>
        <w:tc>
          <w:tcPr>
            <w:tcW w:w="4756" w:type="dxa"/>
            <w:hideMark/>
          </w:tcPr>
          <w:p w:rsidR="00F52FF9" w:rsidRPr="00655F80" w:rsidRDefault="00F52FF9" w:rsidP="00F52FF9">
            <w:r w:rsidRPr="00655F80">
              <w:t>Non applicabile (unico operatore per Ambito territoriale ottimale)</w:t>
            </w:r>
          </w:p>
        </w:tc>
      </w:tr>
      <w:tr w:rsidR="00F52FF9" w:rsidRPr="00655F80" w:rsidTr="00F52FF9">
        <w:trPr>
          <w:trHeight w:val="1160"/>
        </w:trPr>
        <w:tc>
          <w:tcPr>
            <w:tcW w:w="2184" w:type="dxa"/>
            <w:hideMark/>
          </w:tcPr>
          <w:p w:rsidR="00F52FF9" w:rsidRPr="00655F80" w:rsidRDefault="00F52FF9" w:rsidP="00F52FF9">
            <w:r w:rsidRPr="00655F80">
              <w:t>Studio situazione esistente</w:t>
            </w:r>
          </w:p>
        </w:tc>
        <w:tc>
          <w:tcPr>
            <w:tcW w:w="1451" w:type="dxa"/>
            <w:hideMark/>
          </w:tcPr>
          <w:p w:rsidR="00F52FF9" w:rsidRPr="00655F80" w:rsidRDefault="00F52FF9" w:rsidP="00F52FF9">
            <w:r w:rsidRPr="00655F80">
              <w:t>Soggetto Tecnico</w:t>
            </w:r>
          </w:p>
        </w:tc>
        <w:tc>
          <w:tcPr>
            <w:tcW w:w="2345" w:type="dxa"/>
            <w:hideMark/>
          </w:tcPr>
          <w:p w:rsidR="00F52FF9" w:rsidRPr="00655F80" w:rsidRDefault="00F52FF9" w:rsidP="00F52FF9">
            <w:r w:rsidRPr="00655F80">
              <w:t>Materiale per capitolati tecnici del livello aziendale e centrale</w:t>
            </w:r>
          </w:p>
        </w:tc>
        <w:tc>
          <w:tcPr>
            <w:tcW w:w="3767" w:type="dxa"/>
            <w:hideMark/>
          </w:tcPr>
          <w:p w:rsidR="00F52FF9" w:rsidRPr="00655F80" w:rsidRDefault="00F52FF9" w:rsidP="00F52FF9">
            <w:r>
              <w:t>F</w:t>
            </w:r>
            <w:r w:rsidRPr="00655F80">
              <w:t>ondamentale per definire i miglioramenti necessari per l'implementazione di un nuovo sistema.</w:t>
            </w:r>
          </w:p>
        </w:tc>
        <w:tc>
          <w:tcPr>
            <w:tcW w:w="4756" w:type="dxa"/>
            <w:hideMark/>
          </w:tcPr>
          <w:p w:rsidR="00F52FF9" w:rsidRPr="00655F80" w:rsidRDefault="00F52FF9" w:rsidP="00F52FF9">
            <w:r w:rsidRPr="00655F80">
              <w:t>Effettuato da Regione e Liguria Digitale prima della gara (PROGRAMMA DEI SERVIZI DI TRASPORTO PUBBLICO REGIONALE E LOCALE)</w:t>
            </w:r>
          </w:p>
        </w:tc>
      </w:tr>
      <w:tr w:rsidR="00F52FF9" w:rsidRPr="00655F80" w:rsidTr="00F52FF9">
        <w:trPr>
          <w:trHeight w:val="1160"/>
        </w:trPr>
        <w:tc>
          <w:tcPr>
            <w:tcW w:w="2184" w:type="dxa"/>
            <w:hideMark/>
          </w:tcPr>
          <w:p w:rsidR="00F52FF9" w:rsidRPr="00655F80" w:rsidRDefault="00F52FF9" w:rsidP="00F52FF9">
            <w:bookmarkStart w:id="7" w:name="_Hlk52351135"/>
            <w:proofErr w:type="spellStart"/>
            <w:r w:rsidRPr="00655F80">
              <w:t>Scouting</w:t>
            </w:r>
            <w:proofErr w:type="spellEnd"/>
            <w:r w:rsidRPr="00655F80">
              <w:t xml:space="preserve"> tecnologico e individuazione delle tecnologie condivise da adottare</w:t>
            </w:r>
          </w:p>
        </w:tc>
        <w:tc>
          <w:tcPr>
            <w:tcW w:w="1451" w:type="dxa"/>
            <w:hideMark/>
          </w:tcPr>
          <w:p w:rsidR="00F52FF9" w:rsidRPr="00655F80" w:rsidRDefault="00F52FF9" w:rsidP="00F52FF9">
            <w:r w:rsidRPr="00655F80">
              <w:t>Soggetto Tecnico</w:t>
            </w:r>
          </w:p>
        </w:tc>
        <w:tc>
          <w:tcPr>
            <w:tcW w:w="2345" w:type="dxa"/>
            <w:hideMark/>
          </w:tcPr>
          <w:p w:rsidR="00F52FF9" w:rsidRPr="00655F80" w:rsidRDefault="00F52FF9" w:rsidP="00F52FF9">
            <w:r w:rsidRPr="00655F80">
              <w:t>Materiale per capitolati tecnici del livello aziendale e centrale</w:t>
            </w:r>
          </w:p>
        </w:tc>
        <w:tc>
          <w:tcPr>
            <w:tcW w:w="3767" w:type="dxa"/>
            <w:hideMark/>
          </w:tcPr>
          <w:p w:rsidR="00F52FF9" w:rsidRPr="00655F80" w:rsidRDefault="00F52FF9" w:rsidP="00F52FF9">
            <w:r w:rsidRPr="00655F80">
              <w:t>Alcune scelte tecnologiche devono essere condivise a livello regionale, è quindi fondamentale che tali scelte vengano effet</w:t>
            </w:r>
            <w:r>
              <w:t>t</w:t>
            </w:r>
            <w:r w:rsidRPr="00655F80">
              <w:t>uate da un soggetto indipendente</w:t>
            </w:r>
          </w:p>
        </w:tc>
        <w:tc>
          <w:tcPr>
            <w:tcW w:w="4756" w:type="dxa"/>
            <w:hideMark/>
          </w:tcPr>
          <w:p w:rsidR="00F52FF9" w:rsidRPr="00655F80" w:rsidRDefault="00F52FF9" w:rsidP="00F52FF9">
            <w:r w:rsidRPr="00655F80">
              <w:t>Effettuato da Regione e Liguria Digitale prima della gara (PROGRAMMA DEI SERVIZI DI TRASPORTO PUBBLICO REGIONALE E LOCALE)</w:t>
            </w:r>
          </w:p>
        </w:tc>
      </w:tr>
      <w:tr w:rsidR="00F52FF9" w:rsidRPr="00655F80" w:rsidTr="00F52FF9">
        <w:trPr>
          <w:trHeight w:val="1160"/>
        </w:trPr>
        <w:tc>
          <w:tcPr>
            <w:tcW w:w="2184" w:type="dxa"/>
            <w:hideMark/>
          </w:tcPr>
          <w:p w:rsidR="00F52FF9" w:rsidRPr="00655F80" w:rsidRDefault="00F52FF9" w:rsidP="00F52FF9">
            <w:r w:rsidRPr="00655F80">
              <w:lastRenderedPageBreak/>
              <w:t>Progettazione esecutiva sistema di centro regionale (CSR)</w:t>
            </w:r>
          </w:p>
        </w:tc>
        <w:tc>
          <w:tcPr>
            <w:tcW w:w="1451" w:type="dxa"/>
            <w:hideMark/>
          </w:tcPr>
          <w:p w:rsidR="00F52FF9" w:rsidRPr="00655F80" w:rsidRDefault="00F52FF9" w:rsidP="00F52FF9">
            <w:r w:rsidRPr="00655F80">
              <w:t>Soggetto Tecnico</w:t>
            </w:r>
          </w:p>
        </w:tc>
        <w:tc>
          <w:tcPr>
            <w:tcW w:w="2345" w:type="dxa"/>
            <w:hideMark/>
          </w:tcPr>
          <w:p w:rsidR="00F52FF9" w:rsidRPr="00655F80" w:rsidRDefault="00F52FF9" w:rsidP="00F52FF9">
            <w:r w:rsidRPr="00655F80">
              <w:t>Documento di progettazione/capitolato tecnico</w:t>
            </w:r>
          </w:p>
        </w:tc>
        <w:tc>
          <w:tcPr>
            <w:tcW w:w="3767" w:type="dxa"/>
            <w:hideMark/>
          </w:tcPr>
          <w:p w:rsidR="00F52FF9" w:rsidRPr="00655F80" w:rsidRDefault="00F52FF9" w:rsidP="00F52FF9">
            <w:r w:rsidRPr="00655F80">
              <w:t>Descrivere in dettaglio le implementazioni necessarie, al fine di consentire l'avvio degli sviluppi, o l'esecuzione di una gara d'appalto</w:t>
            </w:r>
          </w:p>
        </w:tc>
        <w:tc>
          <w:tcPr>
            <w:tcW w:w="4756" w:type="dxa"/>
            <w:hideMark/>
          </w:tcPr>
          <w:p w:rsidR="00F52FF9" w:rsidRPr="00655F80" w:rsidRDefault="00F52FF9" w:rsidP="00F52FF9">
            <w:bookmarkStart w:id="8" w:name="_GoBack"/>
            <w:bookmarkEnd w:id="8"/>
            <w:r w:rsidRPr="00655F80">
              <w:t xml:space="preserve">Liguria Digitale ha sviluppato il progetto, predisponendo tutte le specifiche tecniche del sistema </w:t>
            </w:r>
          </w:p>
        </w:tc>
      </w:tr>
      <w:tr w:rsidR="00F52FF9" w:rsidRPr="00655F80" w:rsidTr="00F52FF9">
        <w:trPr>
          <w:trHeight w:val="1740"/>
        </w:trPr>
        <w:tc>
          <w:tcPr>
            <w:tcW w:w="2184" w:type="dxa"/>
            <w:hideMark/>
          </w:tcPr>
          <w:p w:rsidR="00F52FF9" w:rsidRPr="00655F80" w:rsidRDefault="00F52FF9" w:rsidP="00F52FF9">
            <w:r w:rsidRPr="00655F80">
              <w:t xml:space="preserve">Stesura capitolati tecnici delle aziende </w:t>
            </w:r>
          </w:p>
        </w:tc>
        <w:tc>
          <w:tcPr>
            <w:tcW w:w="1451" w:type="dxa"/>
            <w:hideMark/>
          </w:tcPr>
          <w:p w:rsidR="00F52FF9" w:rsidRPr="00655F80" w:rsidRDefault="00F52FF9" w:rsidP="00F52FF9">
            <w:r w:rsidRPr="00655F80">
              <w:t>Aziende di TPL, Soggetto Tecnico</w:t>
            </w:r>
          </w:p>
        </w:tc>
        <w:tc>
          <w:tcPr>
            <w:tcW w:w="2345" w:type="dxa"/>
            <w:hideMark/>
          </w:tcPr>
          <w:p w:rsidR="00F52FF9" w:rsidRDefault="00F52FF9" w:rsidP="00F52FF9">
            <w:r w:rsidRPr="00655F80">
              <w:t>Capitolato tecnico</w:t>
            </w:r>
            <w:r>
              <w:t>:</w:t>
            </w:r>
            <w:r w:rsidRPr="00655F80">
              <w:t xml:space="preserve"> </w:t>
            </w:r>
            <w:r w:rsidRPr="00655F80">
              <w:br/>
              <w:t>- sistema di ce</w:t>
            </w:r>
            <w:r>
              <w:t>ntro</w:t>
            </w:r>
            <w:r>
              <w:br/>
              <w:t xml:space="preserve">- protocollo scambio dati </w:t>
            </w:r>
          </w:p>
          <w:p w:rsidR="00F52FF9" w:rsidRDefault="00F52FF9" w:rsidP="00F52FF9">
            <w:r w:rsidRPr="00655F80">
              <w:t xml:space="preserve">- architettura a bordo veicolo </w:t>
            </w:r>
          </w:p>
          <w:p w:rsidR="00F52FF9" w:rsidRPr="00655F80" w:rsidRDefault="00F52FF9" w:rsidP="00F52FF9">
            <w:r w:rsidRPr="00655F80">
              <w:t>- sistemi TPL e SBE</w:t>
            </w:r>
          </w:p>
        </w:tc>
        <w:tc>
          <w:tcPr>
            <w:tcW w:w="3767" w:type="dxa"/>
            <w:hideMark/>
          </w:tcPr>
          <w:p w:rsidR="00F52FF9" w:rsidRPr="00655F80" w:rsidRDefault="00F52FF9" w:rsidP="00F52FF9">
            <w:r w:rsidRPr="00655F80">
              <w:t>La stesura dei capitolati tecnici è fondamentale affinché le gare, svolte in totale indipendenza dalle aziende di TPL, consentano l'implementazione di un sistema interoperabile</w:t>
            </w:r>
          </w:p>
        </w:tc>
        <w:tc>
          <w:tcPr>
            <w:tcW w:w="4756" w:type="dxa"/>
            <w:hideMark/>
          </w:tcPr>
          <w:p w:rsidR="00F52FF9" w:rsidRPr="00655F80" w:rsidRDefault="00F52FF9" w:rsidP="00F52FF9">
            <w:r w:rsidRPr="00655F80">
              <w:t xml:space="preserve">Liguria Digitale ha sviluppato il progetto, predisponendo tutte le specifiche tecniche del sistema </w:t>
            </w:r>
          </w:p>
        </w:tc>
      </w:tr>
      <w:tr w:rsidR="00F52FF9" w:rsidRPr="00655F80" w:rsidTr="00F52FF9">
        <w:trPr>
          <w:trHeight w:val="2320"/>
        </w:trPr>
        <w:tc>
          <w:tcPr>
            <w:tcW w:w="2184" w:type="dxa"/>
            <w:hideMark/>
          </w:tcPr>
          <w:p w:rsidR="00F52FF9" w:rsidRDefault="00F52FF9" w:rsidP="00F52FF9">
            <w:r w:rsidRPr="00655F80">
              <w:t xml:space="preserve">Collaudo sistema di centro regionale </w:t>
            </w:r>
          </w:p>
          <w:p w:rsidR="00F52FF9" w:rsidRPr="00655F80" w:rsidRDefault="00F52FF9" w:rsidP="00F52FF9">
            <w:r w:rsidRPr="00655F80">
              <w:t>(CSR)</w:t>
            </w:r>
          </w:p>
        </w:tc>
        <w:tc>
          <w:tcPr>
            <w:tcW w:w="1451" w:type="dxa"/>
            <w:hideMark/>
          </w:tcPr>
          <w:p w:rsidR="00F52FF9" w:rsidRPr="00655F80" w:rsidRDefault="00F52FF9" w:rsidP="00F52FF9">
            <w:r w:rsidRPr="00655F80">
              <w:t>Soggetto Tecnico</w:t>
            </w:r>
          </w:p>
        </w:tc>
        <w:tc>
          <w:tcPr>
            <w:tcW w:w="2345" w:type="dxa"/>
            <w:hideMark/>
          </w:tcPr>
          <w:p w:rsidR="00F52FF9" w:rsidRPr="00655F80" w:rsidRDefault="00F52FF9" w:rsidP="00F52FF9">
            <w:r w:rsidRPr="00655F80">
              <w:t>Collaudo formale del sistema</w:t>
            </w:r>
          </w:p>
        </w:tc>
        <w:tc>
          <w:tcPr>
            <w:tcW w:w="3767" w:type="dxa"/>
            <w:hideMark/>
          </w:tcPr>
          <w:p w:rsidR="00F52FF9" w:rsidRPr="00655F80" w:rsidRDefault="00F52FF9" w:rsidP="00F52FF9">
            <w:r w:rsidRPr="00655F80">
              <w:t>Il collaudo del sistema di centro CSR sancisce l'avvio delle attività di raccolta dei dati a livello regionale. Grazie ai dati raccolti è possibile costruire nuovi servizi/sistemi</w:t>
            </w:r>
          </w:p>
        </w:tc>
        <w:tc>
          <w:tcPr>
            <w:tcW w:w="4756" w:type="dxa"/>
            <w:hideMark/>
          </w:tcPr>
          <w:p w:rsidR="00F52FF9" w:rsidRPr="00655F80" w:rsidRDefault="00F52FF9" w:rsidP="00F52FF9">
            <w:r w:rsidRPr="00655F80">
              <w:t>I sistemi centrali (CSR e CCA) sono allocati presso il Data Center di Liguria Digitale; Il collaudo sarà eseguito in contraddittorio (Committente - Fornitore) sulla scorta di tutta la documentazione tecnico/illustrativa depositata in sede di gara, del Capitolato Tecnico Giuridico di Base e del progetto esecutivo.</w:t>
            </w:r>
          </w:p>
        </w:tc>
      </w:tr>
      <w:tr w:rsidR="00F52FF9" w:rsidRPr="00655F80" w:rsidTr="00F52FF9">
        <w:trPr>
          <w:trHeight w:val="2030"/>
        </w:trPr>
        <w:tc>
          <w:tcPr>
            <w:tcW w:w="2184" w:type="dxa"/>
            <w:hideMark/>
          </w:tcPr>
          <w:p w:rsidR="00F52FF9" w:rsidRPr="00655F80" w:rsidRDefault="00F52FF9" w:rsidP="00F52FF9">
            <w:r w:rsidRPr="00655F80">
              <w:t>Produzione documentazione tecnica di supporto</w:t>
            </w:r>
          </w:p>
        </w:tc>
        <w:tc>
          <w:tcPr>
            <w:tcW w:w="1451" w:type="dxa"/>
            <w:hideMark/>
          </w:tcPr>
          <w:p w:rsidR="00F52FF9" w:rsidRPr="00655F80" w:rsidRDefault="00F52FF9" w:rsidP="00F52FF9">
            <w:r w:rsidRPr="00655F80">
              <w:t>Soggetto Tecnico</w:t>
            </w:r>
          </w:p>
        </w:tc>
        <w:tc>
          <w:tcPr>
            <w:tcW w:w="2345" w:type="dxa"/>
            <w:hideMark/>
          </w:tcPr>
          <w:p w:rsidR="00F52FF9" w:rsidRPr="00655F80" w:rsidRDefault="00F52FF9" w:rsidP="00F52FF9">
            <w:r w:rsidRPr="00655F80">
              <w:t>Documenti tecnici</w:t>
            </w:r>
          </w:p>
        </w:tc>
        <w:tc>
          <w:tcPr>
            <w:tcW w:w="3767" w:type="dxa"/>
            <w:hideMark/>
          </w:tcPr>
          <w:p w:rsidR="00F52FF9" w:rsidRPr="00655F80" w:rsidRDefault="00F52FF9" w:rsidP="00F52FF9">
            <w:r w:rsidRPr="00655F80">
              <w:t xml:space="preserve">Un'idonea documentazione tecnica, prodotta e diffusa da un soggetto terzo, agevola il corretto dispiegamento del sistema, consente di gestire conflitti sull'utilizzo di codici relativi a TPL o </w:t>
            </w:r>
            <w:proofErr w:type="spellStart"/>
            <w:r w:rsidRPr="00655F80">
              <w:t>tiketing</w:t>
            </w:r>
            <w:proofErr w:type="spellEnd"/>
            <w:r w:rsidRPr="00655F80">
              <w:t xml:space="preserve"> e favorisce l'interoperabilità tra le aziende di TPL a livello regionale.</w:t>
            </w:r>
          </w:p>
        </w:tc>
        <w:tc>
          <w:tcPr>
            <w:tcW w:w="4756" w:type="dxa"/>
            <w:hideMark/>
          </w:tcPr>
          <w:p w:rsidR="00F52FF9" w:rsidRPr="00655F80" w:rsidRDefault="00F52FF9" w:rsidP="00F52FF9">
            <w:r w:rsidRPr="00655F80">
              <w:t>Liguria Digitale, ha sviluppato il progetto: dalla definizione del Capitolato Tecnico Giuridico di Base all’approvvigionamento delle forniture hardware e software mediante gara europea.</w:t>
            </w:r>
          </w:p>
        </w:tc>
      </w:tr>
      <w:tr w:rsidR="00F52FF9" w:rsidRPr="00655F80" w:rsidTr="00F52FF9">
        <w:trPr>
          <w:trHeight w:val="1450"/>
        </w:trPr>
        <w:tc>
          <w:tcPr>
            <w:tcW w:w="2184" w:type="dxa"/>
            <w:hideMark/>
          </w:tcPr>
          <w:p w:rsidR="00F52FF9" w:rsidRPr="00655F80" w:rsidRDefault="00F52FF9" w:rsidP="00F52FF9">
            <w:r w:rsidRPr="00655F80">
              <w:lastRenderedPageBreak/>
              <w:t xml:space="preserve">Creazione albo fornitori </w:t>
            </w:r>
            <w:proofErr w:type="spellStart"/>
            <w:r w:rsidRPr="00655F80">
              <w:t>smartcard</w:t>
            </w:r>
            <w:proofErr w:type="spellEnd"/>
          </w:p>
        </w:tc>
        <w:tc>
          <w:tcPr>
            <w:tcW w:w="1451" w:type="dxa"/>
            <w:hideMark/>
          </w:tcPr>
          <w:p w:rsidR="00F52FF9" w:rsidRPr="00655F80" w:rsidRDefault="00F52FF9" w:rsidP="00F52FF9">
            <w:r w:rsidRPr="00655F80">
              <w:t>Soggetto Tecnico</w:t>
            </w:r>
          </w:p>
        </w:tc>
        <w:tc>
          <w:tcPr>
            <w:tcW w:w="2345" w:type="dxa"/>
            <w:hideMark/>
          </w:tcPr>
          <w:p w:rsidR="00F52FF9" w:rsidRPr="00655F80" w:rsidRDefault="00F52FF9" w:rsidP="00F52FF9">
            <w:r w:rsidRPr="00655F80">
              <w:t>Albo fornitori</w:t>
            </w:r>
          </w:p>
        </w:tc>
        <w:tc>
          <w:tcPr>
            <w:tcW w:w="3767" w:type="dxa"/>
            <w:hideMark/>
          </w:tcPr>
          <w:p w:rsidR="00F52FF9" w:rsidRPr="00655F80" w:rsidRDefault="00F52FF9" w:rsidP="00F52FF9">
            <w:r w:rsidRPr="00655F80">
              <w:t>Effettuare un'unica gara d'appalto a livello regionale riduce i costi per l'approvvigionamento a livello di sistema e consente un controllo migliore sulle forniture, anche ai fini di controlli antifrode.</w:t>
            </w:r>
          </w:p>
        </w:tc>
        <w:tc>
          <w:tcPr>
            <w:tcW w:w="4756" w:type="dxa"/>
            <w:noWrap/>
            <w:hideMark/>
          </w:tcPr>
          <w:p w:rsidR="00F52FF9" w:rsidRPr="00655F80" w:rsidRDefault="00F52FF9" w:rsidP="00F52FF9">
            <w:r>
              <w:t xml:space="preserve">Occorre verificare l’opportunità di integrazione con Albo fornitori messo a disposizione da 5T (componente del KIT) per ottimizzare procedure </w:t>
            </w:r>
          </w:p>
        </w:tc>
      </w:tr>
      <w:tr w:rsidR="00F52FF9" w:rsidRPr="00655F80" w:rsidTr="00F52FF9">
        <w:trPr>
          <w:trHeight w:val="1450"/>
        </w:trPr>
        <w:tc>
          <w:tcPr>
            <w:tcW w:w="2184" w:type="dxa"/>
            <w:hideMark/>
          </w:tcPr>
          <w:p w:rsidR="00F52FF9" w:rsidRPr="00655F80" w:rsidRDefault="00831894" w:rsidP="00F52FF9">
            <w:r>
              <w:t xml:space="preserve">Avvio procedure di gara per </w:t>
            </w:r>
            <w:r w:rsidRPr="00655F80">
              <w:t>approvv</w:t>
            </w:r>
            <w:r>
              <w:t xml:space="preserve">igionamento sistemi TPL e SBE </w:t>
            </w:r>
            <w:r w:rsidRPr="00655F80">
              <w:t>secondo i capitolati definiti</w:t>
            </w:r>
          </w:p>
        </w:tc>
        <w:tc>
          <w:tcPr>
            <w:tcW w:w="1451" w:type="dxa"/>
            <w:noWrap/>
            <w:hideMark/>
          </w:tcPr>
          <w:p w:rsidR="00F52FF9" w:rsidRPr="00655F80" w:rsidRDefault="00F52FF9" w:rsidP="00F52FF9">
            <w:r w:rsidRPr="00655F80">
              <w:t>Aziende TPL/PA</w:t>
            </w:r>
          </w:p>
        </w:tc>
        <w:tc>
          <w:tcPr>
            <w:tcW w:w="2345" w:type="dxa"/>
            <w:hideMark/>
          </w:tcPr>
          <w:p w:rsidR="00F52FF9" w:rsidRPr="00655F80" w:rsidRDefault="00F52FF9" w:rsidP="00F52FF9">
            <w:r>
              <w:t xml:space="preserve">Implementazione sulle </w:t>
            </w:r>
            <w:r w:rsidR="00831894">
              <w:t xml:space="preserve">flotte e gli apparati </w:t>
            </w:r>
            <w:r w:rsidRPr="00655F80">
              <w:t>delle aziende di quanto previsto dal capitolato tecnico TPL</w:t>
            </w:r>
            <w:r>
              <w:t xml:space="preserve"> e SBE</w:t>
            </w:r>
          </w:p>
        </w:tc>
        <w:tc>
          <w:tcPr>
            <w:tcW w:w="3767" w:type="dxa"/>
            <w:hideMark/>
          </w:tcPr>
          <w:p w:rsidR="00F52FF9" w:rsidRPr="00655F80" w:rsidRDefault="00F52FF9" w:rsidP="00F52FF9">
            <w:r w:rsidRPr="00655F80">
              <w:t>Quella dell'implementazione è una fase molto importante, da condurre quindi con particolare perizia, al fine di ottenere risultati coerenti su tutto il territorio interessato.</w:t>
            </w:r>
          </w:p>
        </w:tc>
        <w:tc>
          <w:tcPr>
            <w:tcW w:w="4756" w:type="dxa"/>
            <w:noWrap/>
            <w:hideMark/>
          </w:tcPr>
          <w:p w:rsidR="00F52FF9" w:rsidRPr="00655F80" w:rsidRDefault="00F52FF9" w:rsidP="00F52FF9">
            <w:r w:rsidRPr="00655F80">
              <w:t>Procedure di gara già avviate</w:t>
            </w:r>
          </w:p>
        </w:tc>
      </w:tr>
      <w:tr w:rsidR="00F52FF9" w:rsidRPr="00655F80" w:rsidTr="00F52FF9">
        <w:trPr>
          <w:trHeight w:val="1396"/>
        </w:trPr>
        <w:tc>
          <w:tcPr>
            <w:tcW w:w="2184" w:type="dxa"/>
            <w:hideMark/>
          </w:tcPr>
          <w:p w:rsidR="00F52FF9" w:rsidRPr="00655F80" w:rsidRDefault="00F52FF9" w:rsidP="00F52FF9">
            <w:r w:rsidRPr="00655F80">
              <w:t>Collaudo TPL</w:t>
            </w:r>
            <w:r>
              <w:t xml:space="preserve"> e SBE</w:t>
            </w:r>
            <w:r w:rsidRPr="00655F80">
              <w:t xml:space="preserve"> alle aziende</w:t>
            </w:r>
          </w:p>
        </w:tc>
        <w:tc>
          <w:tcPr>
            <w:tcW w:w="1451" w:type="dxa"/>
            <w:hideMark/>
          </w:tcPr>
          <w:p w:rsidR="00F52FF9" w:rsidRPr="00655F80" w:rsidRDefault="00F52FF9" w:rsidP="00F52FF9">
            <w:r w:rsidRPr="00655F80">
              <w:t>Soggetto Tecnico</w:t>
            </w:r>
          </w:p>
        </w:tc>
        <w:tc>
          <w:tcPr>
            <w:tcW w:w="2345" w:type="dxa"/>
            <w:hideMark/>
          </w:tcPr>
          <w:p w:rsidR="00F52FF9" w:rsidRPr="00655F80" w:rsidRDefault="00F52FF9" w:rsidP="00F52FF9">
            <w:r w:rsidRPr="00655F80">
              <w:t>Verifica della congruenza di quanto impleme</w:t>
            </w:r>
            <w:r>
              <w:t>ntato rispetto alle specifiche e progetto esecutivo</w:t>
            </w:r>
          </w:p>
        </w:tc>
        <w:tc>
          <w:tcPr>
            <w:tcW w:w="3767" w:type="dxa"/>
            <w:hideMark/>
          </w:tcPr>
          <w:p w:rsidR="00F52FF9" w:rsidRPr="00655F80" w:rsidRDefault="00F52FF9" w:rsidP="00F52FF9">
            <w:r w:rsidRPr="00655F80">
              <w:t>Un collaudo da parte della società in House consente di verificare la corretta implementazione del sistema anche dal punto di vista dell'interoperabilità regionale.</w:t>
            </w:r>
          </w:p>
        </w:tc>
        <w:tc>
          <w:tcPr>
            <w:tcW w:w="4756" w:type="dxa"/>
            <w:vMerge w:val="restart"/>
            <w:hideMark/>
          </w:tcPr>
          <w:p w:rsidR="00F52FF9" w:rsidRPr="00655F80" w:rsidRDefault="00F52FF9" w:rsidP="00F52FF9">
            <w:r w:rsidRPr="00655F80">
              <w:rPr>
                <w:u w:val="single"/>
              </w:rPr>
              <w:t xml:space="preserve">Collaudo in fabbrica, </w:t>
            </w:r>
            <w:r w:rsidRPr="00655F80">
              <w:t xml:space="preserve">effettuato su lotti di apparati funzionanti in corso di prestazione; </w:t>
            </w:r>
            <w:r w:rsidRPr="00655F80">
              <w:br/>
            </w:r>
            <w:r w:rsidRPr="00655F80">
              <w:rPr>
                <w:u w:val="single"/>
              </w:rPr>
              <w:t>Collaudo provvisorio</w:t>
            </w:r>
            <w:r w:rsidRPr="00655F80">
              <w:t xml:space="preserve">, effettuato ad avvenuta attivazione dell’intero sistema; </w:t>
            </w:r>
            <w:r w:rsidRPr="00655F80">
              <w:br/>
            </w:r>
            <w:r w:rsidRPr="00655F80">
              <w:rPr>
                <w:u w:val="single"/>
              </w:rPr>
              <w:t>Collaudo definitivo</w:t>
            </w:r>
            <w:r w:rsidRPr="00655F80">
              <w:t>, effettuato alla conclusione del periodo di monitoraggio dall’avvenuto collaudo provvisorio con esito positivo (12 mesi dopo l’esito positivo).</w:t>
            </w:r>
          </w:p>
        </w:tc>
      </w:tr>
      <w:bookmarkEnd w:id="7"/>
      <w:tr w:rsidR="00F52FF9" w:rsidRPr="00655F80" w:rsidTr="00F52FF9">
        <w:trPr>
          <w:trHeight w:val="1160"/>
        </w:trPr>
        <w:tc>
          <w:tcPr>
            <w:tcW w:w="2184" w:type="dxa"/>
            <w:hideMark/>
          </w:tcPr>
          <w:p w:rsidR="00F52FF9" w:rsidRPr="00655F80" w:rsidRDefault="00F52FF9" w:rsidP="00F52FF9">
            <w:r w:rsidRPr="00655F80">
              <w:t>Collaudo del sistema da parte delle aziende di TPL</w:t>
            </w:r>
          </w:p>
        </w:tc>
        <w:tc>
          <w:tcPr>
            <w:tcW w:w="1451" w:type="dxa"/>
            <w:noWrap/>
            <w:hideMark/>
          </w:tcPr>
          <w:p w:rsidR="00F52FF9" w:rsidRPr="00655F80" w:rsidRDefault="00F52FF9" w:rsidP="00F52FF9">
            <w:r w:rsidRPr="00655F80">
              <w:t>Azienda</w:t>
            </w:r>
          </w:p>
        </w:tc>
        <w:tc>
          <w:tcPr>
            <w:tcW w:w="2345" w:type="dxa"/>
            <w:hideMark/>
          </w:tcPr>
          <w:p w:rsidR="00F52FF9" w:rsidRPr="00655F80" w:rsidRDefault="00F52FF9" w:rsidP="00F52FF9">
            <w:r w:rsidRPr="00655F80">
              <w:t>Collaudo formale del sistema</w:t>
            </w:r>
          </w:p>
        </w:tc>
        <w:tc>
          <w:tcPr>
            <w:tcW w:w="3767" w:type="dxa"/>
            <w:hideMark/>
          </w:tcPr>
          <w:p w:rsidR="00F52FF9" w:rsidRPr="00655F80" w:rsidRDefault="00F52FF9" w:rsidP="00F52FF9">
            <w:r w:rsidRPr="00655F80">
              <w:t>Una volta collaudo il sistema da parte della società in House, e garantita l'erogazione dei fondi regionali, la società di TPL può procedere con il collaudo finale del sistema.</w:t>
            </w:r>
          </w:p>
        </w:tc>
        <w:tc>
          <w:tcPr>
            <w:tcW w:w="4756" w:type="dxa"/>
            <w:vMerge/>
            <w:hideMark/>
          </w:tcPr>
          <w:p w:rsidR="00F52FF9" w:rsidRPr="00655F80" w:rsidRDefault="00F52FF9" w:rsidP="00F52FF9"/>
        </w:tc>
      </w:tr>
    </w:tbl>
    <w:p w:rsidR="00F52FF9" w:rsidRDefault="00F52FF9" w:rsidP="00F52FF9"/>
    <w:p w:rsidR="00F52FF9" w:rsidRDefault="00F52FF9" w:rsidP="00F52FF9"/>
    <w:p w:rsidR="00F52FF9" w:rsidRDefault="00F52FF9" w:rsidP="00F52FF9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52FF9" w:rsidRDefault="00F52FF9" w:rsidP="00F52FF9">
      <w:pPr>
        <w:pStyle w:val="Titolo2"/>
      </w:pPr>
      <w:bookmarkStart w:id="9" w:name="_Toc52304621"/>
      <w:bookmarkStart w:id="10" w:name="_Toc52358365"/>
      <w:r w:rsidRPr="001B73A0">
        <w:lastRenderedPageBreak/>
        <w:t>Regione Toscana</w:t>
      </w:r>
      <w:bookmarkEnd w:id="9"/>
      <w:bookmarkEnd w:id="1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84"/>
        <w:gridCol w:w="1451"/>
        <w:gridCol w:w="2345"/>
        <w:gridCol w:w="3767"/>
        <w:gridCol w:w="4756"/>
      </w:tblGrid>
      <w:tr w:rsidR="00F52FF9" w:rsidRPr="00655F80" w:rsidTr="00F52FF9">
        <w:trPr>
          <w:trHeight w:val="290"/>
        </w:trPr>
        <w:tc>
          <w:tcPr>
            <w:tcW w:w="2184" w:type="dxa"/>
            <w:hideMark/>
          </w:tcPr>
          <w:p w:rsidR="00F52FF9" w:rsidRPr="00655F80" w:rsidRDefault="00F52FF9" w:rsidP="00F52FF9">
            <w:pPr>
              <w:rPr>
                <w:b/>
                <w:bCs/>
              </w:rPr>
            </w:pPr>
            <w:r w:rsidRPr="00655F80">
              <w:rPr>
                <w:b/>
                <w:bCs/>
              </w:rPr>
              <w:t>Attività</w:t>
            </w:r>
          </w:p>
        </w:tc>
        <w:tc>
          <w:tcPr>
            <w:tcW w:w="1451" w:type="dxa"/>
            <w:noWrap/>
            <w:hideMark/>
          </w:tcPr>
          <w:p w:rsidR="00F52FF9" w:rsidRPr="00655F80" w:rsidRDefault="00F52FF9" w:rsidP="00F52FF9">
            <w:pPr>
              <w:rPr>
                <w:b/>
                <w:bCs/>
              </w:rPr>
            </w:pPr>
            <w:r w:rsidRPr="00655F80">
              <w:rPr>
                <w:b/>
                <w:bCs/>
              </w:rPr>
              <w:t>Responsabile</w:t>
            </w:r>
          </w:p>
        </w:tc>
        <w:tc>
          <w:tcPr>
            <w:tcW w:w="2345" w:type="dxa"/>
            <w:hideMark/>
          </w:tcPr>
          <w:p w:rsidR="00F52FF9" w:rsidRPr="00655F80" w:rsidRDefault="00F52FF9" w:rsidP="00F52FF9">
            <w:pPr>
              <w:rPr>
                <w:b/>
                <w:bCs/>
              </w:rPr>
            </w:pPr>
            <w:r w:rsidRPr="00655F80">
              <w:rPr>
                <w:b/>
                <w:bCs/>
              </w:rPr>
              <w:t>Output</w:t>
            </w:r>
          </w:p>
        </w:tc>
        <w:tc>
          <w:tcPr>
            <w:tcW w:w="3767" w:type="dxa"/>
            <w:hideMark/>
          </w:tcPr>
          <w:p w:rsidR="00F52FF9" w:rsidRPr="00655F80" w:rsidRDefault="00F52FF9" w:rsidP="00F52FF9">
            <w:pPr>
              <w:rPr>
                <w:b/>
                <w:bCs/>
              </w:rPr>
            </w:pPr>
            <w:r w:rsidRPr="00655F80">
              <w:rPr>
                <w:b/>
                <w:bCs/>
              </w:rPr>
              <w:t>Scopo</w:t>
            </w:r>
          </w:p>
        </w:tc>
        <w:tc>
          <w:tcPr>
            <w:tcW w:w="4756" w:type="dxa"/>
            <w:hideMark/>
          </w:tcPr>
          <w:p w:rsidR="00F52FF9" w:rsidRPr="00655F80" w:rsidRDefault="00F52FF9" w:rsidP="00F52FF9">
            <w:pPr>
              <w:rPr>
                <w:b/>
                <w:bCs/>
              </w:rPr>
            </w:pPr>
            <w:r>
              <w:rPr>
                <w:b/>
                <w:bCs/>
              </w:rPr>
              <w:t>TOSCANA</w:t>
            </w:r>
          </w:p>
        </w:tc>
      </w:tr>
      <w:tr w:rsidR="00F52FF9" w:rsidRPr="00655F80" w:rsidTr="00F52FF9">
        <w:trPr>
          <w:trHeight w:val="870"/>
        </w:trPr>
        <w:tc>
          <w:tcPr>
            <w:tcW w:w="2184" w:type="dxa"/>
            <w:hideMark/>
          </w:tcPr>
          <w:p w:rsidR="00F52FF9" w:rsidRPr="00655F80" w:rsidRDefault="00F52FF9" w:rsidP="00F52FF9">
            <w:r w:rsidRPr="00655F80">
              <w:t xml:space="preserve">Legislazione per creazione soggetto tecnico </w:t>
            </w:r>
          </w:p>
        </w:tc>
        <w:tc>
          <w:tcPr>
            <w:tcW w:w="1451" w:type="dxa"/>
            <w:noWrap/>
            <w:hideMark/>
          </w:tcPr>
          <w:p w:rsidR="00F52FF9" w:rsidRPr="00655F80" w:rsidRDefault="00F52FF9" w:rsidP="00F52FF9">
            <w:r w:rsidRPr="00655F80">
              <w:t>Regione</w:t>
            </w:r>
          </w:p>
        </w:tc>
        <w:tc>
          <w:tcPr>
            <w:tcW w:w="2345" w:type="dxa"/>
            <w:hideMark/>
          </w:tcPr>
          <w:p w:rsidR="00F52FF9" w:rsidRPr="00655F80" w:rsidRDefault="00F52FF9" w:rsidP="00F52FF9">
            <w:r w:rsidRPr="00655F80">
              <w:t>Atti formativi società partecipata tecnica di supporto</w:t>
            </w:r>
          </w:p>
        </w:tc>
        <w:tc>
          <w:tcPr>
            <w:tcW w:w="3767" w:type="dxa"/>
            <w:hideMark/>
          </w:tcPr>
          <w:p w:rsidR="00F52FF9" w:rsidRPr="00655F80" w:rsidRDefault="00F52FF9" w:rsidP="00F52FF9">
            <w:r w:rsidRPr="00655F80">
              <w:t>Individuare soggetto tecnico in grado di coordinare le attività di progetto a livello regionale</w:t>
            </w:r>
          </w:p>
        </w:tc>
        <w:tc>
          <w:tcPr>
            <w:tcW w:w="4756" w:type="dxa"/>
          </w:tcPr>
          <w:p w:rsidR="00F52FF9" w:rsidRPr="00655F80" w:rsidRDefault="00F52FF9" w:rsidP="00F52FF9">
            <w:r>
              <w:t>Da individuare; possibile destinazione, almeno provvisoria, dell’Ufficio Unico Regionale.</w:t>
            </w:r>
          </w:p>
        </w:tc>
      </w:tr>
      <w:tr w:rsidR="00F52FF9" w:rsidRPr="00655F80" w:rsidTr="00F52FF9">
        <w:trPr>
          <w:trHeight w:val="870"/>
        </w:trPr>
        <w:tc>
          <w:tcPr>
            <w:tcW w:w="2184" w:type="dxa"/>
            <w:hideMark/>
          </w:tcPr>
          <w:p w:rsidR="00F52FF9" w:rsidRPr="00655F80" w:rsidRDefault="00F52FF9" w:rsidP="00F52FF9">
            <w:r w:rsidRPr="00655F80">
              <w:t>Legislazione per definizione budget progetto</w:t>
            </w:r>
          </w:p>
        </w:tc>
        <w:tc>
          <w:tcPr>
            <w:tcW w:w="1451" w:type="dxa"/>
            <w:noWrap/>
            <w:hideMark/>
          </w:tcPr>
          <w:p w:rsidR="00F52FF9" w:rsidRPr="00655F80" w:rsidRDefault="00F52FF9" w:rsidP="00F52FF9">
            <w:r w:rsidRPr="00655F80">
              <w:t>Regione</w:t>
            </w:r>
          </w:p>
        </w:tc>
        <w:tc>
          <w:tcPr>
            <w:tcW w:w="2345" w:type="dxa"/>
            <w:hideMark/>
          </w:tcPr>
          <w:p w:rsidR="00F52FF9" w:rsidRPr="00655F80" w:rsidRDefault="00F52FF9" w:rsidP="00F52FF9">
            <w:r w:rsidRPr="00655F80">
              <w:t>Accantonamento fondi</w:t>
            </w:r>
          </w:p>
        </w:tc>
        <w:tc>
          <w:tcPr>
            <w:tcW w:w="3767" w:type="dxa"/>
            <w:hideMark/>
          </w:tcPr>
          <w:p w:rsidR="00F52FF9" w:rsidRPr="00655F80" w:rsidRDefault="00F52FF9" w:rsidP="00F52FF9">
            <w:r w:rsidRPr="00655F80">
              <w:t>Consentire l'avvio del progetto</w:t>
            </w:r>
          </w:p>
        </w:tc>
        <w:tc>
          <w:tcPr>
            <w:tcW w:w="4756" w:type="dxa"/>
          </w:tcPr>
          <w:p w:rsidR="00F52FF9" w:rsidRPr="00655F80" w:rsidRDefault="00F52FF9" w:rsidP="00F52FF9">
            <w:r>
              <w:t>Sistema compreso come obbligazione di gara nella Gara unica regionale (Budget compreso)</w:t>
            </w:r>
          </w:p>
        </w:tc>
      </w:tr>
      <w:tr w:rsidR="00F52FF9" w:rsidRPr="00655F80" w:rsidTr="00F52FF9">
        <w:trPr>
          <w:trHeight w:val="870"/>
        </w:trPr>
        <w:tc>
          <w:tcPr>
            <w:tcW w:w="2184" w:type="dxa"/>
            <w:hideMark/>
          </w:tcPr>
          <w:p w:rsidR="00F52FF9" w:rsidRPr="00655F80" w:rsidRDefault="00F52FF9" w:rsidP="00F52FF9">
            <w:r w:rsidRPr="00655F80">
              <w:t>Definizione legislativa coinvolgimento aziende TPL</w:t>
            </w:r>
          </w:p>
        </w:tc>
        <w:tc>
          <w:tcPr>
            <w:tcW w:w="1451" w:type="dxa"/>
            <w:noWrap/>
            <w:hideMark/>
          </w:tcPr>
          <w:p w:rsidR="00F52FF9" w:rsidRPr="00655F80" w:rsidRDefault="00F52FF9" w:rsidP="00F52FF9">
            <w:r w:rsidRPr="00655F80">
              <w:t>Regione</w:t>
            </w:r>
          </w:p>
        </w:tc>
        <w:tc>
          <w:tcPr>
            <w:tcW w:w="2345" w:type="dxa"/>
            <w:hideMark/>
          </w:tcPr>
          <w:p w:rsidR="00F52FF9" w:rsidRPr="00655F80" w:rsidRDefault="00F52FF9" w:rsidP="00F52FF9">
            <w:r w:rsidRPr="00655F80">
              <w:t>Atti formali che rendono cogente per società TPL adesione al programma</w:t>
            </w:r>
          </w:p>
        </w:tc>
        <w:tc>
          <w:tcPr>
            <w:tcW w:w="3767" w:type="dxa"/>
            <w:hideMark/>
          </w:tcPr>
          <w:p w:rsidR="00F52FF9" w:rsidRPr="00655F80" w:rsidRDefault="00F52FF9" w:rsidP="00F52FF9">
            <w:r w:rsidRPr="00655F80">
              <w:t xml:space="preserve">Creare il giusto </w:t>
            </w:r>
            <w:proofErr w:type="spellStart"/>
            <w:r w:rsidRPr="00655F80">
              <w:t>committment</w:t>
            </w:r>
            <w:proofErr w:type="spellEnd"/>
            <w:r w:rsidRPr="00655F80">
              <w:t xml:space="preserve"> nelle aziende di TPL</w:t>
            </w:r>
          </w:p>
        </w:tc>
        <w:tc>
          <w:tcPr>
            <w:tcW w:w="4756" w:type="dxa"/>
          </w:tcPr>
          <w:p w:rsidR="00F52FF9" w:rsidRPr="006C74A7" w:rsidRDefault="006C74A7" w:rsidP="00F52FF9">
            <w:r w:rsidRPr="006C74A7">
              <w:t xml:space="preserve">La legge 42/98 e il Regolamento 9r/2005 prevedono obblighi di comunicazione verso la Regione. Il Contratto della gara unica impone al gestore unico impegni compatibili con il protocollo </w:t>
            </w:r>
            <w:proofErr w:type="spellStart"/>
            <w:r w:rsidRPr="006C74A7">
              <w:t>Bipex</w:t>
            </w:r>
            <w:proofErr w:type="spellEnd"/>
            <w:r w:rsidRPr="006C74A7">
              <w:t>. Manca un chiaro riferimento al protocollo stesso e manca una disposizione normativa che estenda l’obbligo a tutti gli operatori regionali.</w:t>
            </w:r>
          </w:p>
        </w:tc>
      </w:tr>
      <w:tr w:rsidR="00F52FF9" w:rsidRPr="00655F80" w:rsidTr="00F52FF9">
        <w:trPr>
          <w:trHeight w:val="857"/>
        </w:trPr>
        <w:tc>
          <w:tcPr>
            <w:tcW w:w="2184" w:type="dxa"/>
            <w:hideMark/>
          </w:tcPr>
          <w:p w:rsidR="00F52FF9" w:rsidRPr="00655F80" w:rsidRDefault="00F52FF9" w:rsidP="00F52FF9">
            <w:r w:rsidRPr="00655F80">
              <w:t xml:space="preserve">(Eventuale) Creazione consorzi tra aziende </w:t>
            </w:r>
          </w:p>
        </w:tc>
        <w:tc>
          <w:tcPr>
            <w:tcW w:w="1451" w:type="dxa"/>
            <w:noWrap/>
            <w:hideMark/>
          </w:tcPr>
          <w:p w:rsidR="00F52FF9" w:rsidRPr="00655F80" w:rsidRDefault="00F52FF9" w:rsidP="00F52FF9">
            <w:r w:rsidRPr="00655F80">
              <w:t xml:space="preserve">Aziende </w:t>
            </w:r>
          </w:p>
        </w:tc>
        <w:tc>
          <w:tcPr>
            <w:tcW w:w="2345" w:type="dxa"/>
            <w:hideMark/>
          </w:tcPr>
          <w:p w:rsidR="00F52FF9" w:rsidRPr="00655F80" w:rsidRDefault="00F52FF9" w:rsidP="00F52FF9">
            <w:r w:rsidRPr="00655F80">
              <w:t>(Eventuali)</w:t>
            </w:r>
            <w:r>
              <w:t xml:space="preserve"> </w:t>
            </w:r>
            <w:r w:rsidRPr="00655F80">
              <w:t xml:space="preserve">Consorzi TPL </w:t>
            </w:r>
          </w:p>
        </w:tc>
        <w:tc>
          <w:tcPr>
            <w:tcW w:w="3767" w:type="dxa"/>
            <w:hideMark/>
          </w:tcPr>
          <w:p w:rsidR="00F52FF9" w:rsidRPr="00655F80" w:rsidRDefault="00F52FF9" w:rsidP="00F52FF9">
            <w:r w:rsidRPr="00655F80">
              <w:t xml:space="preserve">Ottimizzare l'impegno economico necessario </w:t>
            </w:r>
          </w:p>
        </w:tc>
        <w:tc>
          <w:tcPr>
            <w:tcW w:w="4756" w:type="dxa"/>
          </w:tcPr>
          <w:p w:rsidR="00F52FF9" w:rsidRPr="00655F80" w:rsidRDefault="00F52FF9" w:rsidP="00F52FF9">
            <w:r>
              <w:t>Gestore unico regionale, futuro affidataria della</w:t>
            </w:r>
            <w:r w:rsidRPr="00100A24">
              <w:t xml:space="preserve"> gara regionale</w:t>
            </w:r>
          </w:p>
        </w:tc>
      </w:tr>
      <w:tr w:rsidR="00F52FF9" w:rsidRPr="00655F80" w:rsidTr="00F52FF9">
        <w:trPr>
          <w:trHeight w:val="1160"/>
        </w:trPr>
        <w:tc>
          <w:tcPr>
            <w:tcW w:w="2184" w:type="dxa"/>
            <w:hideMark/>
          </w:tcPr>
          <w:p w:rsidR="00F52FF9" w:rsidRPr="00655F80" w:rsidRDefault="00F52FF9" w:rsidP="00F52FF9">
            <w:r w:rsidRPr="00655F80">
              <w:t>Studio situazione esistente</w:t>
            </w:r>
          </w:p>
        </w:tc>
        <w:tc>
          <w:tcPr>
            <w:tcW w:w="1451" w:type="dxa"/>
            <w:hideMark/>
          </w:tcPr>
          <w:p w:rsidR="00F52FF9" w:rsidRPr="00655F80" w:rsidRDefault="00F52FF9" w:rsidP="00F52FF9">
            <w:r w:rsidRPr="00655F80">
              <w:t>Soggetto Tecnico</w:t>
            </w:r>
          </w:p>
        </w:tc>
        <w:tc>
          <w:tcPr>
            <w:tcW w:w="2345" w:type="dxa"/>
            <w:hideMark/>
          </w:tcPr>
          <w:p w:rsidR="00F52FF9" w:rsidRPr="00655F80" w:rsidRDefault="00F52FF9" w:rsidP="00F52FF9">
            <w:r w:rsidRPr="00655F80">
              <w:t>Materiale per capitolati tecnici del livello aziendale e centrale</w:t>
            </w:r>
          </w:p>
        </w:tc>
        <w:tc>
          <w:tcPr>
            <w:tcW w:w="3767" w:type="dxa"/>
            <w:hideMark/>
          </w:tcPr>
          <w:p w:rsidR="00F52FF9" w:rsidRPr="00655F80" w:rsidRDefault="00F52FF9" w:rsidP="00F52FF9">
            <w:r>
              <w:t>F</w:t>
            </w:r>
            <w:r w:rsidRPr="00655F80">
              <w:t>ondamentale per definire i miglioramenti necessari per l'implementazione di un nuovo sistema.</w:t>
            </w:r>
          </w:p>
        </w:tc>
        <w:tc>
          <w:tcPr>
            <w:tcW w:w="4756" w:type="dxa"/>
            <w:vMerge w:val="restart"/>
          </w:tcPr>
          <w:p w:rsidR="00F52FF9" w:rsidRDefault="006C74A7" w:rsidP="006C74A7">
            <w:r w:rsidRPr="006C74A7">
              <w:t>La ricognizione della situazione esistente è stata svolta per predisporre gli allegati tecnici della documentazione di gara. La situazione è monitorata con continuità dalla Regione per gestire il passaggio fra il vecchio e il nuovo gestore dei servizi (l</w:t>
            </w:r>
            <w:r w:rsidR="00F52FF9" w:rsidRPr="006C74A7">
              <w:t>’aggiornamento della consistenza attuale è elemento essenziale per il subentro da parte de</w:t>
            </w:r>
            <w:r w:rsidRPr="006C74A7">
              <w:t>l nuovo Gestore unico regionale)</w:t>
            </w:r>
          </w:p>
          <w:p w:rsidR="006C74A7" w:rsidRPr="006C74A7" w:rsidRDefault="006C74A7" w:rsidP="008F7386">
            <w:r>
              <w:t xml:space="preserve">Lo </w:t>
            </w:r>
            <w:proofErr w:type="spellStart"/>
            <w:r>
              <w:t>Scouting</w:t>
            </w:r>
            <w:proofErr w:type="spellEnd"/>
            <w:r>
              <w:t xml:space="preserve"> sarà effettuato da Gestore unico con supporto della Regione</w:t>
            </w:r>
            <w:r w:rsidR="008F7386">
              <w:t>, anche con riferimento a quanto già contenuto nei documenti di gara (“Stato attuazione tecnologie AVM e Monetica”)</w:t>
            </w:r>
          </w:p>
        </w:tc>
      </w:tr>
      <w:tr w:rsidR="00F52FF9" w:rsidRPr="00655F80" w:rsidTr="00F52FF9">
        <w:trPr>
          <w:trHeight w:val="1160"/>
        </w:trPr>
        <w:tc>
          <w:tcPr>
            <w:tcW w:w="2184" w:type="dxa"/>
            <w:hideMark/>
          </w:tcPr>
          <w:p w:rsidR="00F52FF9" w:rsidRPr="00655F80" w:rsidRDefault="00F52FF9" w:rsidP="00F52FF9">
            <w:proofErr w:type="spellStart"/>
            <w:r w:rsidRPr="00655F80">
              <w:t>Scouting</w:t>
            </w:r>
            <w:proofErr w:type="spellEnd"/>
            <w:r w:rsidRPr="00655F80">
              <w:t xml:space="preserve"> tecnologico e individuazione delle tecnologie condivise da adottare</w:t>
            </w:r>
          </w:p>
        </w:tc>
        <w:tc>
          <w:tcPr>
            <w:tcW w:w="1451" w:type="dxa"/>
            <w:hideMark/>
          </w:tcPr>
          <w:p w:rsidR="00F52FF9" w:rsidRPr="00655F80" w:rsidRDefault="00F52FF9" w:rsidP="00F52FF9">
            <w:r w:rsidRPr="00655F80">
              <w:t>Soggetto Tecnico</w:t>
            </w:r>
          </w:p>
        </w:tc>
        <w:tc>
          <w:tcPr>
            <w:tcW w:w="2345" w:type="dxa"/>
            <w:hideMark/>
          </w:tcPr>
          <w:p w:rsidR="00F52FF9" w:rsidRPr="00655F80" w:rsidRDefault="00F52FF9" w:rsidP="00F52FF9">
            <w:r w:rsidRPr="00655F80">
              <w:t>Materiale per capitolati tecnici del livello aziendale e centrale</w:t>
            </w:r>
          </w:p>
        </w:tc>
        <w:tc>
          <w:tcPr>
            <w:tcW w:w="3767" w:type="dxa"/>
            <w:hideMark/>
          </w:tcPr>
          <w:p w:rsidR="00F52FF9" w:rsidRPr="00655F80" w:rsidRDefault="00F52FF9" w:rsidP="00F52FF9">
            <w:r w:rsidRPr="00655F80">
              <w:t>Alcune scelte tecnologiche devono essere condivise a livello regionale, è quindi fondamentale che tali scelte vengano effe</w:t>
            </w:r>
            <w:r w:rsidR="00831894">
              <w:t>t</w:t>
            </w:r>
            <w:r w:rsidRPr="00655F80">
              <w:t>tuate da un soggetto indipendente</w:t>
            </w:r>
          </w:p>
        </w:tc>
        <w:tc>
          <w:tcPr>
            <w:tcW w:w="4756" w:type="dxa"/>
            <w:vMerge/>
          </w:tcPr>
          <w:p w:rsidR="00F52FF9" w:rsidRPr="00100A24" w:rsidRDefault="00F52FF9" w:rsidP="00F52FF9">
            <w:pPr>
              <w:rPr>
                <w:highlight w:val="yellow"/>
              </w:rPr>
            </w:pPr>
          </w:p>
        </w:tc>
      </w:tr>
      <w:tr w:rsidR="00F52FF9" w:rsidRPr="00655F80" w:rsidTr="008F7386">
        <w:trPr>
          <w:trHeight w:val="383"/>
        </w:trPr>
        <w:tc>
          <w:tcPr>
            <w:tcW w:w="2184" w:type="dxa"/>
            <w:hideMark/>
          </w:tcPr>
          <w:p w:rsidR="00F52FF9" w:rsidRPr="00655F80" w:rsidRDefault="00F52FF9" w:rsidP="00F52FF9">
            <w:r w:rsidRPr="00655F80">
              <w:t xml:space="preserve">Progettazione esecutiva sistema di </w:t>
            </w:r>
            <w:r w:rsidRPr="00655F80">
              <w:lastRenderedPageBreak/>
              <w:t>centro regionale (CSR)</w:t>
            </w:r>
          </w:p>
        </w:tc>
        <w:tc>
          <w:tcPr>
            <w:tcW w:w="1451" w:type="dxa"/>
            <w:hideMark/>
          </w:tcPr>
          <w:p w:rsidR="00F52FF9" w:rsidRPr="00655F80" w:rsidRDefault="00F52FF9" w:rsidP="00F52FF9">
            <w:r w:rsidRPr="00655F80">
              <w:lastRenderedPageBreak/>
              <w:t>Soggetto Tecnico</w:t>
            </w:r>
          </w:p>
        </w:tc>
        <w:tc>
          <w:tcPr>
            <w:tcW w:w="2345" w:type="dxa"/>
            <w:hideMark/>
          </w:tcPr>
          <w:p w:rsidR="00F52FF9" w:rsidRPr="00655F80" w:rsidRDefault="00F52FF9" w:rsidP="00F52FF9">
            <w:r w:rsidRPr="00655F80">
              <w:t xml:space="preserve">Documento di progettazione/capitolato </w:t>
            </w:r>
            <w:r w:rsidRPr="00655F80">
              <w:lastRenderedPageBreak/>
              <w:t>tecnico</w:t>
            </w:r>
          </w:p>
        </w:tc>
        <w:tc>
          <w:tcPr>
            <w:tcW w:w="3767" w:type="dxa"/>
            <w:hideMark/>
          </w:tcPr>
          <w:p w:rsidR="00F52FF9" w:rsidRPr="00655F80" w:rsidRDefault="00F52FF9" w:rsidP="00F52FF9">
            <w:r w:rsidRPr="00655F80">
              <w:lastRenderedPageBreak/>
              <w:t xml:space="preserve">Descrivere in dettaglio le implementazioni necessarie, al fine di </w:t>
            </w:r>
            <w:r w:rsidRPr="00655F80">
              <w:lastRenderedPageBreak/>
              <w:t>consentire l'avvio degli sviluppi, o l'esecuzione di una gara d'appalto</w:t>
            </w:r>
          </w:p>
        </w:tc>
        <w:tc>
          <w:tcPr>
            <w:tcW w:w="4756" w:type="dxa"/>
          </w:tcPr>
          <w:p w:rsidR="006C74A7" w:rsidRPr="008F7386" w:rsidRDefault="00991DD4" w:rsidP="00F52FF9">
            <w:r w:rsidRPr="008F7386">
              <w:lastRenderedPageBreak/>
              <w:t xml:space="preserve">Da effettuare da soggetto tecnico (individuato dalla Regione) in coordinamento con il Gestore unico </w:t>
            </w:r>
            <w:r w:rsidRPr="008F7386">
              <w:lastRenderedPageBreak/>
              <w:t>dei servizi di TPL (oltre che con i gestori degli altri servizi di mobilità regionale) per garantire pieno coordinamento ed efficienza dei sistemi.</w:t>
            </w:r>
          </w:p>
        </w:tc>
      </w:tr>
      <w:tr w:rsidR="00F52FF9" w:rsidRPr="00655F80" w:rsidTr="00F52FF9">
        <w:trPr>
          <w:trHeight w:val="1740"/>
        </w:trPr>
        <w:tc>
          <w:tcPr>
            <w:tcW w:w="2184" w:type="dxa"/>
            <w:hideMark/>
          </w:tcPr>
          <w:p w:rsidR="00F52FF9" w:rsidRPr="00655F80" w:rsidRDefault="00F52FF9" w:rsidP="00F52FF9">
            <w:r w:rsidRPr="00655F80">
              <w:lastRenderedPageBreak/>
              <w:t xml:space="preserve">Stesura capitolati tecnici delle aziende </w:t>
            </w:r>
          </w:p>
        </w:tc>
        <w:tc>
          <w:tcPr>
            <w:tcW w:w="1451" w:type="dxa"/>
            <w:hideMark/>
          </w:tcPr>
          <w:p w:rsidR="00F52FF9" w:rsidRPr="00655F80" w:rsidRDefault="00F52FF9" w:rsidP="00F52FF9">
            <w:r w:rsidRPr="00655F80">
              <w:t>Aziende di TPL, Soggetto Tecnico</w:t>
            </w:r>
          </w:p>
        </w:tc>
        <w:tc>
          <w:tcPr>
            <w:tcW w:w="2345" w:type="dxa"/>
            <w:hideMark/>
          </w:tcPr>
          <w:p w:rsidR="00F52FF9" w:rsidRDefault="00F52FF9" w:rsidP="00F52FF9">
            <w:r w:rsidRPr="00655F80">
              <w:t>Capitolato tecnico</w:t>
            </w:r>
            <w:r>
              <w:t>:</w:t>
            </w:r>
            <w:r w:rsidRPr="00655F80">
              <w:t xml:space="preserve"> </w:t>
            </w:r>
            <w:r w:rsidRPr="00655F80">
              <w:br/>
              <w:t>- sistema di ce</w:t>
            </w:r>
            <w:r>
              <w:t>ntro</w:t>
            </w:r>
            <w:r>
              <w:br/>
              <w:t xml:space="preserve">- protocollo scambio dati </w:t>
            </w:r>
          </w:p>
          <w:p w:rsidR="00F52FF9" w:rsidRDefault="00F52FF9" w:rsidP="00F52FF9">
            <w:r w:rsidRPr="00655F80">
              <w:t xml:space="preserve">- architettura a bordo veicolo </w:t>
            </w:r>
          </w:p>
          <w:p w:rsidR="00F52FF9" w:rsidRPr="00655F80" w:rsidRDefault="00F52FF9" w:rsidP="00F52FF9">
            <w:r w:rsidRPr="00655F80">
              <w:t>- sistemi TPL e SBE</w:t>
            </w:r>
          </w:p>
        </w:tc>
        <w:tc>
          <w:tcPr>
            <w:tcW w:w="3767" w:type="dxa"/>
            <w:hideMark/>
          </w:tcPr>
          <w:p w:rsidR="00F52FF9" w:rsidRPr="00655F80" w:rsidRDefault="00F52FF9" w:rsidP="00F52FF9">
            <w:r w:rsidRPr="00655F80">
              <w:t>La stesura dei capitolati tecnici è fondamentale affinché le gare, svolte in totale indipendenza dalle aziende di TPL, consentano l'implementazione di un sistema interoperabile</w:t>
            </w:r>
          </w:p>
        </w:tc>
        <w:tc>
          <w:tcPr>
            <w:tcW w:w="4756" w:type="dxa"/>
          </w:tcPr>
          <w:p w:rsidR="00F52FF9" w:rsidRPr="008F7386" w:rsidRDefault="00F52FF9" w:rsidP="00F52FF9">
            <w:r w:rsidRPr="008F7386">
              <w:t>Sistema compreso come obbligazione di gara nella Gara unica regionale e appaltato da (futuro) Gestore Unico</w:t>
            </w:r>
            <w:r w:rsidR="008F7386" w:rsidRPr="008F7386">
              <w:t>.</w:t>
            </w:r>
          </w:p>
          <w:p w:rsidR="008F7386" w:rsidRPr="008F7386" w:rsidRDefault="008F7386" w:rsidP="008F7386">
            <w:r w:rsidRPr="008F7386">
              <w:t xml:space="preserve">È comunque opportuno che il soggetto tecnico regionale supporti il Gestore unico nella stesura del progetto, per garantire dall’origine, la compatibilità e interoperabilità dei sistemi a livello regionale </w:t>
            </w:r>
          </w:p>
        </w:tc>
      </w:tr>
      <w:tr w:rsidR="00F52FF9" w:rsidRPr="00655F80" w:rsidTr="008F7386">
        <w:trPr>
          <w:trHeight w:val="1887"/>
        </w:trPr>
        <w:tc>
          <w:tcPr>
            <w:tcW w:w="2184" w:type="dxa"/>
            <w:hideMark/>
          </w:tcPr>
          <w:p w:rsidR="00F52FF9" w:rsidRPr="00655F80" w:rsidRDefault="00F52FF9" w:rsidP="00F52FF9">
            <w:r w:rsidRPr="00655F80">
              <w:t>Collaud</w:t>
            </w:r>
            <w:r>
              <w:t>o sistema di centro regionale (</w:t>
            </w:r>
            <w:r w:rsidRPr="00655F80">
              <w:t>CSR)</w:t>
            </w:r>
          </w:p>
        </w:tc>
        <w:tc>
          <w:tcPr>
            <w:tcW w:w="1451" w:type="dxa"/>
            <w:hideMark/>
          </w:tcPr>
          <w:p w:rsidR="00F52FF9" w:rsidRPr="00655F80" w:rsidRDefault="00F52FF9" w:rsidP="00F52FF9">
            <w:r w:rsidRPr="00655F80">
              <w:t>Soggetto Tecnico</w:t>
            </w:r>
          </w:p>
        </w:tc>
        <w:tc>
          <w:tcPr>
            <w:tcW w:w="2345" w:type="dxa"/>
            <w:hideMark/>
          </w:tcPr>
          <w:p w:rsidR="00F52FF9" w:rsidRPr="00655F80" w:rsidRDefault="00F52FF9" w:rsidP="00F52FF9">
            <w:r w:rsidRPr="00655F80">
              <w:t>Collaudo formale del sistema</w:t>
            </w:r>
          </w:p>
        </w:tc>
        <w:tc>
          <w:tcPr>
            <w:tcW w:w="3767" w:type="dxa"/>
            <w:hideMark/>
          </w:tcPr>
          <w:p w:rsidR="00F52FF9" w:rsidRPr="00655F80" w:rsidRDefault="00F52FF9" w:rsidP="00F52FF9">
            <w:r w:rsidRPr="00655F80">
              <w:t>Il collaudo del sistema di centro CSR sancisce l'avvio delle attività di raccolta dei dati a livello regionale. Grazie ai dati raccolti è possibile costruire nuovi servizi/sistemi</w:t>
            </w:r>
          </w:p>
        </w:tc>
        <w:tc>
          <w:tcPr>
            <w:tcW w:w="4756" w:type="dxa"/>
          </w:tcPr>
          <w:p w:rsidR="008F7386" w:rsidRPr="008F7386" w:rsidRDefault="008F7386" w:rsidP="00F52FF9">
            <w:r w:rsidRPr="008F7386">
              <w:t xml:space="preserve">I sistemi centrali (CSR e CCA) saranno allocati presso il Data Center del soggetto tecnico </w:t>
            </w:r>
          </w:p>
          <w:p w:rsidR="00F52FF9" w:rsidRPr="008F7386" w:rsidRDefault="008F7386" w:rsidP="00F52FF9">
            <w:r w:rsidRPr="008F7386">
              <w:t>Il collaudo sarà eseguito in contraddittorio (Committente - Fornitore) sulla scorta di tutta la documentazione tecnico/illustrativa depositata in sede di gara, del Capitolato Tecnico Giuridico di Base e del progetto esecutivo.</w:t>
            </w:r>
          </w:p>
        </w:tc>
      </w:tr>
      <w:tr w:rsidR="00F52FF9" w:rsidRPr="00655F80" w:rsidTr="00F52FF9">
        <w:trPr>
          <w:trHeight w:val="2030"/>
        </w:trPr>
        <w:tc>
          <w:tcPr>
            <w:tcW w:w="2184" w:type="dxa"/>
            <w:hideMark/>
          </w:tcPr>
          <w:p w:rsidR="00F52FF9" w:rsidRPr="00655F80" w:rsidRDefault="00F52FF9" w:rsidP="00F52FF9">
            <w:r w:rsidRPr="00655F80">
              <w:t>Produzione documentazione tecnica di supporto</w:t>
            </w:r>
          </w:p>
        </w:tc>
        <w:tc>
          <w:tcPr>
            <w:tcW w:w="1451" w:type="dxa"/>
            <w:hideMark/>
          </w:tcPr>
          <w:p w:rsidR="00F52FF9" w:rsidRPr="00655F80" w:rsidRDefault="00F52FF9" w:rsidP="00F52FF9">
            <w:r w:rsidRPr="00655F80">
              <w:t>Soggetto Tecnico</w:t>
            </w:r>
          </w:p>
        </w:tc>
        <w:tc>
          <w:tcPr>
            <w:tcW w:w="2345" w:type="dxa"/>
            <w:hideMark/>
          </w:tcPr>
          <w:p w:rsidR="00F52FF9" w:rsidRPr="00655F80" w:rsidRDefault="00F52FF9" w:rsidP="00F52FF9">
            <w:r w:rsidRPr="00655F80">
              <w:t>Documenti tecnici</w:t>
            </w:r>
          </w:p>
        </w:tc>
        <w:tc>
          <w:tcPr>
            <w:tcW w:w="3767" w:type="dxa"/>
            <w:hideMark/>
          </w:tcPr>
          <w:p w:rsidR="00F52FF9" w:rsidRPr="00655F80" w:rsidRDefault="00F52FF9" w:rsidP="00F52FF9">
            <w:r w:rsidRPr="00655F80">
              <w:t xml:space="preserve">Un'idonea documentazione tecnica, prodotta e diffusa da un soggetto terzo, agevola il corretto dispiegamento del sistema, consente di gestire conflitti sull'utilizzo di codici relativi a TPL o </w:t>
            </w:r>
            <w:proofErr w:type="spellStart"/>
            <w:r w:rsidRPr="00655F80">
              <w:t>tiketing</w:t>
            </w:r>
            <w:proofErr w:type="spellEnd"/>
            <w:r w:rsidRPr="00655F80">
              <w:t xml:space="preserve"> e favorisce l'interoperabilità tra le aziende di TPL a livello regionale.</w:t>
            </w:r>
          </w:p>
        </w:tc>
        <w:tc>
          <w:tcPr>
            <w:tcW w:w="4756" w:type="dxa"/>
          </w:tcPr>
          <w:p w:rsidR="00F52FF9" w:rsidRPr="008F7386" w:rsidRDefault="00F52FF9" w:rsidP="00F52FF9">
            <w:r w:rsidRPr="008F7386">
              <w:t>Sistema compreso come obbligazione di gara nella Gara unica regionale e appaltato da (futuro) Gestore Unico</w:t>
            </w:r>
            <w:r w:rsidR="008F7386" w:rsidRPr="008F7386">
              <w:t xml:space="preserve"> che dovrà anche verificare la compatibilità dei sistemi esistenti (“Stato attuazione tecnologie AVM e Monetica”). </w:t>
            </w:r>
          </w:p>
          <w:p w:rsidR="008F7386" w:rsidRPr="008F7386" w:rsidRDefault="008F7386" w:rsidP="008F7386">
            <w:r w:rsidRPr="008F7386">
              <w:t xml:space="preserve">È comunque opportuno che il soggetto tecnico regionale produca idonea documentazione tecnica e supporti il Gestore nella progettazione dei sistemi TPL, al fine di garantirne la compatibilità con le specifiche regionali. </w:t>
            </w:r>
          </w:p>
        </w:tc>
      </w:tr>
      <w:tr w:rsidR="00F52FF9" w:rsidRPr="00655F80" w:rsidTr="00F52FF9">
        <w:trPr>
          <w:trHeight w:val="1450"/>
        </w:trPr>
        <w:tc>
          <w:tcPr>
            <w:tcW w:w="2184" w:type="dxa"/>
            <w:hideMark/>
          </w:tcPr>
          <w:p w:rsidR="00F52FF9" w:rsidRPr="00655F80" w:rsidRDefault="00F52FF9" w:rsidP="00F52FF9">
            <w:r w:rsidRPr="00655F80">
              <w:t xml:space="preserve">Creazione albo fornitori </w:t>
            </w:r>
            <w:proofErr w:type="spellStart"/>
            <w:r w:rsidRPr="00655F80">
              <w:t>smartcard</w:t>
            </w:r>
            <w:proofErr w:type="spellEnd"/>
          </w:p>
        </w:tc>
        <w:tc>
          <w:tcPr>
            <w:tcW w:w="1451" w:type="dxa"/>
            <w:hideMark/>
          </w:tcPr>
          <w:p w:rsidR="00F52FF9" w:rsidRPr="00655F80" w:rsidRDefault="00F52FF9" w:rsidP="00F52FF9">
            <w:r w:rsidRPr="00655F80">
              <w:t>Soggetto Tecnico</w:t>
            </w:r>
          </w:p>
        </w:tc>
        <w:tc>
          <w:tcPr>
            <w:tcW w:w="2345" w:type="dxa"/>
            <w:hideMark/>
          </w:tcPr>
          <w:p w:rsidR="00F52FF9" w:rsidRPr="00655F80" w:rsidRDefault="00F52FF9" w:rsidP="00F52FF9">
            <w:r w:rsidRPr="00655F80">
              <w:t>Albo fornitori</w:t>
            </w:r>
          </w:p>
        </w:tc>
        <w:tc>
          <w:tcPr>
            <w:tcW w:w="3767" w:type="dxa"/>
            <w:hideMark/>
          </w:tcPr>
          <w:p w:rsidR="00F52FF9" w:rsidRPr="00655F80" w:rsidRDefault="00F52FF9" w:rsidP="00F52FF9">
            <w:r w:rsidRPr="00655F80">
              <w:t>Effettuare un'unica gara d'appalto a livello regionale riduce i costi per l'approvvigionamento a livello di sistema e consente un controllo migliore sulle forniture, anche ai fini di controlli antifrode.</w:t>
            </w:r>
          </w:p>
        </w:tc>
        <w:tc>
          <w:tcPr>
            <w:tcW w:w="4756" w:type="dxa"/>
            <w:noWrap/>
          </w:tcPr>
          <w:p w:rsidR="005B47B7" w:rsidRDefault="00F52FF9" w:rsidP="001A079C">
            <w:r>
              <w:t>Dema</w:t>
            </w:r>
            <w:r w:rsidR="008F7386">
              <w:t xml:space="preserve">ndata a </w:t>
            </w:r>
            <w:r w:rsidR="001A079C">
              <w:t xml:space="preserve">Gestore </w:t>
            </w:r>
            <w:r w:rsidR="008F7386">
              <w:t>unic</w:t>
            </w:r>
            <w:r w:rsidR="001A079C">
              <w:t>o</w:t>
            </w:r>
            <w:r>
              <w:t xml:space="preserve"> regionale. </w:t>
            </w:r>
          </w:p>
          <w:p w:rsidR="00F52FF9" w:rsidRPr="00100A24" w:rsidRDefault="00F52FF9" w:rsidP="001A079C">
            <w:pPr>
              <w:rPr>
                <w:highlight w:val="yellow"/>
              </w:rPr>
            </w:pPr>
            <w:r>
              <w:t xml:space="preserve">Da valutare e promuovere integrazione Albo dell’affidatario con quello </w:t>
            </w:r>
            <w:r w:rsidRPr="00747781">
              <w:t>messo a disposizione da 5T (componente del KIT) per ottimizzare procedure</w:t>
            </w:r>
          </w:p>
        </w:tc>
      </w:tr>
      <w:tr w:rsidR="00F52FF9" w:rsidRPr="00655F80" w:rsidTr="00F52FF9">
        <w:trPr>
          <w:trHeight w:val="1450"/>
        </w:trPr>
        <w:tc>
          <w:tcPr>
            <w:tcW w:w="2184" w:type="dxa"/>
            <w:hideMark/>
          </w:tcPr>
          <w:p w:rsidR="00F52FF9" w:rsidRPr="00655F80" w:rsidRDefault="00831894" w:rsidP="00F52FF9">
            <w:r>
              <w:lastRenderedPageBreak/>
              <w:t xml:space="preserve">Avvio procedure di gara per </w:t>
            </w:r>
            <w:r w:rsidRPr="00655F80">
              <w:t>approvv</w:t>
            </w:r>
            <w:r>
              <w:t xml:space="preserve">igionamento sistemi TPL e SBE </w:t>
            </w:r>
            <w:r w:rsidRPr="00655F80">
              <w:t>secondo i capitolati definiti</w:t>
            </w:r>
          </w:p>
        </w:tc>
        <w:tc>
          <w:tcPr>
            <w:tcW w:w="1451" w:type="dxa"/>
            <w:noWrap/>
            <w:hideMark/>
          </w:tcPr>
          <w:p w:rsidR="00F52FF9" w:rsidRPr="00655F80" w:rsidRDefault="00F52FF9" w:rsidP="00F52FF9">
            <w:r w:rsidRPr="00655F80">
              <w:t>Aziende TPL/PA</w:t>
            </w:r>
          </w:p>
        </w:tc>
        <w:tc>
          <w:tcPr>
            <w:tcW w:w="2345" w:type="dxa"/>
            <w:hideMark/>
          </w:tcPr>
          <w:p w:rsidR="00F52FF9" w:rsidRPr="00655F80" w:rsidRDefault="00F52FF9" w:rsidP="00831894">
            <w:r w:rsidRPr="00655F80">
              <w:t>Implementazione sulle</w:t>
            </w:r>
            <w:r w:rsidR="00831894">
              <w:t xml:space="preserve"> flotte e gli apparati d</w:t>
            </w:r>
            <w:r w:rsidRPr="00655F80">
              <w:t>elle aziende di quanto previsto dal capitolato tecnico TPL</w:t>
            </w:r>
            <w:r>
              <w:t xml:space="preserve"> e SBE</w:t>
            </w:r>
          </w:p>
        </w:tc>
        <w:tc>
          <w:tcPr>
            <w:tcW w:w="3767" w:type="dxa"/>
            <w:hideMark/>
          </w:tcPr>
          <w:p w:rsidR="00F52FF9" w:rsidRPr="00655F80" w:rsidRDefault="00F52FF9" w:rsidP="00F52FF9">
            <w:r w:rsidRPr="00655F80">
              <w:t>Quella dell'implementazione è una fase molto importante, da condurre quindi con particolare perizia, al fine di ottenere risultati coerenti su tutto il territorio interessato.</w:t>
            </w:r>
          </w:p>
        </w:tc>
        <w:tc>
          <w:tcPr>
            <w:tcW w:w="4756" w:type="dxa"/>
            <w:noWrap/>
          </w:tcPr>
          <w:p w:rsidR="00F52FF9" w:rsidRPr="008F675C" w:rsidRDefault="00F52FF9" w:rsidP="00F52FF9">
            <w:r w:rsidRPr="008F675C">
              <w:t>Sistema compreso come obbligazione di gara nella Gara unica regionale e appaltato da (futuro) Gestore Unico</w:t>
            </w:r>
          </w:p>
          <w:p w:rsidR="008F675C" w:rsidRPr="008F675C" w:rsidRDefault="008F675C" w:rsidP="008F675C">
            <w:r w:rsidRPr="008F675C">
              <w:t>Da definire le modalità di coinvolgimento operativo del soggetto tecnico presso il gestore unico e i gestori dei lotti deboli</w:t>
            </w:r>
          </w:p>
        </w:tc>
      </w:tr>
      <w:tr w:rsidR="00F52FF9" w:rsidRPr="00655F80" w:rsidTr="00F52FF9">
        <w:trPr>
          <w:trHeight w:val="1396"/>
        </w:trPr>
        <w:tc>
          <w:tcPr>
            <w:tcW w:w="2184" w:type="dxa"/>
            <w:hideMark/>
          </w:tcPr>
          <w:p w:rsidR="00F52FF9" w:rsidRPr="00655F80" w:rsidRDefault="00F52FF9" w:rsidP="00F52FF9">
            <w:r w:rsidRPr="00655F80">
              <w:t>Collaudo TPL</w:t>
            </w:r>
            <w:r>
              <w:t xml:space="preserve"> e SBE</w:t>
            </w:r>
            <w:r w:rsidRPr="00655F80">
              <w:t xml:space="preserve"> alle aziende</w:t>
            </w:r>
          </w:p>
        </w:tc>
        <w:tc>
          <w:tcPr>
            <w:tcW w:w="1451" w:type="dxa"/>
            <w:hideMark/>
          </w:tcPr>
          <w:p w:rsidR="00F52FF9" w:rsidRPr="00655F80" w:rsidRDefault="00F52FF9" w:rsidP="00F52FF9">
            <w:r w:rsidRPr="00655F80">
              <w:t>Soggetto Tecnico</w:t>
            </w:r>
          </w:p>
        </w:tc>
        <w:tc>
          <w:tcPr>
            <w:tcW w:w="2345" w:type="dxa"/>
            <w:hideMark/>
          </w:tcPr>
          <w:p w:rsidR="00F52FF9" w:rsidRPr="00655F80" w:rsidRDefault="00F52FF9" w:rsidP="00F52FF9">
            <w:r w:rsidRPr="00655F80">
              <w:t>Verifica della congruenza di quanto impleme</w:t>
            </w:r>
            <w:r>
              <w:t>ntato rispetto alle specifiche e progetto esecutivo</w:t>
            </w:r>
          </w:p>
        </w:tc>
        <w:tc>
          <w:tcPr>
            <w:tcW w:w="3767" w:type="dxa"/>
            <w:hideMark/>
          </w:tcPr>
          <w:p w:rsidR="00F52FF9" w:rsidRPr="00655F80" w:rsidRDefault="00F52FF9" w:rsidP="00F52FF9">
            <w:r w:rsidRPr="00655F80">
              <w:t>Un collaudo da parte della società in House consente di verificare la corretta implementazione del sistema anche dal punto di vista dell'interoperabilità regionale.</w:t>
            </w:r>
          </w:p>
        </w:tc>
        <w:tc>
          <w:tcPr>
            <w:tcW w:w="4756" w:type="dxa"/>
            <w:vMerge w:val="restart"/>
          </w:tcPr>
          <w:p w:rsidR="00F52FF9" w:rsidRDefault="00F52FF9" w:rsidP="00F52FF9">
            <w:r>
              <w:t>Sistema compreso come obbligazione di gara nella Gara unica regionale e appaltato da (futuro) Gestore Unico</w:t>
            </w:r>
          </w:p>
          <w:p w:rsidR="00F52FF9" w:rsidRPr="00100A24" w:rsidRDefault="00F52FF9" w:rsidP="00F52FF9">
            <w:pPr>
              <w:rPr>
                <w:highlight w:val="yellow"/>
              </w:rPr>
            </w:pPr>
            <w:r>
              <w:t>I</w:t>
            </w:r>
            <w:r w:rsidRPr="00747781">
              <w:t xml:space="preserve">l collaudo sarà </w:t>
            </w:r>
            <w:r>
              <w:t xml:space="preserve">comunque </w:t>
            </w:r>
            <w:r w:rsidRPr="00747781">
              <w:t xml:space="preserve">eseguito in contraddittorio </w:t>
            </w:r>
            <w:r>
              <w:t>anche con la Regione per verificare allineamento con le esi</w:t>
            </w:r>
            <w:r w:rsidR="008F675C">
              <w:t>genze informative della Regione e, soprattutto, l’interoperabilità con i sistemi di centro.</w:t>
            </w:r>
          </w:p>
        </w:tc>
      </w:tr>
      <w:tr w:rsidR="00F52FF9" w:rsidRPr="00655F80" w:rsidTr="00F52FF9">
        <w:trPr>
          <w:trHeight w:val="1160"/>
        </w:trPr>
        <w:tc>
          <w:tcPr>
            <w:tcW w:w="2184" w:type="dxa"/>
            <w:hideMark/>
          </w:tcPr>
          <w:p w:rsidR="00F52FF9" w:rsidRPr="00655F80" w:rsidRDefault="00F52FF9" w:rsidP="00F52FF9">
            <w:r w:rsidRPr="00655F80">
              <w:t>Collaudo del sistema da parte delle aziende di TPL</w:t>
            </w:r>
          </w:p>
        </w:tc>
        <w:tc>
          <w:tcPr>
            <w:tcW w:w="1451" w:type="dxa"/>
            <w:noWrap/>
            <w:hideMark/>
          </w:tcPr>
          <w:p w:rsidR="00F52FF9" w:rsidRPr="00655F80" w:rsidRDefault="00F52FF9" w:rsidP="00F52FF9">
            <w:r w:rsidRPr="00655F80">
              <w:t>Azienda</w:t>
            </w:r>
          </w:p>
        </w:tc>
        <w:tc>
          <w:tcPr>
            <w:tcW w:w="2345" w:type="dxa"/>
            <w:hideMark/>
          </w:tcPr>
          <w:p w:rsidR="00F52FF9" w:rsidRPr="00655F80" w:rsidRDefault="00F52FF9" w:rsidP="00F52FF9">
            <w:r w:rsidRPr="00655F80">
              <w:t>Collaudo formale del sistema</w:t>
            </w:r>
          </w:p>
        </w:tc>
        <w:tc>
          <w:tcPr>
            <w:tcW w:w="3767" w:type="dxa"/>
            <w:hideMark/>
          </w:tcPr>
          <w:p w:rsidR="00F52FF9" w:rsidRPr="00655F80" w:rsidRDefault="00F52FF9" w:rsidP="00F52FF9">
            <w:r w:rsidRPr="00655F80">
              <w:t>Una volta collaudo il sistema da parte della società in House, e garantita l'erogazione dei fondi regionali, la società di TPL può procedere con il collaudo finale del sistema.</w:t>
            </w:r>
          </w:p>
        </w:tc>
        <w:tc>
          <w:tcPr>
            <w:tcW w:w="4756" w:type="dxa"/>
            <w:vMerge/>
          </w:tcPr>
          <w:p w:rsidR="00F52FF9" w:rsidRPr="00655F80" w:rsidRDefault="00F52FF9" w:rsidP="00F52FF9"/>
        </w:tc>
      </w:tr>
    </w:tbl>
    <w:p w:rsidR="00F52FF9" w:rsidRDefault="00F52FF9" w:rsidP="00F52FF9">
      <w:pPr>
        <w:pStyle w:val="Normale1"/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F52FF9" w:rsidRDefault="00F52FF9" w:rsidP="00F52FF9">
      <w:pPr>
        <w:pStyle w:val="Normale1"/>
        <w:rPr>
          <w:rFonts w:asciiTheme="minorHAnsi" w:hAnsiTheme="minorHAnsi" w:cstheme="minorHAnsi"/>
          <w:sz w:val="24"/>
          <w:szCs w:val="24"/>
        </w:rPr>
      </w:pPr>
    </w:p>
    <w:p w:rsidR="00F52FF9" w:rsidRDefault="00F52FF9" w:rsidP="00F52FF9">
      <w:pPr>
        <w:pStyle w:val="Titolo1"/>
        <w:numPr>
          <w:ilvl w:val="0"/>
          <w:numId w:val="0"/>
        </w:numPr>
        <w:ind w:left="432" w:hanging="432"/>
      </w:pPr>
    </w:p>
    <w:p w:rsidR="00F52FF9" w:rsidRDefault="00F52FF9" w:rsidP="00F52FF9"/>
    <w:p w:rsidR="00F52FF9" w:rsidRDefault="00F52FF9" w:rsidP="00F52FF9"/>
    <w:p w:rsidR="00F52FF9" w:rsidRDefault="00F52FF9" w:rsidP="00F52FF9"/>
    <w:p w:rsidR="00F52FF9" w:rsidRDefault="00F52FF9" w:rsidP="00F52FF9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52FF9" w:rsidRPr="001B73A0" w:rsidRDefault="00F52FF9" w:rsidP="00F52FF9">
      <w:pPr>
        <w:pStyle w:val="Titolo2"/>
      </w:pPr>
      <w:bookmarkStart w:id="11" w:name="_Toc52304622"/>
      <w:bookmarkStart w:id="12" w:name="_Toc52358366"/>
      <w:r w:rsidRPr="001B73A0">
        <w:lastRenderedPageBreak/>
        <w:t xml:space="preserve">Regione </w:t>
      </w:r>
      <w:r>
        <w:t>Calabria</w:t>
      </w:r>
      <w:bookmarkEnd w:id="11"/>
      <w:bookmarkEnd w:id="1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84"/>
        <w:gridCol w:w="1451"/>
        <w:gridCol w:w="2345"/>
        <w:gridCol w:w="3767"/>
        <w:gridCol w:w="4756"/>
      </w:tblGrid>
      <w:tr w:rsidR="00F52FF9" w:rsidRPr="00655F80" w:rsidTr="00F52FF9">
        <w:trPr>
          <w:trHeight w:val="290"/>
        </w:trPr>
        <w:tc>
          <w:tcPr>
            <w:tcW w:w="2184" w:type="dxa"/>
            <w:hideMark/>
          </w:tcPr>
          <w:p w:rsidR="00F52FF9" w:rsidRPr="00655F80" w:rsidRDefault="00F52FF9" w:rsidP="00F52FF9">
            <w:pPr>
              <w:rPr>
                <w:b/>
                <w:bCs/>
              </w:rPr>
            </w:pPr>
            <w:r w:rsidRPr="00655F80">
              <w:rPr>
                <w:b/>
                <w:bCs/>
              </w:rPr>
              <w:t>Attività</w:t>
            </w:r>
          </w:p>
        </w:tc>
        <w:tc>
          <w:tcPr>
            <w:tcW w:w="1451" w:type="dxa"/>
            <w:noWrap/>
            <w:hideMark/>
          </w:tcPr>
          <w:p w:rsidR="00F52FF9" w:rsidRPr="00655F80" w:rsidRDefault="00F52FF9" w:rsidP="00F52FF9">
            <w:pPr>
              <w:rPr>
                <w:b/>
                <w:bCs/>
              </w:rPr>
            </w:pPr>
            <w:r w:rsidRPr="00655F80">
              <w:rPr>
                <w:b/>
                <w:bCs/>
              </w:rPr>
              <w:t>Responsabile</w:t>
            </w:r>
          </w:p>
        </w:tc>
        <w:tc>
          <w:tcPr>
            <w:tcW w:w="2345" w:type="dxa"/>
            <w:hideMark/>
          </w:tcPr>
          <w:p w:rsidR="00F52FF9" w:rsidRPr="00655F80" w:rsidRDefault="00F52FF9" w:rsidP="00F52FF9">
            <w:pPr>
              <w:rPr>
                <w:b/>
                <w:bCs/>
              </w:rPr>
            </w:pPr>
            <w:r w:rsidRPr="00655F80">
              <w:rPr>
                <w:b/>
                <w:bCs/>
              </w:rPr>
              <w:t>Output</w:t>
            </w:r>
          </w:p>
        </w:tc>
        <w:tc>
          <w:tcPr>
            <w:tcW w:w="3767" w:type="dxa"/>
            <w:hideMark/>
          </w:tcPr>
          <w:p w:rsidR="00F52FF9" w:rsidRPr="00655F80" w:rsidRDefault="00F52FF9" w:rsidP="00F52FF9">
            <w:pPr>
              <w:rPr>
                <w:b/>
                <w:bCs/>
              </w:rPr>
            </w:pPr>
            <w:r w:rsidRPr="00655F80">
              <w:rPr>
                <w:b/>
                <w:bCs/>
              </w:rPr>
              <w:t>Scopo</w:t>
            </w:r>
          </w:p>
        </w:tc>
        <w:tc>
          <w:tcPr>
            <w:tcW w:w="4756" w:type="dxa"/>
            <w:hideMark/>
          </w:tcPr>
          <w:p w:rsidR="00F52FF9" w:rsidRPr="00655F80" w:rsidRDefault="00F52FF9" w:rsidP="00F52FF9">
            <w:pPr>
              <w:rPr>
                <w:b/>
                <w:bCs/>
              </w:rPr>
            </w:pPr>
            <w:r>
              <w:rPr>
                <w:b/>
                <w:bCs/>
              </w:rPr>
              <w:t>CALABRIA</w:t>
            </w:r>
          </w:p>
        </w:tc>
      </w:tr>
      <w:tr w:rsidR="00F52FF9" w:rsidRPr="00655F80" w:rsidTr="00F52FF9">
        <w:trPr>
          <w:trHeight w:val="870"/>
        </w:trPr>
        <w:tc>
          <w:tcPr>
            <w:tcW w:w="2184" w:type="dxa"/>
            <w:hideMark/>
          </w:tcPr>
          <w:p w:rsidR="00F52FF9" w:rsidRPr="00655F80" w:rsidRDefault="00F52FF9" w:rsidP="00F52FF9">
            <w:r w:rsidRPr="00655F80">
              <w:t xml:space="preserve">Legislazione per creazione soggetto tecnico </w:t>
            </w:r>
          </w:p>
        </w:tc>
        <w:tc>
          <w:tcPr>
            <w:tcW w:w="1451" w:type="dxa"/>
            <w:noWrap/>
            <w:hideMark/>
          </w:tcPr>
          <w:p w:rsidR="00F52FF9" w:rsidRPr="00655F80" w:rsidRDefault="00F52FF9" w:rsidP="00F52FF9">
            <w:r w:rsidRPr="00655F80">
              <w:t>Regione</w:t>
            </w:r>
          </w:p>
        </w:tc>
        <w:tc>
          <w:tcPr>
            <w:tcW w:w="2345" w:type="dxa"/>
            <w:hideMark/>
          </w:tcPr>
          <w:p w:rsidR="00F52FF9" w:rsidRPr="00655F80" w:rsidRDefault="00F52FF9" w:rsidP="00F52FF9">
            <w:r w:rsidRPr="00655F80">
              <w:t>Atti formativi società partecipata tecnica di supporto</w:t>
            </w:r>
          </w:p>
        </w:tc>
        <w:tc>
          <w:tcPr>
            <w:tcW w:w="3767" w:type="dxa"/>
            <w:hideMark/>
          </w:tcPr>
          <w:p w:rsidR="00F52FF9" w:rsidRPr="00655F80" w:rsidRDefault="00F52FF9" w:rsidP="00F52FF9">
            <w:r w:rsidRPr="00655F80">
              <w:t>Individuare soggetto tecnico in grado di coordinare le attività di progetto a livello regionale</w:t>
            </w:r>
          </w:p>
        </w:tc>
        <w:tc>
          <w:tcPr>
            <w:tcW w:w="4756" w:type="dxa"/>
          </w:tcPr>
          <w:p w:rsidR="00F52FF9" w:rsidRPr="00C14838" w:rsidRDefault="00F52FF9" w:rsidP="00F52FF9">
            <w:pPr>
              <w:jc w:val="both"/>
            </w:pPr>
            <w:r w:rsidRPr="00C14838">
              <w:t>La Regione deve verificare se la convenzione con l’università della Calabria (che ha portato alla costituzione del sistema AVL e del Core) può essere rinnovata e se può coprire tutte le attività previste dal Kit a carico del soggetto tecnico:</w:t>
            </w:r>
          </w:p>
          <w:p w:rsidR="00F52FF9" w:rsidRPr="00C14838" w:rsidRDefault="00F52FF9" w:rsidP="00F52FF9">
            <w:pPr>
              <w:pStyle w:val="Paragrafoelenco"/>
              <w:numPr>
                <w:ilvl w:val="0"/>
                <w:numId w:val="34"/>
              </w:numPr>
              <w:contextualSpacing/>
              <w:jc w:val="both"/>
              <w:rPr>
                <w:rFonts w:cstheme="minorBidi"/>
              </w:rPr>
            </w:pPr>
            <w:r w:rsidRPr="00C14838">
              <w:rPr>
                <w:rFonts w:cstheme="minorBidi"/>
              </w:rPr>
              <w:t>Qualificazione fornitori</w:t>
            </w:r>
          </w:p>
          <w:p w:rsidR="00F52FF9" w:rsidRPr="00C14838" w:rsidRDefault="00F52FF9" w:rsidP="00F52FF9">
            <w:pPr>
              <w:pStyle w:val="Paragrafoelenco"/>
              <w:numPr>
                <w:ilvl w:val="0"/>
                <w:numId w:val="34"/>
              </w:numPr>
              <w:contextualSpacing/>
              <w:jc w:val="both"/>
              <w:rPr>
                <w:rFonts w:cstheme="minorBidi"/>
              </w:rPr>
            </w:pPr>
            <w:r w:rsidRPr="00C14838">
              <w:rPr>
                <w:rFonts w:cstheme="minorBidi"/>
              </w:rPr>
              <w:t>Soluzione preesistenze</w:t>
            </w:r>
          </w:p>
          <w:p w:rsidR="00F52FF9" w:rsidRPr="00C14838" w:rsidRDefault="00F52FF9" w:rsidP="00F52FF9">
            <w:pPr>
              <w:pStyle w:val="Paragrafoelenco"/>
              <w:numPr>
                <w:ilvl w:val="0"/>
                <w:numId w:val="34"/>
              </w:numPr>
              <w:contextualSpacing/>
              <w:jc w:val="both"/>
              <w:rPr>
                <w:rFonts w:cstheme="minorBidi"/>
              </w:rPr>
            </w:pPr>
            <w:r w:rsidRPr="00C14838">
              <w:rPr>
                <w:rFonts w:cstheme="minorBidi"/>
              </w:rPr>
              <w:t>Capitolati</w:t>
            </w:r>
          </w:p>
          <w:p w:rsidR="00F52FF9" w:rsidRPr="00C14838" w:rsidRDefault="00F52FF9" w:rsidP="00F52FF9">
            <w:pPr>
              <w:pStyle w:val="Paragrafoelenco"/>
              <w:numPr>
                <w:ilvl w:val="0"/>
                <w:numId w:val="34"/>
              </w:numPr>
              <w:contextualSpacing/>
              <w:jc w:val="both"/>
              <w:rPr>
                <w:rFonts w:cstheme="minorBidi"/>
              </w:rPr>
            </w:pPr>
            <w:r w:rsidRPr="00C14838">
              <w:rPr>
                <w:rFonts w:cstheme="minorBidi"/>
              </w:rPr>
              <w:t>Collaudi</w:t>
            </w:r>
          </w:p>
          <w:p w:rsidR="00F52FF9" w:rsidRPr="00C14838" w:rsidRDefault="00F52FF9" w:rsidP="00F52FF9"/>
        </w:tc>
      </w:tr>
      <w:tr w:rsidR="00F52FF9" w:rsidRPr="00655F80" w:rsidTr="00F52FF9">
        <w:trPr>
          <w:trHeight w:val="870"/>
        </w:trPr>
        <w:tc>
          <w:tcPr>
            <w:tcW w:w="2184" w:type="dxa"/>
            <w:hideMark/>
          </w:tcPr>
          <w:p w:rsidR="00F52FF9" w:rsidRPr="00655F80" w:rsidRDefault="00F52FF9" w:rsidP="00F52FF9">
            <w:r w:rsidRPr="00655F80">
              <w:t>Legislazione per definizione budget progetto</w:t>
            </w:r>
          </w:p>
        </w:tc>
        <w:tc>
          <w:tcPr>
            <w:tcW w:w="1451" w:type="dxa"/>
            <w:noWrap/>
            <w:hideMark/>
          </w:tcPr>
          <w:p w:rsidR="00F52FF9" w:rsidRPr="00655F80" w:rsidRDefault="00F52FF9" w:rsidP="00F52FF9">
            <w:r w:rsidRPr="00655F80">
              <w:t>Regione</w:t>
            </w:r>
          </w:p>
        </w:tc>
        <w:tc>
          <w:tcPr>
            <w:tcW w:w="2345" w:type="dxa"/>
            <w:hideMark/>
          </w:tcPr>
          <w:p w:rsidR="00F52FF9" w:rsidRPr="00655F80" w:rsidRDefault="00F52FF9" w:rsidP="00F52FF9">
            <w:r w:rsidRPr="00655F80">
              <w:t>Accantonamento fondi</w:t>
            </w:r>
          </w:p>
        </w:tc>
        <w:tc>
          <w:tcPr>
            <w:tcW w:w="3767" w:type="dxa"/>
            <w:hideMark/>
          </w:tcPr>
          <w:p w:rsidR="00F52FF9" w:rsidRPr="00655F80" w:rsidRDefault="00F52FF9" w:rsidP="00F52FF9">
            <w:r w:rsidRPr="00655F80">
              <w:t>Consentire l'avvio del progetto</w:t>
            </w:r>
          </w:p>
        </w:tc>
        <w:tc>
          <w:tcPr>
            <w:tcW w:w="4756" w:type="dxa"/>
          </w:tcPr>
          <w:p w:rsidR="00F52FF9" w:rsidRPr="00C14838" w:rsidRDefault="00F52FF9" w:rsidP="00F52FF9">
            <w:r w:rsidRPr="00C14838">
              <w:t>Occorre una legge / provvedimento di finanziamento del progetto definendo il livello del cofinanziamento di parte aziendale.</w:t>
            </w:r>
          </w:p>
          <w:p w:rsidR="00F52FF9" w:rsidRPr="00C14838" w:rsidRDefault="00F52FF9" w:rsidP="00F52FF9">
            <w:r w:rsidRPr="00C14838">
              <w:t>I documenti della gara di affidamento dei servizi (</w:t>
            </w:r>
            <w:proofErr w:type="spellStart"/>
            <w:r w:rsidRPr="00C14838">
              <w:t>ArtCAL</w:t>
            </w:r>
            <w:proofErr w:type="spellEnd"/>
            <w:r w:rsidRPr="00C14838">
              <w:t xml:space="preserve">) possono prevedere spazi per investimenti finalizzati (vedi modello gara bacino unico Toscana) </w:t>
            </w:r>
          </w:p>
          <w:p w:rsidR="00F52FF9" w:rsidRPr="00C14838" w:rsidRDefault="00F52FF9" w:rsidP="00F52FF9"/>
        </w:tc>
      </w:tr>
      <w:tr w:rsidR="00F52FF9" w:rsidRPr="00655F80" w:rsidTr="00F52FF9">
        <w:trPr>
          <w:trHeight w:val="870"/>
        </w:trPr>
        <w:tc>
          <w:tcPr>
            <w:tcW w:w="2184" w:type="dxa"/>
            <w:hideMark/>
          </w:tcPr>
          <w:p w:rsidR="00F52FF9" w:rsidRPr="00655F80" w:rsidRDefault="00F52FF9" w:rsidP="00F52FF9">
            <w:r w:rsidRPr="00655F80">
              <w:t>Definizione legislativa coinvolgimento aziende TPL</w:t>
            </w:r>
          </w:p>
        </w:tc>
        <w:tc>
          <w:tcPr>
            <w:tcW w:w="1451" w:type="dxa"/>
            <w:noWrap/>
            <w:hideMark/>
          </w:tcPr>
          <w:p w:rsidR="00F52FF9" w:rsidRPr="00655F80" w:rsidRDefault="00F52FF9" w:rsidP="00F52FF9">
            <w:r w:rsidRPr="00655F80">
              <w:t>Regione</w:t>
            </w:r>
          </w:p>
        </w:tc>
        <w:tc>
          <w:tcPr>
            <w:tcW w:w="2345" w:type="dxa"/>
            <w:hideMark/>
          </w:tcPr>
          <w:p w:rsidR="00F52FF9" w:rsidRPr="00655F80" w:rsidRDefault="00F52FF9" w:rsidP="00F52FF9">
            <w:r w:rsidRPr="00655F80">
              <w:t>Atti formali che rendono cogente per società TPL adesione al programma</w:t>
            </w:r>
          </w:p>
        </w:tc>
        <w:tc>
          <w:tcPr>
            <w:tcW w:w="3767" w:type="dxa"/>
            <w:hideMark/>
          </w:tcPr>
          <w:p w:rsidR="00F52FF9" w:rsidRPr="00655F80" w:rsidRDefault="00F52FF9" w:rsidP="00F52FF9">
            <w:r w:rsidRPr="00655F80">
              <w:t xml:space="preserve">Creare il giusto </w:t>
            </w:r>
            <w:proofErr w:type="spellStart"/>
            <w:r w:rsidRPr="00655F80">
              <w:t>committment</w:t>
            </w:r>
            <w:proofErr w:type="spellEnd"/>
            <w:r w:rsidRPr="00655F80">
              <w:t xml:space="preserve"> nelle aziende di TPL</w:t>
            </w:r>
          </w:p>
        </w:tc>
        <w:tc>
          <w:tcPr>
            <w:tcW w:w="4756" w:type="dxa"/>
          </w:tcPr>
          <w:p w:rsidR="00F52FF9" w:rsidRPr="00C14838" w:rsidRDefault="00F52FF9" w:rsidP="00F52FF9">
            <w:r w:rsidRPr="00C14838">
              <w:t xml:space="preserve">Occorre una nuova formulazione delle delibere che definisca gli obblighi contrattuali delle aziende per   definire il formato dati per la rappresentazione dell’esercizio programmato e del tempo reale, conformi alle specifiche contenute nel KIT </w:t>
            </w:r>
          </w:p>
          <w:p w:rsidR="00F52FF9" w:rsidRPr="00C14838" w:rsidRDefault="00F52FF9" w:rsidP="00F52FF9"/>
        </w:tc>
      </w:tr>
      <w:tr w:rsidR="00F52FF9" w:rsidRPr="00655F80" w:rsidTr="00F52FF9">
        <w:trPr>
          <w:trHeight w:val="857"/>
        </w:trPr>
        <w:tc>
          <w:tcPr>
            <w:tcW w:w="2184" w:type="dxa"/>
            <w:hideMark/>
          </w:tcPr>
          <w:p w:rsidR="00F52FF9" w:rsidRPr="00655F80" w:rsidRDefault="00F52FF9" w:rsidP="00F52FF9">
            <w:r w:rsidRPr="00655F80">
              <w:t xml:space="preserve">(Eventuale) Creazione consorzi tra aziende </w:t>
            </w:r>
          </w:p>
        </w:tc>
        <w:tc>
          <w:tcPr>
            <w:tcW w:w="1451" w:type="dxa"/>
            <w:noWrap/>
            <w:hideMark/>
          </w:tcPr>
          <w:p w:rsidR="00F52FF9" w:rsidRPr="00655F80" w:rsidRDefault="00F52FF9" w:rsidP="00F52FF9">
            <w:r w:rsidRPr="00655F80">
              <w:t xml:space="preserve">Aziende </w:t>
            </w:r>
          </w:p>
        </w:tc>
        <w:tc>
          <w:tcPr>
            <w:tcW w:w="2345" w:type="dxa"/>
            <w:hideMark/>
          </w:tcPr>
          <w:p w:rsidR="00F52FF9" w:rsidRPr="00655F80" w:rsidRDefault="00F52FF9" w:rsidP="00F52FF9">
            <w:r w:rsidRPr="00655F80">
              <w:t xml:space="preserve">(Eventuali)Consorzi TPL </w:t>
            </w:r>
          </w:p>
        </w:tc>
        <w:tc>
          <w:tcPr>
            <w:tcW w:w="3767" w:type="dxa"/>
            <w:hideMark/>
          </w:tcPr>
          <w:p w:rsidR="00F52FF9" w:rsidRPr="00655F80" w:rsidRDefault="00F52FF9" w:rsidP="00F52FF9">
            <w:r w:rsidRPr="00655F80">
              <w:t xml:space="preserve">Ottimizzare l'impegno economico necessario </w:t>
            </w:r>
          </w:p>
        </w:tc>
        <w:tc>
          <w:tcPr>
            <w:tcW w:w="4756" w:type="dxa"/>
          </w:tcPr>
          <w:p w:rsidR="00F52FF9" w:rsidRPr="00C14838" w:rsidRDefault="00F52FF9" w:rsidP="00F52FF9">
            <w:r w:rsidRPr="00C14838">
              <w:t>I consorzi sono già costituiti, operativi e rappresentano una realtà consolidata. Eventuale nuovo provvedimento legislativo può stimolare una maggior omogeneità dimensionale ed organizzativa (es. promuovendo maggiori responsabilità di coordinamento alle imprese leader dei consorzi)</w:t>
            </w:r>
          </w:p>
        </w:tc>
      </w:tr>
      <w:tr w:rsidR="00F52FF9" w:rsidRPr="00655F80" w:rsidTr="00F52FF9">
        <w:trPr>
          <w:trHeight w:val="1160"/>
        </w:trPr>
        <w:tc>
          <w:tcPr>
            <w:tcW w:w="2184" w:type="dxa"/>
            <w:hideMark/>
          </w:tcPr>
          <w:p w:rsidR="00F52FF9" w:rsidRPr="00655F80" w:rsidRDefault="00F52FF9" w:rsidP="00F52FF9">
            <w:r w:rsidRPr="00655F80">
              <w:lastRenderedPageBreak/>
              <w:t>Studio situazione esistente</w:t>
            </w:r>
          </w:p>
        </w:tc>
        <w:tc>
          <w:tcPr>
            <w:tcW w:w="1451" w:type="dxa"/>
            <w:hideMark/>
          </w:tcPr>
          <w:p w:rsidR="00F52FF9" w:rsidRPr="00655F80" w:rsidRDefault="00F52FF9" w:rsidP="00F52FF9">
            <w:r w:rsidRPr="00655F80">
              <w:t>Soggetto Tecnico</w:t>
            </w:r>
          </w:p>
        </w:tc>
        <w:tc>
          <w:tcPr>
            <w:tcW w:w="2345" w:type="dxa"/>
            <w:hideMark/>
          </w:tcPr>
          <w:p w:rsidR="00F52FF9" w:rsidRPr="00655F80" w:rsidRDefault="00F52FF9" w:rsidP="00F52FF9">
            <w:r w:rsidRPr="00655F80">
              <w:t>Materiale per capitolati tecnici del livello aziendale e centrale</w:t>
            </w:r>
          </w:p>
        </w:tc>
        <w:tc>
          <w:tcPr>
            <w:tcW w:w="3767" w:type="dxa"/>
            <w:hideMark/>
          </w:tcPr>
          <w:p w:rsidR="00F52FF9" w:rsidRPr="00655F80" w:rsidRDefault="00F52FF9" w:rsidP="00F52FF9">
            <w:r>
              <w:t>F</w:t>
            </w:r>
            <w:r w:rsidRPr="00655F80">
              <w:t>ondamentale per definire i miglioramenti necessari per l'implementazione di un nuovo sistema.</w:t>
            </w:r>
          </w:p>
        </w:tc>
        <w:tc>
          <w:tcPr>
            <w:tcW w:w="4756" w:type="dxa"/>
            <w:shd w:val="clear" w:color="auto" w:fill="auto"/>
          </w:tcPr>
          <w:p w:rsidR="00F52FF9" w:rsidRPr="00C14838" w:rsidRDefault="00F52FF9" w:rsidP="00F52FF9">
            <w:r w:rsidRPr="00C14838">
              <w:t xml:space="preserve">Occorre definire un budget consistente per lo studio. Come già segnalato la realtà degli AVL attuali sembra obsoleta </w:t>
            </w:r>
          </w:p>
          <w:p w:rsidR="00F52FF9" w:rsidRPr="00C14838" w:rsidRDefault="00F52FF9" w:rsidP="00F52FF9">
            <w:r w:rsidRPr="00C14838">
              <w:t xml:space="preserve">Le realizzazioni aziendali di monetica presso le aziende sono assenti </w:t>
            </w:r>
          </w:p>
        </w:tc>
      </w:tr>
      <w:tr w:rsidR="00F52FF9" w:rsidRPr="00655F80" w:rsidTr="00F52FF9">
        <w:trPr>
          <w:trHeight w:val="1160"/>
        </w:trPr>
        <w:tc>
          <w:tcPr>
            <w:tcW w:w="2184" w:type="dxa"/>
            <w:hideMark/>
          </w:tcPr>
          <w:p w:rsidR="00F52FF9" w:rsidRPr="00655F80" w:rsidRDefault="00F52FF9" w:rsidP="00F52FF9">
            <w:proofErr w:type="spellStart"/>
            <w:r w:rsidRPr="00655F80">
              <w:t>Scouting</w:t>
            </w:r>
            <w:proofErr w:type="spellEnd"/>
            <w:r w:rsidRPr="00655F80">
              <w:t xml:space="preserve"> tecnologico e individuazione delle tecnologie condivise da adottare</w:t>
            </w:r>
          </w:p>
        </w:tc>
        <w:tc>
          <w:tcPr>
            <w:tcW w:w="1451" w:type="dxa"/>
            <w:hideMark/>
          </w:tcPr>
          <w:p w:rsidR="00F52FF9" w:rsidRPr="00655F80" w:rsidRDefault="00F52FF9" w:rsidP="00F52FF9">
            <w:r w:rsidRPr="00655F80">
              <w:t>Soggetto Tecnico</w:t>
            </w:r>
          </w:p>
        </w:tc>
        <w:tc>
          <w:tcPr>
            <w:tcW w:w="2345" w:type="dxa"/>
            <w:hideMark/>
          </w:tcPr>
          <w:p w:rsidR="00F52FF9" w:rsidRPr="00655F80" w:rsidRDefault="00F52FF9" w:rsidP="00F52FF9">
            <w:r w:rsidRPr="00655F80">
              <w:t>Materiale per capitolati tecnici del livello aziendale e centrale</w:t>
            </w:r>
          </w:p>
        </w:tc>
        <w:tc>
          <w:tcPr>
            <w:tcW w:w="3767" w:type="dxa"/>
            <w:hideMark/>
          </w:tcPr>
          <w:p w:rsidR="00F52FF9" w:rsidRPr="00655F80" w:rsidRDefault="00F52FF9" w:rsidP="00F52FF9">
            <w:r w:rsidRPr="00655F80">
              <w:t>Alcune scelte tecnologiche devono essere condivise a livello regionale, è quindi fondamentale che tali scelte vengano effet</w:t>
            </w:r>
            <w:r w:rsidR="00831894">
              <w:t>t</w:t>
            </w:r>
            <w:r w:rsidRPr="00655F80">
              <w:t>uate da un soggetto indipendente</w:t>
            </w:r>
          </w:p>
        </w:tc>
        <w:tc>
          <w:tcPr>
            <w:tcW w:w="4756" w:type="dxa"/>
          </w:tcPr>
          <w:p w:rsidR="00F52FF9" w:rsidRPr="00C14838" w:rsidRDefault="00F52FF9" w:rsidP="00F52FF9">
            <w:r w:rsidRPr="00C14838">
              <w:t>Da effettuare da Regione e soggetto tecnico prima della gara anche come integrazione tecnologica del Programma Pluriennale dei servizi di TPL</w:t>
            </w:r>
          </w:p>
        </w:tc>
      </w:tr>
      <w:tr w:rsidR="00F52FF9" w:rsidRPr="00655F80" w:rsidTr="00F52FF9">
        <w:trPr>
          <w:trHeight w:val="1160"/>
        </w:trPr>
        <w:tc>
          <w:tcPr>
            <w:tcW w:w="2184" w:type="dxa"/>
            <w:hideMark/>
          </w:tcPr>
          <w:p w:rsidR="00F52FF9" w:rsidRPr="00655F80" w:rsidRDefault="00F52FF9" w:rsidP="00F52FF9">
            <w:r w:rsidRPr="00655F80">
              <w:t>Progettazione esecutiva sistema di centro regionale (CSR)</w:t>
            </w:r>
          </w:p>
        </w:tc>
        <w:tc>
          <w:tcPr>
            <w:tcW w:w="1451" w:type="dxa"/>
            <w:hideMark/>
          </w:tcPr>
          <w:p w:rsidR="00F52FF9" w:rsidRPr="00655F80" w:rsidRDefault="00F52FF9" w:rsidP="00F52FF9">
            <w:r w:rsidRPr="00655F80">
              <w:t>Soggetto Tecnico</w:t>
            </w:r>
          </w:p>
        </w:tc>
        <w:tc>
          <w:tcPr>
            <w:tcW w:w="2345" w:type="dxa"/>
            <w:hideMark/>
          </w:tcPr>
          <w:p w:rsidR="00F52FF9" w:rsidRPr="00655F80" w:rsidRDefault="00F52FF9" w:rsidP="00F52FF9">
            <w:r w:rsidRPr="00655F80">
              <w:t>Documento di progettazione/capitolato tecnico</w:t>
            </w:r>
          </w:p>
        </w:tc>
        <w:tc>
          <w:tcPr>
            <w:tcW w:w="3767" w:type="dxa"/>
            <w:hideMark/>
          </w:tcPr>
          <w:p w:rsidR="00F52FF9" w:rsidRPr="00655F80" w:rsidRDefault="00F52FF9" w:rsidP="00F52FF9">
            <w:r w:rsidRPr="00655F80">
              <w:t>Descrivere in dettaglio le implementazioni necessarie, al fine di consentire l'avvio degli sviluppi, o l'esecuzione di una gara d'appalto</w:t>
            </w:r>
          </w:p>
        </w:tc>
        <w:tc>
          <w:tcPr>
            <w:tcW w:w="4756" w:type="dxa"/>
          </w:tcPr>
          <w:p w:rsidR="00F52FF9" w:rsidRPr="00C14838" w:rsidRDefault="00F52FF9" w:rsidP="00F52FF9">
            <w:r w:rsidRPr="00C14838">
              <w:t>Il Soggetto tecnico svilupperà il progetto, predisponendo tutte le specifiche tecniche del sistema</w:t>
            </w:r>
          </w:p>
        </w:tc>
      </w:tr>
      <w:tr w:rsidR="00F52FF9" w:rsidRPr="00655F80" w:rsidTr="00F52FF9">
        <w:trPr>
          <w:trHeight w:val="1740"/>
        </w:trPr>
        <w:tc>
          <w:tcPr>
            <w:tcW w:w="2184" w:type="dxa"/>
            <w:hideMark/>
          </w:tcPr>
          <w:p w:rsidR="00F52FF9" w:rsidRPr="00655F80" w:rsidRDefault="00F52FF9" w:rsidP="00F52FF9">
            <w:r w:rsidRPr="00655F80">
              <w:t xml:space="preserve">Stesura capitolati tecnici delle aziende </w:t>
            </w:r>
          </w:p>
        </w:tc>
        <w:tc>
          <w:tcPr>
            <w:tcW w:w="1451" w:type="dxa"/>
            <w:hideMark/>
          </w:tcPr>
          <w:p w:rsidR="00F52FF9" w:rsidRPr="00655F80" w:rsidRDefault="00F52FF9" w:rsidP="00F52FF9">
            <w:r w:rsidRPr="00655F80">
              <w:t>Aziende di TPL, Soggetto Tecnico</w:t>
            </w:r>
          </w:p>
        </w:tc>
        <w:tc>
          <w:tcPr>
            <w:tcW w:w="2345" w:type="dxa"/>
            <w:hideMark/>
          </w:tcPr>
          <w:p w:rsidR="00F52FF9" w:rsidRDefault="00F52FF9" w:rsidP="00F52FF9">
            <w:r w:rsidRPr="00655F80">
              <w:t>Capitolato tecnico</w:t>
            </w:r>
            <w:r>
              <w:t>:</w:t>
            </w:r>
            <w:r w:rsidRPr="00655F80">
              <w:t xml:space="preserve"> </w:t>
            </w:r>
            <w:r w:rsidRPr="00655F80">
              <w:br/>
              <w:t>- sistema di ce</w:t>
            </w:r>
            <w:r>
              <w:t>ntro</w:t>
            </w:r>
            <w:r>
              <w:br/>
              <w:t xml:space="preserve">- protocollo scambio dati </w:t>
            </w:r>
          </w:p>
          <w:p w:rsidR="00F52FF9" w:rsidRDefault="00F52FF9" w:rsidP="00F52FF9">
            <w:r w:rsidRPr="00655F80">
              <w:t xml:space="preserve">- architettura a bordo veicolo </w:t>
            </w:r>
          </w:p>
          <w:p w:rsidR="00F52FF9" w:rsidRPr="00655F80" w:rsidRDefault="00F52FF9" w:rsidP="00F52FF9">
            <w:r w:rsidRPr="00655F80">
              <w:t>- sistemi TPL e SBE</w:t>
            </w:r>
          </w:p>
        </w:tc>
        <w:tc>
          <w:tcPr>
            <w:tcW w:w="3767" w:type="dxa"/>
            <w:hideMark/>
          </w:tcPr>
          <w:p w:rsidR="00F52FF9" w:rsidRPr="00655F80" w:rsidRDefault="00F52FF9" w:rsidP="00F52FF9">
            <w:r w:rsidRPr="00655F80">
              <w:t>La stesura dei capitolati tecnici è fondamentale affinché le gare, svolte in totale indipendenza dalle aziende di TPL, consentano l'implementazione di un sistema interoperabile</w:t>
            </w:r>
          </w:p>
        </w:tc>
        <w:tc>
          <w:tcPr>
            <w:tcW w:w="4756" w:type="dxa"/>
          </w:tcPr>
          <w:p w:rsidR="00F52FF9" w:rsidRPr="00C14838" w:rsidRDefault="00F52FF9" w:rsidP="00F52FF9">
            <w:r>
              <w:t xml:space="preserve">Se gara unica regionale, </w:t>
            </w:r>
            <w:r w:rsidRPr="00C14838">
              <w:t xml:space="preserve">il Soggetto tecnico svilupperà </w:t>
            </w:r>
            <w:r>
              <w:t xml:space="preserve">integralmente </w:t>
            </w:r>
            <w:r w:rsidRPr="00C14838">
              <w:t xml:space="preserve">il progetto, predisponendo </w:t>
            </w:r>
            <w:r>
              <w:t xml:space="preserve">anche </w:t>
            </w:r>
            <w:r w:rsidRPr="00C14838">
              <w:t>tutte le specifiche tecniche del sistema</w:t>
            </w:r>
            <w:r>
              <w:t xml:space="preserve">; se gara per singoli consorzi, il Soggetto tecnico dovrà predisporre (almeno) le specifiche necessarie a garantire interoperabilità dei sistemi. </w:t>
            </w:r>
          </w:p>
        </w:tc>
      </w:tr>
      <w:tr w:rsidR="00F52FF9" w:rsidRPr="00655F80" w:rsidTr="00F52FF9">
        <w:trPr>
          <w:trHeight w:val="1821"/>
        </w:trPr>
        <w:tc>
          <w:tcPr>
            <w:tcW w:w="2184" w:type="dxa"/>
            <w:hideMark/>
          </w:tcPr>
          <w:p w:rsidR="00F52FF9" w:rsidRPr="00655F80" w:rsidRDefault="00F52FF9" w:rsidP="00F52FF9">
            <w:r w:rsidRPr="00655F80">
              <w:t>Collaud</w:t>
            </w:r>
            <w:r>
              <w:t>o sistema di centro regionale (</w:t>
            </w:r>
            <w:r w:rsidRPr="00655F80">
              <w:t>CSR)</w:t>
            </w:r>
          </w:p>
        </w:tc>
        <w:tc>
          <w:tcPr>
            <w:tcW w:w="1451" w:type="dxa"/>
            <w:hideMark/>
          </w:tcPr>
          <w:p w:rsidR="00F52FF9" w:rsidRPr="00655F80" w:rsidRDefault="00F52FF9" w:rsidP="00F52FF9">
            <w:r w:rsidRPr="00655F80">
              <w:t>Soggetto Tecnico</w:t>
            </w:r>
          </w:p>
        </w:tc>
        <w:tc>
          <w:tcPr>
            <w:tcW w:w="2345" w:type="dxa"/>
            <w:hideMark/>
          </w:tcPr>
          <w:p w:rsidR="00F52FF9" w:rsidRPr="00655F80" w:rsidRDefault="00F52FF9" w:rsidP="00F52FF9">
            <w:r w:rsidRPr="00655F80">
              <w:t>Collaudo formale del sistema</w:t>
            </w:r>
          </w:p>
        </w:tc>
        <w:tc>
          <w:tcPr>
            <w:tcW w:w="3767" w:type="dxa"/>
            <w:hideMark/>
          </w:tcPr>
          <w:p w:rsidR="00F52FF9" w:rsidRPr="00655F80" w:rsidRDefault="00F52FF9" w:rsidP="00F52FF9">
            <w:r w:rsidRPr="00655F80">
              <w:t>Il collaudo del sistema di centro CSR sancisce l'avvio delle attività di raccolta dei dati a livello regionale. Grazie ai dati raccolti è possibile costruire nuovi servizi/sistemi</w:t>
            </w:r>
          </w:p>
        </w:tc>
        <w:tc>
          <w:tcPr>
            <w:tcW w:w="4756" w:type="dxa"/>
          </w:tcPr>
          <w:p w:rsidR="00F52FF9" w:rsidRPr="00747781" w:rsidRDefault="00F52FF9" w:rsidP="00F52FF9">
            <w:r w:rsidRPr="00747781">
              <w:t>I sistemi centrali (CSR e CCA) saranno allocati presso il Data Center del soggetto tecnico; il collaudo sarà eseguito in contraddittorio (Committente - Fornitore) sulla scorta di tutta la documentazione tecnico/illustrativa depositata in sede di gara, del Capitolato Tecnico Giuridico di Base e del progetto esecutivo.</w:t>
            </w:r>
          </w:p>
        </w:tc>
      </w:tr>
      <w:tr w:rsidR="00F52FF9" w:rsidRPr="00655F80" w:rsidTr="00F52FF9">
        <w:trPr>
          <w:trHeight w:val="2030"/>
        </w:trPr>
        <w:tc>
          <w:tcPr>
            <w:tcW w:w="2184" w:type="dxa"/>
            <w:hideMark/>
          </w:tcPr>
          <w:p w:rsidR="00F52FF9" w:rsidRPr="00655F80" w:rsidRDefault="00F52FF9" w:rsidP="00F52FF9">
            <w:r w:rsidRPr="00655F80">
              <w:lastRenderedPageBreak/>
              <w:t>Produzione documentazione tecnica di supporto</w:t>
            </w:r>
          </w:p>
        </w:tc>
        <w:tc>
          <w:tcPr>
            <w:tcW w:w="1451" w:type="dxa"/>
            <w:hideMark/>
          </w:tcPr>
          <w:p w:rsidR="00F52FF9" w:rsidRPr="00655F80" w:rsidRDefault="00F52FF9" w:rsidP="00F52FF9">
            <w:r w:rsidRPr="00655F80">
              <w:t>Soggetto Tecnico</w:t>
            </w:r>
          </w:p>
        </w:tc>
        <w:tc>
          <w:tcPr>
            <w:tcW w:w="2345" w:type="dxa"/>
            <w:hideMark/>
          </w:tcPr>
          <w:p w:rsidR="00F52FF9" w:rsidRPr="00655F80" w:rsidRDefault="00F52FF9" w:rsidP="00F52FF9">
            <w:r w:rsidRPr="00655F80">
              <w:t>Documenti tecnici</w:t>
            </w:r>
          </w:p>
        </w:tc>
        <w:tc>
          <w:tcPr>
            <w:tcW w:w="3767" w:type="dxa"/>
            <w:hideMark/>
          </w:tcPr>
          <w:p w:rsidR="00F52FF9" w:rsidRPr="00655F80" w:rsidRDefault="00F52FF9" w:rsidP="00F52FF9">
            <w:r w:rsidRPr="00655F80">
              <w:t xml:space="preserve">Un'idonea documentazione tecnica, prodotta e diffusa da un soggetto terzo, agevola il corretto dispiegamento del sistema, consente di gestire conflitti sull'utilizzo di codici relativi a TPL o </w:t>
            </w:r>
            <w:proofErr w:type="spellStart"/>
            <w:r w:rsidRPr="00655F80">
              <w:t>tiketing</w:t>
            </w:r>
            <w:proofErr w:type="spellEnd"/>
            <w:r w:rsidRPr="00655F80">
              <w:t xml:space="preserve"> e favorisce l'interoperabilità tra le aziende di TPL a livello regionale.</w:t>
            </w:r>
          </w:p>
        </w:tc>
        <w:tc>
          <w:tcPr>
            <w:tcW w:w="4756" w:type="dxa"/>
          </w:tcPr>
          <w:p w:rsidR="00F52FF9" w:rsidRPr="00747781" w:rsidRDefault="00F52FF9" w:rsidP="00F52FF9">
            <w:r w:rsidRPr="00747781">
              <w:t>Se gara unica regionale, il Soggetto tecnico produrrà tutta la documentazione dalla definizione del Capitolato Tecnico Giuridico di Base all’approvvigionamento delle forniture hardware e software mediante gara europea.</w:t>
            </w:r>
          </w:p>
          <w:p w:rsidR="00F52FF9" w:rsidRPr="00747781" w:rsidRDefault="00F52FF9" w:rsidP="00F52FF9">
            <w:r w:rsidRPr="00747781">
              <w:t>Se gara per bacino/consorzio, il Soggetto tecnico produrrà le specifiche minime per garantire unicità codifiche e interoperabilità sistemi</w:t>
            </w:r>
          </w:p>
        </w:tc>
      </w:tr>
      <w:tr w:rsidR="00F52FF9" w:rsidRPr="00655F80" w:rsidTr="00F52FF9">
        <w:trPr>
          <w:trHeight w:val="1450"/>
        </w:trPr>
        <w:tc>
          <w:tcPr>
            <w:tcW w:w="2184" w:type="dxa"/>
            <w:hideMark/>
          </w:tcPr>
          <w:p w:rsidR="00F52FF9" w:rsidRPr="00655F80" w:rsidRDefault="00F52FF9" w:rsidP="00F52FF9">
            <w:r w:rsidRPr="00655F80">
              <w:t xml:space="preserve">Creazione albo fornitori </w:t>
            </w:r>
            <w:proofErr w:type="spellStart"/>
            <w:r w:rsidRPr="00655F80">
              <w:t>smartcard</w:t>
            </w:r>
            <w:proofErr w:type="spellEnd"/>
          </w:p>
        </w:tc>
        <w:tc>
          <w:tcPr>
            <w:tcW w:w="1451" w:type="dxa"/>
            <w:hideMark/>
          </w:tcPr>
          <w:p w:rsidR="00F52FF9" w:rsidRPr="00655F80" w:rsidRDefault="00F52FF9" w:rsidP="00F52FF9">
            <w:r w:rsidRPr="00655F80">
              <w:t>Soggetto Tecnico</w:t>
            </w:r>
          </w:p>
        </w:tc>
        <w:tc>
          <w:tcPr>
            <w:tcW w:w="2345" w:type="dxa"/>
            <w:hideMark/>
          </w:tcPr>
          <w:p w:rsidR="00F52FF9" w:rsidRPr="00655F80" w:rsidRDefault="00F52FF9" w:rsidP="00F52FF9">
            <w:r w:rsidRPr="00655F80">
              <w:t>Albo fornitori</w:t>
            </w:r>
          </w:p>
        </w:tc>
        <w:tc>
          <w:tcPr>
            <w:tcW w:w="3767" w:type="dxa"/>
            <w:hideMark/>
          </w:tcPr>
          <w:p w:rsidR="00F52FF9" w:rsidRPr="00655F80" w:rsidRDefault="00F52FF9" w:rsidP="00F52FF9">
            <w:r w:rsidRPr="00655F80">
              <w:t>Effettuare un'unica gara d'appalto a livello regionale riduce i costi per l'approvvigionamento a livello di sistema e consente un controllo migliore sulle forniture, anche ai fini di controlli antifrode.</w:t>
            </w:r>
          </w:p>
        </w:tc>
        <w:tc>
          <w:tcPr>
            <w:tcW w:w="4756" w:type="dxa"/>
            <w:noWrap/>
          </w:tcPr>
          <w:p w:rsidR="00F52FF9" w:rsidRPr="00747781" w:rsidRDefault="00F52FF9" w:rsidP="00F52FF9">
            <w:r w:rsidRPr="00747781">
              <w:t>Da predisporre.</w:t>
            </w:r>
          </w:p>
          <w:p w:rsidR="00F52FF9" w:rsidRPr="00747781" w:rsidRDefault="00F52FF9" w:rsidP="00F52FF9">
            <w:r w:rsidRPr="00747781">
              <w:t>Il Soggetto tecnico in collaborazione con l’ufficio gare della Regione potrà avvalersi dell’Albo fornitori messo a disposizione da 5T (componente del KIT) per ottimizzare procedure</w:t>
            </w:r>
          </w:p>
        </w:tc>
      </w:tr>
      <w:tr w:rsidR="00F52FF9" w:rsidRPr="00655F80" w:rsidTr="00F52FF9">
        <w:trPr>
          <w:trHeight w:val="1450"/>
        </w:trPr>
        <w:tc>
          <w:tcPr>
            <w:tcW w:w="2184" w:type="dxa"/>
            <w:hideMark/>
          </w:tcPr>
          <w:p w:rsidR="00F52FF9" w:rsidRPr="00655F80" w:rsidRDefault="00F52FF9" w:rsidP="00F52FF9">
            <w:r>
              <w:t xml:space="preserve">Avvio procedure di gara per </w:t>
            </w:r>
            <w:r w:rsidRPr="00655F80">
              <w:t>approvv</w:t>
            </w:r>
            <w:r>
              <w:t xml:space="preserve">igionamento sistemi TPL e SBE </w:t>
            </w:r>
            <w:r w:rsidRPr="00655F80">
              <w:t>secondo i capitolati definiti</w:t>
            </w:r>
          </w:p>
        </w:tc>
        <w:tc>
          <w:tcPr>
            <w:tcW w:w="1451" w:type="dxa"/>
            <w:noWrap/>
            <w:hideMark/>
          </w:tcPr>
          <w:p w:rsidR="00F52FF9" w:rsidRPr="00655F80" w:rsidRDefault="00F52FF9" w:rsidP="00F52FF9">
            <w:r w:rsidRPr="00655F80">
              <w:t>Aziende TPL/PA</w:t>
            </w:r>
          </w:p>
        </w:tc>
        <w:tc>
          <w:tcPr>
            <w:tcW w:w="2345" w:type="dxa"/>
            <w:hideMark/>
          </w:tcPr>
          <w:p w:rsidR="00F52FF9" w:rsidRPr="00655F80" w:rsidRDefault="00F52FF9" w:rsidP="00F52FF9">
            <w:r>
              <w:t xml:space="preserve">Implementazione sulle flotte e gli apparati </w:t>
            </w:r>
            <w:r w:rsidRPr="00655F80">
              <w:t>delle aziende di quanto previsto dal capitolato tecnico TPL</w:t>
            </w:r>
            <w:r>
              <w:t xml:space="preserve"> e SBE</w:t>
            </w:r>
          </w:p>
        </w:tc>
        <w:tc>
          <w:tcPr>
            <w:tcW w:w="3767" w:type="dxa"/>
            <w:hideMark/>
          </w:tcPr>
          <w:p w:rsidR="00F52FF9" w:rsidRPr="00655F80" w:rsidRDefault="00F52FF9" w:rsidP="00F52FF9">
            <w:r w:rsidRPr="00655F80">
              <w:t>Quella dell'implementazione è una fase molto importante, da condurre quindi con particolare perizia, al fine di ottenere risultati coerenti su tutto il territorio interessato.</w:t>
            </w:r>
          </w:p>
        </w:tc>
        <w:tc>
          <w:tcPr>
            <w:tcW w:w="4756" w:type="dxa"/>
            <w:noWrap/>
          </w:tcPr>
          <w:p w:rsidR="00F52FF9" w:rsidRPr="00747781" w:rsidRDefault="00F52FF9" w:rsidP="00F52FF9">
            <w:r w:rsidRPr="00747781">
              <w:t xml:space="preserve">Se gara unica regionale, Soggetto tecnico predispone convenzione con aziende per disponibilità loro </w:t>
            </w:r>
            <w:proofErr w:type="spellStart"/>
            <w:r w:rsidRPr="00747781">
              <w:t>asset</w:t>
            </w:r>
            <w:proofErr w:type="spellEnd"/>
            <w:r w:rsidRPr="00747781">
              <w:t xml:space="preserve"> in fase di implementazione.</w:t>
            </w:r>
          </w:p>
          <w:p w:rsidR="00F52FF9" w:rsidRPr="00747781" w:rsidRDefault="00F52FF9" w:rsidP="00F52FF9">
            <w:r w:rsidRPr="00747781">
              <w:t>Se gara per consorzio il Soggetto tecnico garantisce supporto specialistico; da definire le modalità di coinvolgimento operativo presso i consorzi.</w:t>
            </w:r>
          </w:p>
        </w:tc>
      </w:tr>
      <w:tr w:rsidR="00F52FF9" w:rsidRPr="00655F80" w:rsidTr="00F52FF9">
        <w:trPr>
          <w:trHeight w:val="1396"/>
        </w:trPr>
        <w:tc>
          <w:tcPr>
            <w:tcW w:w="2184" w:type="dxa"/>
            <w:hideMark/>
          </w:tcPr>
          <w:p w:rsidR="00F52FF9" w:rsidRPr="00655F80" w:rsidRDefault="00F52FF9" w:rsidP="00F52FF9">
            <w:r w:rsidRPr="00655F80">
              <w:t>Collaudo TPL</w:t>
            </w:r>
            <w:r>
              <w:t xml:space="preserve"> e SBE</w:t>
            </w:r>
            <w:r w:rsidRPr="00655F80">
              <w:t xml:space="preserve"> alle aziende</w:t>
            </w:r>
          </w:p>
        </w:tc>
        <w:tc>
          <w:tcPr>
            <w:tcW w:w="1451" w:type="dxa"/>
            <w:hideMark/>
          </w:tcPr>
          <w:p w:rsidR="00F52FF9" w:rsidRPr="00655F80" w:rsidRDefault="00F52FF9" w:rsidP="00F52FF9">
            <w:r w:rsidRPr="00655F80">
              <w:t>Soggetto Tecnico</w:t>
            </w:r>
          </w:p>
        </w:tc>
        <w:tc>
          <w:tcPr>
            <w:tcW w:w="2345" w:type="dxa"/>
            <w:hideMark/>
          </w:tcPr>
          <w:p w:rsidR="00F52FF9" w:rsidRPr="00655F80" w:rsidRDefault="00F52FF9" w:rsidP="00F52FF9">
            <w:r w:rsidRPr="00655F80">
              <w:t>Verifica della congruenza di quanto impleme</w:t>
            </w:r>
            <w:r>
              <w:t>ntato rispetto alle specifiche e progetto esecutivo</w:t>
            </w:r>
          </w:p>
        </w:tc>
        <w:tc>
          <w:tcPr>
            <w:tcW w:w="3767" w:type="dxa"/>
            <w:hideMark/>
          </w:tcPr>
          <w:p w:rsidR="00F52FF9" w:rsidRPr="00655F80" w:rsidRDefault="00F52FF9" w:rsidP="00F52FF9">
            <w:r w:rsidRPr="00655F80">
              <w:t>Un collaudo da parte della società in House consente di verificare la corretta implementazione del sistema anche dal punto di vista dell'interoperabilità regionale.</w:t>
            </w:r>
          </w:p>
        </w:tc>
        <w:tc>
          <w:tcPr>
            <w:tcW w:w="4756" w:type="dxa"/>
            <w:vMerge w:val="restart"/>
          </w:tcPr>
          <w:p w:rsidR="00F52FF9" w:rsidRPr="00747781" w:rsidRDefault="00F52FF9" w:rsidP="00F52FF9">
            <w:r w:rsidRPr="00747781">
              <w:rPr>
                <w:u w:val="single"/>
              </w:rPr>
              <w:t xml:space="preserve">Collaudo in fabbrica, </w:t>
            </w:r>
            <w:r w:rsidRPr="00747781">
              <w:t xml:space="preserve">effettuato su lotti di apparati funzionanti in corso di prestazione; </w:t>
            </w:r>
          </w:p>
          <w:p w:rsidR="00F52FF9" w:rsidRPr="00747781" w:rsidRDefault="00F52FF9" w:rsidP="00F52FF9">
            <w:pPr>
              <w:rPr>
                <w:u w:val="single"/>
              </w:rPr>
            </w:pPr>
            <w:r w:rsidRPr="00747781">
              <w:br/>
            </w:r>
            <w:r w:rsidRPr="00747781">
              <w:rPr>
                <w:u w:val="single"/>
              </w:rPr>
              <w:t>Collaudo provvisorio</w:t>
            </w:r>
            <w:r w:rsidRPr="00747781">
              <w:t xml:space="preserve">, effettuato ad avvenuta attivazione dell’intero sistema; </w:t>
            </w:r>
            <w:r w:rsidRPr="00747781">
              <w:br/>
            </w:r>
          </w:p>
          <w:p w:rsidR="00F52FF9" w:rsidRPr="00747781" w:rsidRDefault="00F52FF9" w:rsidP="00F52FF9">
            <w:r w:rsidRPr="00747781">
              <w:rPr>
                <w:u w:val="single"/>
              </w:rPr>
              <w:t>Collaudo definitivo</w:t>
            </w:r>
            <w:r w:rsidRPr="00747781">
              <w:t>, effettuato alla conclusione del periodo di monitoraggio dall’avvenuto collaudo provvisorio con esito positivo (12 mesi dopo l’esito positivo).</w:t>
            </w:r>
          </w:p>
        </w:tc>
      </w:tr>
      <w:tr w:rsidR="00F52FF9" w:rsidRPr="00655F80" w:rsidTr="00F52FF9">
        <w:trPr>
          <w:trHeight w:val="1160"/>
        </w:trPr>
        <w:tc>
          <w:tcPr>
            <w:tcW w:w="2184" w:type="dxa"/>
            <w:hideMark/>
          </w:tcPr>
          <w:p w:rsidR="00F52FF9" w:rsidRPr="00655F80" w:rsidRDefault="00F52FF9" w:rsidP="00F52FF9">
            <w:r w:rsidRPr="00655F80">
              <w:t>Collaudo del sistema da parte delle aziende di TPL</w:t>
            </w:r>
          </w:p>
        </w:tc>
        <w:tc>
          <w:tcPr>
            <w:tcW w:w="1451" w:type="dxa"/>
            <w:noWrap/>
            <w:hideMark/>
          </w:tcPr>
          <w:p w:rsidR="00F52FF9" w:rsidRPr="00655F80" w:rsidRDefault="00F52FF9" w:rsidP="00F52FF9">
            <w:r w:rsidRPr="00655F80">
              <w:t>Azienda</w:t>
            </w:r>
          </w:p>
        </w:tc>
        <w:tc>
          <w:tcPr>
            <w:tcW w:w="2345" w:type="dxa"/>
            <w:hideMark/>
          </w:tcPr>
          <w:p w:rsidR="00F52FF9" w:rsidRPr="00655F80" w:rsidRDefault="00F52FF9" w:rsidP="00F52FF9">
            <w:r w:rsidRPr="00655F80">
              <w:t>Collaudo formale del sistema</w:t>
            </w:r>
          </w:p>
        </w:tc>
        <w:tc>
          <w:tcPr>
            <w:tcW w:w="3767" w:type="dxa"/>
            <w:hideMark/>
          </w:tcPr>
          <w:p w:rsidR="00F52FF9" w:rsidRPr="00655F80" w:rsidRDefault="00F52FF9" w:rsidP="00F52FF9">
            <w:r w:rsidRPr="00655F80">
              <w:t>Una volta collaudo il sistema da parte della società in House, e garantita l'erogazione dei fondi regionali, la società di TPL può procedere con il collaudo finale del sistema.</w:t>
            </w:r>
          </w:p>
        </w:tc>
        <w:tc>
          <w:tcPr>
            <w:tcW w:w="4756" w:type="dxa"/>
            <w:vMerge/>
          </w:tcPr>
          <w:p w:rsidR="00F52FF9" w:rsidRPr="00655F80" w:rsidRDefault="00F52FF9" w:rsidP="00F52FF9"/>
        </w:tc>
      </w:tr>
    </w:tbl>
    <w:p w:rsidR="00F52FF9" w:rsidRDefault="00F52FF9" w:rsidP="00F52FF9">
      <w:pPr>
        <w:jc w:val="both"/>
      </w:pPr>
    </w:p>
    <w:p w:rsidR="00D3525F" w:rsidRPr="00D3525F" w:rsidRDefault="00D3525F" w:rsidP="00D3525F"/>
    <w:sectPr w:rsidR="00D3525F" w:rsidRPr="00D3525F" w:rsidSect="00F52FF9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FF9" w:rsidRDefault="00F52FF9" w:rsidP="007F2065">
      <w:r>
        <w:separator/>
      </w:r>
    </w:p>
  </w:endnote>
  <w:endnote w:type="continuationSeparator" w:id="0">
    <w:p w:rsidR="00F52FF9" w:rsidRDefault="00F52FF9" w:rsidP="007F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8183011"/>
      <w:docPartObj>
        <w:docPartGallery w:val="Page Numbers (Bottom of Page)"/>
        <w:docPartUnique/>
      </w:docPartObj>
    </w:sdtPr>
    <w:sdtEndPr/>
    <w:sdtContent>
      <w:p w:rsidR="00F52FF9" w:rsidRDefault="00F52FF9">
        <w:pPr>
          <w:pStyle w:val="Pidipagina"/>
          <w:jc w:val="right"/>
        </w:pPr>
        <w:r w:rsidRPr="007F2065">
          <w:rPr>
            <w:rFonts w:asciiTheme="minorHAnsi" w:hAnsiTheme="minorHAnsi" w:cstheme="minorHAnsi"/>
          </w:rPr>
          <w:fldChar w:fldCharType="begin"/>
        </w:r>
        <w:r w:rsidRPr="007F2065">
          <w:rPr>
            <w:rFonts w:asciiTheme="minorHAnsi" w:hAnsiTheme="minorHAnsi" w:cstheme="minorHAnsi"/>
          </w:rPr>
          <w:instrText xml:space="preserve"> PAGE   \* MERGEFORMAT </w:instrText>
        </w:r>
        <w:r w:rsidRPr="007F2065">
          <w:rPr>
            <w:rFonts w:asciiTheme="minorHAnsi" w:hAnsiTheme="minorHAnsi" w:cstheme="minorHAnsi"/>
          </w:rPr>
          <w:fldChar w:fldCharType="separate"/>
        </w:r>
        <w:r w:rsidR="00445490">
          <w:rPr>
            <w:rFonts w:asciiTheme="minorHAnsi" w:hAnsiTheme="minorHAnsi" w:cstheme="minorHAnsi"/>
            <w:noProof/>
          </w:rPr>
          <w:t>14</w:t>
        </w:r>
        <w:r w:rsidRPr="007F2065">
          <w:rPr>
            <w:rFonts w:asciiTheme="minorHAnsi" w:hAnsiTheme="minorHAnsi" w:cstheme="minorHAnsi"/>
          </w:rPr>
          <w:fldChar w:fldCharType="end"/>
        </w:r>
      </w:p>
    </w:sdtContent>
  </w:sdt>
  <w:p w:rsidR="00F52FF9" w:rsidRDefault="00F52FF9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FF9" w:rsidRDefault="00F52FF9" w:rsidP="007F2065">
      <w:r>
        <w:separator/>
      </w:r>
    </w:p>
  </w:footnote>
  <w:footnote w:type="continuationSeparator" w:id="0">
    <w:p w:rsidR="00F52FF9" w:rsidRDefault="00F52FF9" w:rsidP="007F20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FF9" w:rsidRDefault="00F52FF9" w:rsidP="007F2065">
    <w:pPr>
      <w:pStyle w:val="Intestazione"/>
      <w:jc w:val="center"/>
    </w:pPr>
    <w:r w:rsidRPr="007F2065">
      <w:rPr>
        <w:noProof/>
      </w:rPr>
      <w:drawing>
        <wp:inline distT="0" distB="0" distL="0" distR="0">
          <wp:extent cx="790575" cy="535036"/>
          <wp:effectExtent l="0" t="0" r="0" b="0"/>
          <wp:docPr id="3" name="Immagine 3" descr="Descrizione: stemma comu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Descrizione: stemma comun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3325" cy="5368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F2065">
      <w:rPr>
        <w:noProof/>
      </w:rPr>
      <w:drawing>
        <wp:inline distT="0" distB="0" distL="0" distR="0">
          <wp:extent cx="4943475" cy="564968"/>
          <wp:effectExtent l="0" t="0" r="0" b="6985"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574" b="66774"/>
                  <a:stretch>
                    <a:fillRect/>
                  </a:stretch>
                </pic:blipFill>
                <pic:spPr bwMode="auto">
                  <a:xfrm>
                    <a:off x="0" y="0"/>
                    <a:ext cx="5175782" cy="591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52FF9" w:rsidRDefault="00F52FF9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02CDE"/>
    <w:multiLevelType w:val="hybridMultilevel"/>
    <w:tmpl w:val="EA3E13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86207"/>
    <w:multiLevelType w:val="hybridMultilevel"/>
    <w:tmpl w:val="F640B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D513F"/>
    <w:multiLevelType w:val="hybridMultilevel"/>
    <w:tmpl w:val="3F2001C4"/>
    <w:lvl w:ilvl="0" w:tplc="04100005">
      <w:start w:val="1"/>
      <w:numFmt w:val="bullet"/>
      <w:lvlText w:val=""/>
      <w:lvlJc w:val="left"/>
      <w:pPr>
        <w:ind w:left="105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3" w15:restartNumberingAfterBreak="0">
    <w:nsid w:val="0E5F0490"/>
    <w:multiLevelType w:val="hybridMultilevel"/>
    <w:tmpl w:val="36E0B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974AC"/>
    <w:multiLevelType w:val="hybridMultilevel"/>
    <w:tmpl w:val="8A0EDF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84E64"/>
    <w:multiLevelType w:val="hybridMultilevel"/>
    <w:tmpl w:val="FD82FC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D20B9"/>
    <w:multiLevelType w:val="hybridMultilevel"/>
    <w:tmpl w:val="00C869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41605"/>
    <w:multiLevelType w:val="hybridMultilevel"/>
    <w:tmpl w:val="F0E2D3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E51BB"/>
    <w:multiLevelType w:val="multilevel"/>
    <w:tmpl w:val="7274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2B2882"/>
    <w:multiLevelType w:val="hybridMultilevel"/>
    <w:tmpl w:val="666486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4049A"/>
    <w:multiLevelType w:val="multilevel"/>
    <w:tmpl w:val="54F8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4F356B"/>
    <w:multiLevelType w:val="hybridMultilevel"/>
    <w:tmpl w:val="0B18F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77F91"/>
    <w:multiLevelType w:val="hybridMultilevel"/>
    <w:tmpl w:val="780870B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5B2361"/>
    <w:multiLevelType w:val="hybridMultilevel"/>
    <w:tmpl w:val="CCD0CA1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11945"/>
    <w:multiLevelType w:val="multilevel"/>
    <w:tmpl w:val="257A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D05F62"/>
    <w:multiLevelType w:val="multilevel"/>
    <w:tmpl w:val="E1D8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431A2F"/>
    <w:multiLevelType w:val="hybridMultilevel"/>
    <w:tmpl w:val="0BA049AA"/>
    <w:lvl w:ilvl="0" w:tplc="04100005">
      <w:start w:val="1"/>
      <w:numFmt w:val="bullet"/>
      <w:lvlText w:val=""/>
      <w:lvlJc w:val="left"/>
      <w:pPr>
        <w:ind w:left="106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47F2532B"/>
    <w:multiLevelType w:val="hybridMultilevel"/>
    <w:tmpl w:val="AE8227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F72133"/>
    <w:multiLevelType w:val="multilevel"/>
    <w:tmpl w:val="A2C4A9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F983B12"/>
    <w:multiLevelType w:val="hybridMultilevel"/>
    <w:tmpl w:val="C3CCFD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85847"/>
    <w:multiLevelType w:val="hybridMultilevel"/>
    <w:tmpl w:val="C9C8B68E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4C25D1"/>
    <w:multiLevelType w:val="hybridMultilevel"/>
    <w:tmpl w:val="D8F607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8F3D4F"/>
    <w:multiLevelType w:val="multilevel"/>
    <w:tmpl w:val="63B69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592107F5"/>
    <w:multiLevelType w:val="hybridMultilevel"/>
    <w:tmpl w:val="751E7D38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96703A0"/>
    <w:multiLevelType w:val="hybridMultilevel"/>
    <w:tmpl w:val="84A075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3F71E7"/>
    <w:multiLevelType w:val="hybridMultilevel"/>
    <w:tmpl w:val="0562D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192C45"/>
    <w:multiLevelType w:val="hybridMultilevel"/>
    <w:tmpl w:val="303A83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A425E"/>
    <w:multiLevelType w:val="hybridMultilevel"/>
    <w:tmpl w:val="A06CD0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2D66E4"/>
    <w:multiLevelType w:val="multilevel"/>
    <w:tmpl w:val="5BB22E2E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10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73F72658"/>
    <w:multiLevelType w:val="hybridMultilevel"/>
    <w:tmpl w:val="4C7222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2F3C5B"/>
    <w:multiLevelType w:val="multilevel"/>
    <w:tmpl w:val="38E072C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7AEF0355"/>
    <w:multiLevelType w:val="hybridMultilevel"/>
    <w:tmpl w:val="F864B17E"/>
    <w:lvl w:ilvl="0" w:tplc="0410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B967FFE"/>
    <w:multiLevelType w:val="hybridMultilevel"/>
    <w:tmpl w:val="2E8056C0"/>
    <w:lvl w:ilvl="0" w:tplc="77986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CC3A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2256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54F7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3E68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3646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E046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AC35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1EDF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24"/>
  </w:num>
  <w:num w:numId="5">
    <w:abstractNumId w:val="25"/>
  </w:num>
  <w:num w:numId="6">
    <w:abstractNumId w:val="21"/>
  </w:num>
  <w:num w:numId="7">
    <w:abstractNumId w:val="1"/>
  </w:num>
  <w:num w:numId="8">
    <w:abstractNumId w:val="17"/>
  </w:num>
  <w:num w:numId="9">
    <w:abstractNumId w:val="0"/>
  </w:num>
  <w:num w:numId="10">
    <w:abstractNumId w:val="6"/>
  </w:num>
  <w:num w:numId="11">
    <w:abstractNumId w:val="32"/>
  </w:num>
  <w:num w:numId="12">
    <w:abstractNumId w:val="4"/>
  </w:num>
  <w:num w:numId="13">
    <w:abstractNumId w:val="18"/>
  </w:num>
  <w:num w:numId="14">
    <w:abstractNumId w:val="30"/>
  </w:num>
  <w:num w:numId="15">
    <w:abstractNumId w:val="22"/>
  </w:num>
  <w:num w:numId="16">
    <w:abstractNumId w:val="11"/>
  </w:num>
  <w:num w:numId="17">
    <w:abstractNumId w:val="8"/>
  </w:num>
  <w:num w:numId="18">
    <w:abstractNumId w:val="5"/>
  </w:num>
  <w:num w:numId="19">
    <w:abstractNumId w:val="14"/>
  </w:num>
  <w:num w:numId="20">
    <w:abstractNumId w:val="31"/>
  </w:num>
  <w:num w:numId="21">
    <w:abstractNumId w:val="27"/>
  </w:num>
  <w:num w:numId="22">
    <w:abstractNumId w:val="29"/>
  </w:num>
  <w:num w:numId="23">
    <w:abstractNumId w:val="19"/>
  </w:num>
  <w:num w:numId="24">
    <w:abstractNumId w:val="10"/>
  </w:num>
  <w:num w:numId="25">
    <w:abstractNumId w:val="15"/>
  </w:num>
  <w:num w:numId="26">
    <w:abstractNumId w:val="26"/>
  </w:num>
  <w:num w:numId="27">
    <w:abstractNumId w:val="23"/>
  </w:num>
  <w:num w:numId="28">
    <w:abstractNumId w:val="16"/>
  </w:num>
  <w:num w:numId="29">
    <w:abstractNumId w:val="20"/>
  </w:num>
  <w:num w:numId="30">
    <w:abstractNumId w:val="3"/>
  </w:num>
  <w:num w:numId="31">
    <w:abstractNumId w:val="2"/>
  </w:num>
  <w:num w:numId="32">
    <w:abstractNumId w:val="9"/>
  </w:num>
  <w:num w:numId="33">
    <w:abstractNumId w:val="12"/>
  </w:num>
  <w:num w:numId="34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5EE2"/>
    <w:rsid w:val="0000113D"/>
    <w:rsid w:val="00006746"/>
    <w:rsid w:val="0001359F"/>
    <w:rsid w:val="000173A3"/>
    <w:rsid w:val="000223A5"/>
    <w:rsid w:val="00023715"/>
    <w:rsid w:val="000372CF"/>
    <w:rsid w:val="00041D28"/>
    <w:rsid w:val="000722BA"/>
    <w:rsid w:val="000753F4"/>
    <w:rsid w:val="000759E8"/>
    <w:rsid w:val="0008619F"/>
    <w:rsid w:val="00097066"/>
    <w:rsid w:val="000A21B3"/>
    <w:rsid w:val="000C227C"/>
    <w:rsid w:val="000C4728"/>
    <w:rsid w:val="000D0CF8"/>
    <w:rsid w:val="000D113B"/>
    <w:rsid w:val="000E60BD"/>
    <w:rsid w:val="000F664F"/>
    <w:rsid w:val="001125DD"/>
    <w:rsid w:val="00117599"/>
    <w:rsid w:val="00122E9C"/>
    <w:rsid w:val="001311B8"/>
    <w:rsid w:val="00146A45"/>
    <w:rsid w:val="00164B39"/>
    <w:rsid w:val="00166071"/>
    <w:rsid w:val="00166705"/>
    <w:rsid w:val="00171719"/>
    <w:rsid w:val="00176254"/>
    <w:rsid w:val="00185739"/>
    <w:rsid w:val="001A0274"/>
    <w:rsid w:val="001A079C"/>
    <w:rsid w:val="001A298C"/>
    <w:rsid w:val="001B0289"/>
    <w:rsid w:val="001B6020"/>
    <w:rsid w:val="001B73A0"/>
    <w:rsid w:val="001C11BA"/>
    <w:rsid w:val="001C35AD"/>
    <w:rsid w:val="001C55D9"/>
    <w:rsid w:val="001D64CE"/>
    <w:rsid w:val="001E2284"/>
    <w:rsid w:val="001E4470"/>
    <w:rsid w:val="001F247F"/>
    <w:rsid w:val="00200D01"/>
    <w:rsid w:val="00202FBC"/>
    <w:rsid w:val="002107B7"/>
    <w:rsid w:val="002208B6"/>
    <w:rsid w:val="00230403"/>
    <w:rsid w:val="00231B33"/>
    <w:rsid w:val="00231D4F"/>
    <w:rsid w:val="00233FFE"/>
    <w:rsid w:val="002403BE"/>
    <w:rsid w:val="00250D65"/>
    <w:rsid w:val="00256502"/>
    <w:rsid w:val="0026609F"/>
    <w:rsid w:val="00283894"/>
    <w:rsid w:val="00286E53"/>
    <w:rsid w:val="00287141"/>
    <w:rsid w:val="00287C6E"/>
    <w:rsid w:val="0029048F"/>
    <w:rsid w:val="00295F10"/>
    <w:rsid w:val="00296592"/>
    <w:rsid w:val="00297872"/>
    <w:rsid w:val="002B4902"/>
    <w:rsid w:val="002B4BE9"/>
    <w:rsid w:val="002C0002"/>
    <w:rsid w:val="002C4A17"/>
    <w:rsid w:val="002D19FE"/>
    <w:rsid w:val="002E7CCC"/>
    <w:rsid w:val="002F3307"/>
    <w:rsid w:val="002F38F7"/>
    <w:rsid w:val="0030128E"/>
    <w:rsid w:val="003146C2"/>
    <w:rsid w:val="003208C9"/>
    <w:rsid w:val="00321203"/>
    <w:rsid w:val="0033226C"/>
    <w:rsid w:val="003325D1"/>
    <w:rsid w:val="00346805"/>
    <w:rsid w:val="00357309"/>
    <w:rsid w:val="00366382"/>
    <w:rsid w:val="00366810"/>
    <w:rsid w:val="0037591B"/>
    <w:rsid w:val="00380144"/>
    <w:rsid w:val="00381E6A"/>
    <w:rsid w:val="00393073"/>
    <w:rsid w:val="003C08EE"/>
    <w:rsid w:val="003C393D"/>
    <w:rsid w:val="003C5065"/>
    <w:rsid w:val="003F296E"/>
    <w:rsid w:val="003F2A71"/>
    <w:rsid w:val="00404A35"/>
    <w:rsid w:val="00407838"/>
    <w:rsid w:val="004428EA"/>
    <w:rsid w:val="00444B72"/>
    <w:rsid w:val="00444F52"/>
    <w:rsid w:val="00445490"/>
    <w:rsid w:val="00453426"/>
    <w:rsid w:val="004573EF"/>
    <w:rsid w:val="00461644"/>
    <w:rsid w:val="00484EF7"/>
    <w:rsid w:val="004961B7"/>
    <w:rsid w:val="004C3376"/>
    <w:rsid w:val="004C5D34"/>
    <w:rsid w:val="004C6DC2"/>
    <w:rsid w:val="004D5245"/>
    <w:rsid w:val="004D5A24"/>
    <w:rsid w:val="00510271"/>
    <w:rsid w:val="00514A72"/>
    <w:rsid w:val="00521266"/>
    <w:rsid w:val="00534ED0"/>
    <w:rsid w:val="005368FA"/>
    <w:rsid w:val="00537DBD"/>
    <w:rsid w:val="005418D8"/>
    <w:rsid w:val="00541EF7"/>
    <w:rsid w:val="00542013"/>
    <w:rsid w:val="00550A23"/>
    <w:rsid w:val="0055459C"/>
    <w:rsid w:val="00561B62"/>
    <w:rsid w:val="00565AA4"/>
    <w:rsid w:val="005770FE"/>
    <w:rsid w:val="0057782B"/>
    <w:rsid w:val="0058299E"/>
    <w:rsid w:val="00583630"/>
    <w:rsid w:val="005A44BF"/>
    <w:rsid w:val="005B07BA"/>
    <w:rsid w:val="005B245C"/>
    <w:rsid w:val="005B47B7"/>
    <w:rsid w:val="005E22F0"/>
    <w:rsid w:val="005E254F"/>
    <w:rsid w:val="006040A4"/>
    <w:rsid w:val="006071EF"/>
    <w:rsid w:val="0061153D"/>
    <w:rsid w:val="00617F0A"/>
    <w:rsid w:val="00626739"/>
    <w:rsid w:val="00626DA1"/>
    <w:rsid w:val="006348C7"/>
    <w:rsid w:val="00637BCD"/>
    <w:rsid w:val="00640C07"/>
    <w:rsid w:val="00661D46"/>
    <w:rsid w:val="00663355"/>
    <w:rsid w:val="00667A91"/>
    <w:rsid w:val="0067388B"/>
    <w:rsid w:val="00677983"/>
    <w:rsid w:val="006822D9"/>
    <w:rsid w:val="00683304"/>
    <w:rsid w:val="006902F6"/>
    <w:rsid w:val="00690FE9"/>
    <w:rsid w:val="006910A7"/>
    <w:rsid w:val="00691469"/>
    <w:rsid w:val="006A6A38"/>
    <w:rsid w:val="006A6D12"/>
    <w:rsid w:val="006B2A6D"/>
    <w:rsid w:val="006C0640"/>
    <w:rsid w:val="006C6A89"/>
    <w:rsid w:val="006C72B2"/>
    <w:rsid w:val="006C74A7"/>
    <w:rsid w:val="006F2D88"/>
    <w:rsid w:val="006F763E"/>
    <w:rsid w:val="007031E6"/>
    <w:rsid w:val="00703D7A"/>
    <w:rsid w:val="00707967"/>
    <w:rsid w:val="00725D56"/>
    <w:rsid w:val="007329C5"/>
    <w:rsid w:val="0074228C"/>
    <w:rsid w:val="00743267"/>
    <w:rsid w:val="0077193C"/>
    <w:rsid w:val="00787120"/>
    <w:rsid w:val="00794F3F"/>
    <w:rsid w:val="007958CC"/>
    <w:rsid w:val="00795A10"/>
    <w:rsid w:val="007B5EA6"/>
    <w:rsid w:val="007D1157"/>
    <w:rsid w:val="007D21DB"/>
    <w:rsid w:val="007E725E"/>
    <w:rsid w:val="007F03DC"/>
    <w:rsid w:val="007F2065"/>
    <w:rsid w:val="007F6B6D"/>
    <w:rsid w:val="0080276D"/>
    <w:rsid w:val="008038DA"/>
    <w:rsid w:val="00820506"/>
    <w:rsid w:val="0082171D"/>
    <w:rsid w:val="00821F1B"/>
    <w:rsid w:val="008234BB"/>
    <w:rsid w:val="00823DEE"/>
    <w:rsid w:val="0083100E"/>
    <w:rsid w:val="00831894"/>
    <w:rsid w:val="008330A6"/>
    <w:rsid w:val="00840290"/>
    <w:rsid w:val="008516AC"/>
    <w:rsid w:val="00870AE0"/>
    <w:rsid w:val="00871750"/>
    <w:rsid w:val="00873396"/>
    <w:rsid w:val="00883D43"/>
    <w:rsid w:val="0088680B"/>
    <w:rsid w:val="008A636E"/>
    <w:rsid w:val="008A6939"/>
    <w:rsid w:val="008B143F"/>
    <w:rsid w:val="008B50D4"/>
    <w:rsid w:val="008B673D"/>
    <w:rsid w:val="008C2FA8"/>
    <w:rsid w:val="008C7ED1"/>
    <w:rsid w:val="008E4B02"/>
    <w:rsid w:val="008F36BE"/>
    <w:rsid w:val="008F3D67"/>
    <w:rsid w:val="008F66C1"/>
    <w:rsid w:val="008F675C"/>
    <w:rsid w:val="008F7386"/>
    <w:rsid w:val="0091610B"/>
    <w:rsid w:val="0091766E"/>
    <w:rsid w:val="0092014A"/>
    <w:rsid w:val="00923E6E"/>
    <w:rsid w:val="009261B0"/>
    <w:rsid w:val="009273D7"/>
    <w:rsid w:val="009305FD"/>
    <w:rsid w:val="009318D4"/>
    <w:rsid w:val="009331A6"/>
    <w:rsid w:val="00936B50"/>
    <w:rsid w:val="00942D30"/>
    <w:rsid w:val="0095455A"/>
    <w:rsid w:val="00955BA5"/>
    <w:rsid w:val="009573B2"/>
    <w:rsid w:val="00963FAD"/>
    <w:rsid w:val="00971C79"/>
    <w:rsid w:val="00990EE1"/>
    <w:rsid w:val="00991DD4"/>
    <w:rsid w:val="009A1900"/>
    <w:rsid w:val="009A4C17"/>
    <w:rsid w:val="009B0EEA"/>
    <w:rsid w:val="009B6AAE"/>
    <w:rsid w:val="009C03B6"/>
    <w:rsid w:val="009D6650"/>
    <w:rsid w:val="009F3EDF"/>
    <w:rsid w:val="009F5D0A"/>
    <w:rsid w:val="00A002FF"/>
    <w:rsid w:val="00A004BE"/>
    <w:rsid w:val="00A01FB0"/>
    <w:rsid w:val="00A03670"/>
    <w:rsid w:val="00A06BBD"/>
    <w:rsid w:val="00A116E3"/>
    <w:rsid w:val="00A131DC"/>
    <w:rsid w:val="00A133A7"/>
    <w:rsid w:val="00A136DE"/>
    <w:rsid w:val="00A433BA"/>
    <w:rsid w:val="00A803C7"/>
    <w:rsid w:val="00A8154A"/>
    <w:rsid w:val="00A9221E"/>
    <w:rsid w:val="00AA1465"/>
    <w:rsid w:val="00AB39E0"/>
    <w:rsid w:val="00AC3872"/>
    <w:rsid w:val="00AE70FB"/>
    <w:rsid w:val="00AE744C"/>
    <w:rsid w:val="00AF1AA0"/>
    <w:rsid w:val="00B03819"/>
    <w:rsid w:val="00B16243"/>
    <w:rsid w:val="00B223E3"/>
    <w:rsid w:val="00B25E2E"/>
    <w:rsid w:val="00B34A3D"/>
    <w:rsid w:val="00B34EA0"/>
    <w:rsid w:val="00B35AD8"/>
    <w:rsid w:val="00B45377"/>
    <w:rsid w:val="00B60BAE"/>
    <w:rsid w:val="00B63149"/>
    <w:rsid w:val="00B6393C"/>
    <w:rsid w:val="00B64D5D"/>
    <w:rsid w:val="00B65D01"/>
    <w:rsid w:val="00B7402C"/>
    <w:rsid w:val="00BA45D8"/>
    <w:rsid w:val="00BA5E1F"/>
    <w:rsid w:val="00BB2D5C"/>
    <w:rsid w:val="00BB3BA5"/>
    <w:rsid w:val="00BB57EE"/>
    <w:rsid w:val="00BC4BFA"/>
    <w:rsid w:val="00BC6C32"/>
    <w:rsid w:val="00BD3C61"/>
    <w:rsid w:val="00BD7F9B"/>
    <w:rsid w:val="00BE02B3"/>
    <w:rsid w:val="00BF203C"/>
    <w:rsid w:val="00BF2B75"/>
    <w:rsid w:val="00BF3417"/>
    <w:rsid w:val="00C04758"/>
    <w:rsid w:val="00C13A9A"/>
    <w:rsid w:val="00C26834"/>
    <w:rsid w:val="00C331C6"/>
    <w:rsid w:val="00C45E65"/>
    <w:rsid w:val="00C516CF"/>
    <w:rsid w:val="00C61E27"/>
    <w:rsid w:val="00C70E89"/>
    <w:rsid w:val="00C71EA2"/>
    <w:rsid w:val="00C72C21"/>
    <w:rsid w:val="00C737D2"/>
    <w:rsid w:val="00C73CBA"/>
    <w:rsid w:val="00C8129F"/>
    <w:rsid w:val="00CA7014"/>
    <w:rsid w:val="00CB1031"/>
    <w:rsid w:val="00CC0E30"/>
    <w:rsid w:val="00CD0AC1"/>
    <w:rsid w:val="00CD2C9D"/>
    <w:rsid w:val="00CF0D95"/>
    <w:rsid w:val="00CF78C9"/>
    <w:rsid w:val="00D03262"/>
    <w:rsid w:val="00D25974"/>
    <w:rsid w:val="00D2661D"/>
    <w:rsid w:val="00D31146"/>
    <w:rsid w:val="00D346B3"/>
    <w:rsid w:val="00D3525F"/>
    <w:rsid w:val="00D36D75"/>
    <w:rsid w:val="00D4796A"/>
    <w:rsid w:val="00D511A9"/>
    <w:rsid w:val="00D7308F"/>
    <w:rsid w:val="00D935CA"/>
    <w:rsid w:val="00DA019D"/>
    <w:rsid w:val="00DA5AB1"/>
    <w:rsid w:val="00DB1227"/>
    <w:rsid w:val="00DC2D14"/>
    <w:rsid w:val="00DC56CE"/>
    <w:rsid w:val="00DD30A6"/>
    <w:rsid w:val="00DD5398"/>
    <w:rsid w:val="00DE0332"/>
    <w:rsid w:val="00DE739B"/>
    <w:rsid w:val="00DE7F2C"/>
    <w:rsid w:val="00DF552E"/>
    <w:rsid w:val="00DF653B"/>
    <w:rsid w:val="00E003DC"/>
    <w:rsid w:val="00E01FA3"/>
    <w:rsid w:val="00E1476A"/>
    <w:rsid w:val="00E25C51"/>
    <w:rsid w:val="00E26651"/>
    <w:rsid w:val="00E40F13"/>
    <w:rsid w:val="00E5021B"/>
    <w:rsid w:val="00E50BAE"/>
    <w:rsid w:val="00E626D6"/>
    <w:rsid w:val="00E6496E"/>
    <w:rsid w:val="00E91BD2"/>
    <w:rsid w:val="00EA6113"/>
    <w:rsid w:val="00EB3E26"/>
    <w:rsid w:val="00EC05C0"/>
    <w:rsid w:val="00EC734B"/>
    <w:rsid w:val="00F0339C"/>
    <w:rsid w:val="00F07116"/>
    <w:rsid w:val="00F103AF"/>
    <w:rsid w:val="00F215A8"/>
    <w:rsid w:val="00F222E6"/>
    <w:rsid w:val="00F266D0"/>
    <w:rsid w:val="00F31F88"/>
    <w:rsid w:val="00F40A0B"/>
    <w:rsid w:val="00F41C6F"/>
    <w:rsid w:val="00F514AE"/>
    <w:rsid w:val="00F52FF9"/>
    <w:rsid w:val="00F6044B"/>
    <w:rsid w:val="00F74648"/>
    <w:rsid w:val="00F77837"/>
    <w:rsid w:val="00F80032"/>
    <w:rsid w:val="00F87195"/>
    <w:rsid w:val="00F90D05"/>
    <w:rsid w:val="00F924F4"/>
    <w:rsid w:val="00F94DB3"/>
    <w:rsid w:val="00F97325"/>
    <w:rsid w:val="00FB003E"/>
    <w:rsid w:val="00FB508C"/>
    <w:rsid w:val="00FB7267"/>
    <w:rsid w:val="00FC30D7"/>
    <w:rsid w:val="00FD5EE2"/>
    <w:rsid w:val="00FE0645"/>
    <w:rsid w:val="00FE7975"/>
    <w:rsid w:val="00FF47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,"/>
  <w:listSeparator w:val=";"/>
  <w15:docId w15:val="{32AFCFD3-51B9-447B-BAA0-D7040C8C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D5EE2"/>
    <w:pPr>
      <w:spacing w:after="0" w:line="240" w:lineRule="auto"/>
    </w:pPr>
    <w:rPr>
      <w:rFonts w:ascii="Times New Roman" w:eastAsiaTheme="minorEastAsia" w:hAnsi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B6020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F296E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136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136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link w:val="ParagrafoelencoCarattere"/>
    <w:uiPriority w:val="34"/>
    <w:qFormat/>
    <w:rsid w:val="00FD5EE2"/>
    <w:pPr>
      <w:ind w:left="720"/>
    </w:pPr>
    <w:rPr>
      <w:rFonts w:cs="Times New Roman"/>
    </w:rPr>
  </w:style>
  <w:style w:type="table" w:styleId="Grigliatabella">
    <w:name w:val="Table Grid"/>
    <w:basedOn w:val="Tabellanormale"/>
    <w:uiPriority w:val="39"/>
    <w:rsid w:val="0028389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gliamedia3-Colore5">
    <w:name w:val="Medium Grid 3 Accent 5"/>
    <w:basedOn w:val="Tabellanormale"/>
    <w:uiPriority w:val="69"/>
    <w:rsid w:val="0028389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1B6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1B6020"/>
    <w:pPr>
      <w:spacing w:line="276" w:lineRule="auto"/>
      <w:outlineLvl w:val="9"/>
    </w:pPr>
    <w:rPr>
      <w:lang w:eastAsia="en-US"/>
    </w:rPr>
  </w:style>
  <w:style w:type="paragraph" w:styleId="Sommario1">
    <w:name w:val="toc 1"/>
    <w:basedOn w:val="Normale"/>
    <w:next w:val="Normale"/>
    <w:autoRedefine/>
    <w:uiPriority w:val="39"/>
    <w:unhideWhenUsed/>
    <w:rsid w:val="00F74648"/>
    <w:pPr>
      <w:tabs>
        <w:tab w:val="left" w:pos="440"/>
        <w:tab w:val="right" w:leader="dot" w:pos="9628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B6020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B602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B6020"/>
    <w:rPr>
      <w:rFonts w:ascii="Tahoma" w:eastAsiaTheme="minorEastAsia" w:hAnsi="Tahoma" w:cs="Tahoma"/>
      <w:sz w:val="16"/>
      <w:szCs w:val="1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7F206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F2065"/>
    <w:rPr>
      <w:rFonts w:ascii="Times New Roman" w:eastAsiaTheme="minorEastAsia" w:hAnsi="Times New Roman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7F206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F2065"/>
    <w:rPr>
      <w:rFonts w:ascii="Times New Roman" w:eastAsiaTheme="minorEastAsia" w:hAnsi="Times New Roman"/>
      <w:sz w:val="24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F29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366810"/>
    <w:pPr>
      <w:spacing w:after="100"/>
      <w:ind w:left="240"/>
    </w:pPr>
  </w:style>
  <w:style w:type="character" w:styleId="Rimandocommento">
    <w:name w:val="annotation reference"/>
    <w:basedOn w:val="Carpredefinitoparagrafo"/>
    <w:uiPriority w:val="99"/>
    <w:rsid w:val="0033226C"/>
    <w:rPr>
      <w:sz w:val="16"/>
      <w:szCs w:val="16"/>
    </w:rPr>
  </w:style>
  <w:style w:type="paragraph" w:styleId="Testocommento">
    <w:name w:val="annotation text"/>
    <w:basedOn w:val="Normale"/>
    <w:link w:val="TestocommentoCarattere1"/>
    <w:uiPriority w:val="99"/>
    <w:rsid w:val="0033226C"/>
    <w:rPr>
      <w:rFonts w:cs="Times New Roman"/>
      <w:sz w:val="20"/>
      <w:szCs w:val="20"/>
    </w:rPr>
  </w:style>
  <w:style w:type="character" w:customStyle="1" w:styleId="TestocommentoCarattere">
    <w:name w:val="Testo commento Carattere"/>
    <w:basedOn w:val="Carpredefinitoparagrafo"/>
    <w:uiPriority w:val="99"/>
    <w:semiHidden/>
    <w:rsid w:val="0033226C"/>
    <w:rPr>
      <w:rFonts w:ascii="Times New Roman" w:eastAsiaTheme="minorEastAsia" w:hAnsi="Times New Roman"/>
      <w:sz w:val="20"/>
      <w:szCs w:val="20"/>
      <w:lang w:eastAsia="it-IT"/>
    </w:rPr>
  </w:style>
  <w:style w:type="character" w:customStyle="1" w:styleId="TestocommentoCarattere1">
    <w:name w:val="Testo commento Carattere1"/>
    <w:basedOn w:val="Carpredefinitoparagrafo"/>
    <w:link w:val="Testocommento"/>
    <w:uiPriority w:val="99"/>
    <w:rsid w:val="0033226C"/>
    <w:rPr>
      <w:rFonts w:ascii="Times New Roman" w:eastAsiaTheme="minorEastAsia" w:hAnsi="Times New Roman" w:cs="Times New Roman"/>
      <w:sz w:val="20"/>
      <w:szCs w:val="20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67798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779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C30D7"/>
    <w:rPr>
      <w:rFonts w:cstheme="minorBidi"/>
      <w:b/>
      <w:bCs/>
    </w:rPr>
  </w:style>
  <w:style w:type="character" w:customStyle="1" w:styleId="SoggettocommentoCarattere">
    <w:name w:val="Soggetto commento Carattere"/>
    <w:basedOn w:val="TestocommentoCarattere1"/>
    <w:link w:val="Soggettocommento"/>
    <w:uiPriority w:val="99"/>
    <w:semiHidden/>
    <w:rsid w:val="00FC30D7"/>
    <w:rPr>
      <w:rFonts w:ascii="Times New Roman" w:eastAsiaTheme="minorEastAsia" w:hAnsi="Times New Roman" w:cs="Times New Roman"/>
      <w:b/>
      <w:bCs/>
      <w:sz w:val="20"/>
      <w:szCs w:val="20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136D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136D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it-IT"/>
    </w:rPr>
  </w:style>
  <w:style w:type="paragraph" w:customStyle="1" w:styleId="Default">
    <w:name w:val="Default"/>
    <w:rsid w:val="00A136DE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locked/>
    <w:rsid w:val="00A136DE"/>
    <w:rPr>
      <w:rFonts w:ascii="Times New Roman" w:eastAsiaTheme="minorEastAsia" w:hAnsi="Times New Roman" w:cs="Times New Roman"/>
      <w:sz w:val="24"/>
      <w:szCs w:val="24"/>
      <w:lang w:eastAsia="it-IT"/>
    </w:rPr>
  </w:style>
  <w:style w:type="paragraph" w:styleId="Didascalia">
    <w:name w:val="caption"/>
    <w:basedOn w:val="Normale"/>
    <w:next w:val="Normale"/>
    <w:uiPriority w:val="35"/>
    <w:unhideWhenUsed/>
    <w:qFormat/>
    <w:rsid w:val="00A136DE"/>
    <w:pPr>
      <w:keepNext/>
      <w:spacing w:after="200"/>
      <w:jc w:val="center"/>
    </w:pPr>
    <w:rPr>
      <w:rFonts w:ascii="Arial" w:eastAsia="Calibri" w:hAnsi="Arial" w:cs="Arial"/>
      <w:b/>
      <w:bCs/>
      <w:color w:val="0070C0"/>
      <w:sz w:val="16"/>
      <w:lang w:eastAsia="en-US"/>
    </w:rPr>
  </w:style>
  <w:style w:type="paragraph" w:styleId="Corpotesto">
    <w:name w:val="Body Text"/>
    <w:basedOn w:val="Normale"/>
    <w:link w:val="CorpotestoCarattere"/>
    <w:rsid w:val="00A136DE"/>
    <w:pPr>
      <w:autoSpaceDE w:val="0"/>
      <w:autoSpaceDN w:val="0"/>
      <w:adjustRightInd w:val="0"/>
      <w:spacing w:after="120" w:line="240" w:lineRule="atLeast"/>
      <w:jc w:val="both"/>
    </w:pPr>
    <w:rPr>
      <w:rFonts w:eastAsia="Times New Roman" w:cs="Times New Roman"/>
      <w:lang w:eastAsia="en-US"/>
    </w:rPr>
  </w:style>
  <w:style w:type="character" w:customStyle="1" w:styleId="CorpotestoCarattere">
    <w:name w:val="Corpo testo Carattere"/>
    <w:basedOn w:val="Carpredefinitoparagrafo"/>
    <w:link w:val="Corpotesto"/>
    <w:rsid w:val="00A136DE"/>
    <w:rPr>
      <w:rFonts w:ascii="Times New Roman" w:eastAsia="Times New Roman" w:hAnsi="Times New Roman" w:cs="Times New Roman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91766E"/>
    <w:pPr>
      <w:spacing w:after="100"/>
      <w:ind w:left="480"/>
    </w:pPr>
  </w:style>
  <w:style w:type="paragraph" w:styleId="NormaleWeb">
    <w:name w:val="Normal (Web)"/>
    <w:basedOn w:val="Normale"/>
    <w:uiPriority w:val="99"/>
    <w:unhideWhenUsed/>
    <w:rsid w:val="00F74648"/>
    <w:pPr>
      <w:spacing w:before="100" w:beforeAutospacing="1" w:after="100" w:afterAutospacing="1"/>
    </w:pPr>
    <w:rPr>
      <w:rFonts w:eastAsia="Times New Roman" w:cs="Times New Roman"/>
    </w:rPr>
  </w:style>
  <w:style w:type="character" w:styleId="Enfasigrassetto">
    <w:name w:val="Strong"/>
    <w:basedOn w:val="Carpredefinitoparagrafo"/>
    <w:uiPriority w:val="22"/>
    <w:qFormat/>
    <w:rsid w:val="00F74648"/>
    <w:rPr>
      <w:b/>
      <w:bCs/>
    </w:rPr>
  </w:style>
  <w:style w:type="paragraph" w:customStyle="1" w:styleId="Normale1">
    <w:name w:val="Normale1"/>
    <w:rsid w:val="00D3525F"/>
    <w:pPr>
      <w:spacing w:after="0"/>
    </w:pPr>
    <w:rPr>
      <w:rFonts w:ascii="Arial" w:eastAsia="Arial" w:hAnsi="Arial" w:cs="Arial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7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6242E1-8550-4950-8556-D87546939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14</Pages>
  <Words>3752</Words>
  <Characters>21387</Characters>
  <Application>Microsoft Office Word</Application>
  <DocSecurity>0</DocSecurity>
  <Lines>178</Lines>
  <Paragraphs>50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Administrator</Company>
  <LinksUpToDate>false</LinksUpToDate>
  <CharactersWithSpaces>25089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Armando Leoni</cp:lastModifiedBy>
  <cp:revision>16</cp:revision>
  <cp:lastPrinted>2019-09-30T14:52:00Z</cp:lastPrinted>
  <dcterms:created xsi:type="dcterms:W3CDTF">2020-09-29T15:24:00Z</dcterms:created>
  <dcterms:modified xsi:type="dcterms:W3CDTF">2020-09-30T16:25:00Z</dcterms:modified>
</cp:coreProperties>
</file>