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D9A05" w14:textId="77777777" w:rsidR="001B6020" w:rsidRDefault="001B6020" w:rsidP="001B6020">
      <w:pPr>
        <w:spacing w:before="360"/>
        <w:jc w:val="center"/>
        <w:rPr>
          <w:rFonts w:asciiTheme="minorHAnsi" w:hAnsiTheme="minorHAnsi" w:cs="Agency FB"/>
          <w:b/>
          <w:bCs/>
          <w:color w:val="0070C0"/>
          <w:sz w:val="48"/>
          <w:szCs w:val="48"/>
          <w:lang w:eastAsia="en-US"/>
        </w:rPr>
      </w:pPr>
      <w:r>
        <w:rPr>
          <w:rFonts w:asciiTheme="minorHAnsi" w:hAnsiTheme="minorHAnsi" w:cs="Agency FB"/>
          <w:b/>
          <w:bCs/>
          <w:color w:val="0070C0"/>
          <w:sz w:val="48"/>
          <w:szCs w:val="48"/>
          <w:lang w:eastAsia="en-US"/>
        </w:rPr>
        <w:t>PROGETTO SIBIT</w:t>
      </w:r>
    </w:p>
    <w:p w14:paraId="6CBA8343" w14:textId="77777777" w:rsidR="00D4796A" w:rsidRDefault="001B6020" w:rsidP="001B6020">
      <w:pPr>
        <w:spacing w:before="360"/>
        <w:jc w:val="center"/>
        <w:rPr>
          <w:rFonts w:asciiTheme="minorHAnsi" w:hAnsiTheme="minorHAnsi" w:cs="Agency FB"/>
          <w:b/>
          <w:bCs/>
          <w:color w:val="0070C0"/>
          <w:sz w:val="48"/>
          <w:szCs w:val="48"/>
          <w:lang w:eastAsia="en-US"/>
        </w:rPr>
      </w:pPr>
      <w:r w:rsidRPr="00584860">
        <w:rPr>
          <w:rFonts w:asciiTheme="minorHAnsi" w:hAnsiTheme="minorHAnsi" w:cs="Agency FB"/>
          <w:b/>
          <w:bCs/>
          <w:color w:val="0070C0"/>
          <w:sz w:val="48"/>
          <w:szCs w:val="48"/>
          <w:lang w:eastAsia="en-US"/>
        </w:rPr>
        <w:t xml:space="preserve">STANDARD ITALIANO BIGLIETTAZIONE </w:t>
      </w:r>
    </w:p>
    <w:p w14:paraId="4A4A8C30" w14:textId="77777777" w:rsidR="001B6020" w:rsidRDefault="001B6020" w:rsidP="001B6020">
      <w:pPr>
        <w:spacing w:before="360"/>
        <w:jc w:val="center"/>
        <w:rPr>
          <w:rFonts w:asciiTheme="minorHAnsi" w:hAnsiTheme="minorHAnsi" w:cs="Agency FB"/>
          <w:b/>
          <w:bCs/>
          <w:color w:val="0070C0"/>
          <w:sz w:val="48"/>
          <w:szCs w:val="48"/>
          <w:lang w:eastAsia="en-US"/>
        </w:rPr>
      </w:pPr>
      <w:r w:rsidRPr="00584860">
        <w:rPr>
          <w:rFonts w:asciiTheme="minorHAnsi" w:hAnsiTheme="minorHAnsi" w:cs="Agency FB"/>
          <w:b/>
          <w:bCs/>
          <w:color w:val="0070C0"/>
          <w:sz w:val="48"/>
          <w:szCs w:val="48"/>
          <w:lang w:eastAsia="en-US"/>
        </w:rPr>
        <w:t>TRASPORTI</w:t>
      </w:r>
    </w:p>
    <w:p w14:paraId="28F0E82D" w14:textId="77777777" w:rsidR="003917C4" w:rsidRDefault="003917C4" w:rsidP="001B6020">
      <w:pPr>
        <w:spacing w:before="360"/>
        <w:jc w:val="center"/>
        <w:rPr>
          <w:rFonts w:asciiTheme="minorHAnsi" w:hAnsiTheme="minorHAnsi" w:cs="Agency FB"/>
          <w:b/>
          <w:bCs/>
          <w:color w:val="0070C0"/>
          <w:sz w:val="48"/>
          <w:szCs w:val="48"/>
          <w:lang w:eastAsia="en-US"/>
        </w:rPr>
      </w:pPr>
    </w:p>
    <w:p w14:paraId="3D07DEEA" w14:textId="77777777" w:rsidR="003917C4" w:rsidRDefault="003917C4" w:rsidP="001B6020">
      <w:pPr>
        <w:spacing w:before="360"/>
        <w:jc w:val="center"/>
        <w:rPr>
          <w:rFonts w:asciiTheme="minorHAnsi" w:hAnsiTheme="minorHAnsi" w:cs="Agency FB"/>
          <w:b/>
          <w:bCs/>
          <w:color w:val="0070C0"/>
          <w:sz w:val="48"/>
          <w:szCs w:val="48"/>
          <w:lang w:eastAsia="en-US"/>
        </w:rPr>
      </w:pPr>
    </w:p>
    <w:p w14:paraId="71FF854E" w14:textId="77777777" w:rsidR="00C540F1" w:rsidRDefault="00411D30" w:rsidP="003917C4">
      <w:pPr>
        <w:spacing w:before="360"/>
        <w:jc w:val="center"/>
        <w:rPr>
          <w:rFonts w:asciiTheme="minorHAnsi" w:hAnsiTheme="minorHAnsi" w:cs="Agency FB"/>
          <w:b/>
          <w:bCs/>
          <w:color w:val="0070C0"/>
          <w:sz w:val="48"/>
          <w:szCs w:val="48"/>
          <w:lang w:eastAsia="en-US"/>
        </w:rPr>
      </w:pPr>
      <w:r>
        <w:rPr>
          <w:rFonts w:asciiTheme="minorHAnsi" w:hAnsiTheme="minorHAnsi" w:cs="Agency FB"/>
          <w:b/>
          <w:bCs/>
          <w:color w:val="0070C0"/>
          <w:sz w:val="48"/>
          <w:szCs w:val="48"/>
          <w:lang w:eastAsia="en-US"/>
        </w:rPr>
        <w:t>WORKFLOW</w:t>
      </w:r>
      <w:r w:rsidR="00C540F1">
        <w:rPr>
          <w:rFonts w:asciiTheme="minorHAnsi" w:hAnsiTheme="minorHAnsi" w:cs="Agency FB"/>
          <w:b/>
          <w:bCs/>
          <w:color w:val="0070C0"/>
          <w:sz w:val="48"/>
          <w:szCs w:val="48"/>
          <w:lang w:eastAsia="en-US"/>
        </w:rPr>
        <w:t xml:space="preserve"> E MILESTONE </w:t>
      </w:r>
    </w:p>
    <w:p w14:paraId="72A9FA6B" w14:textId="77777777" w:rsidR="001B6020" w:rsidRDefault="00C540F1" w:rsidP="003917C4">
      <w:pPr>
        <w:spacing w:before="360"/>
        <w:jc w:val="center"/>
        <w:rPr>
          <w:rFonts w:asciiTheme="minorHAnsi" w:hAnsiTheme="minorHAnsi" w:cs="Agency FB"/>
          <w:b/>
          <w:bCs/>
          <w:color w:val="0070C0"/>
          <w:sz w:val="48"/>
          <w:szCs w:val="48"/>
          <w:lang w:eastAsia="en-US"/>
        </w:rPr>
      </w:pPr>
      <w:r>
        <w:rPr>
          <w:rFonts w:asciiTheme="minorHAnsi" w:hAnsiTheme="minorHAnsi" w:cs="Agency FB"/>
          <w:b/>
          <w:bCs/>
          <w:color w:val="0070C0"/>
          <w:sz w:val="48"/>
          <w:szCs w:val="48"/>
          <w:lang w:eastAsia="en-US"/>
        </w:rPr>
        <w:t>KIT DI RIUSO</w:t>
      </w:r>
    </w:p>
    <w:p w14:paraId="7DF8C916" w14:textId="77777777" w:rsidR="001B6020" w:rsidRPr="00584860" w:rsidRDefault="001B6020" w:rsidP="001B6020">
      <w:pPr>
        <w:spacing w:before="360"/>
        <w:jc w:val="center"/>
        <w:rPr>
          <w:rFonts w:asciiTheme="minorHAnsi" w:hAnsiTheme="minorHAnsi" w:cs="Albertus MT Lt"/>
        </w:rPr>
      </w:pPr>
    </w:p>
    <w:p w14:paraId="4C4758B0" w14:textId="77777777" w:rsidR="00265D5E" w:rsidRDefault="00265D5E">
      <w:pPr>
        <w:spacing w:after="200" w:line="276" w:lineRule="auto"/>
        <w:rPr>
          <w:rFonts w:asciiTheme="minorHAnsi" w:hAnsiTheme="minorHAnsi" w:cstheme="minorHAnsi"/>
        </w:rPr>
      </w:pPr>
      <w:r>
        <w:rPr>
          <w:rFonts w:asciiTheme="minorHAnsi" w:hAnsiTheme="minorHAnsi" w:cstheme="minorHAnsi"/>
          <w:b/>
          <w:bCs/>
        </w:rPr>
        <w:br w:type="page"/>
      </w:r>
    </w:p>
    <w:sdt>
      <w:sdtPr>
        <w:rPr>
          <w:rFonts w:asciiTheme="minorHAnsi" w:eastAsiaTheme="minorEastAsia" w:hAnsiTheme="minorHAnsi" w:cstheme="minorHAnsi"/>
          <w:b w:val="0"/>
          <w:bCs w:val="0"/>
          <w:color w:val="auto"/>
          <w:sz w:val="24"/>
          <w:szCs w:val="24"/>
          <w:lang w:eastAsia="it-IT"/>
        </w:rPr>
        <w:id w:val="108401351"/>
        <w:docPartObj>
          <w:docPartGallery w:val="Table of Contents"/>
          <w:docPartUnique/>
        </w:docPartObj>
      </w:sdtPr>
      <w:sdtEndPr/>
      <w:sdtContent>
        <w:p w14:paraId="68222FFA" w14:textId="77777777" w:rsidR="001B6020" w:rsidRPr="00357309" w:rsidRDefault="001B6020">
          <w:pPr>
            <w:pStyle w:val="Titolosommario"/>
            <w:rPr>
              <w:rFonts w:asciiTheme="minorHAnsi" w:hAnsiTheme="minorHAnsi" w:cstheme="minorHAnsi"/>
            </w:rPr>
          </w:pPr>
          <w:r w:rsidRPr="00357309">
            <w:rPr>
              <w:rFonts w:asciiTheme="minorHAnsi" w:hAnsiTheme="minorHAnsi" w:cstheme="minorHAnsi"/>
              <w:color w:val="auto"/>
            </w:rPr>
            <w:t>Sommario</w:t>
          </w:r>
        </w:p>
        <w:p w14:paraId="47C100D7" w14:textId="2368C56E" w:rsidR="00E601EC" w:rsidRDefault="00823DEE">
          <w:pPr>
            <w:pStyle w:val="Sommario1"/>
            <w:rPr>
              <w:rFonts w:asciiTheme="minorHAnsi" w:hAnsiTheme="minorHAnsi"/>
              <w:noProof/>
              <w:sz w:val="22"/>
              <w:szCs w:val="22"/>
            </w:rPr>
          </w:pPr>
          <w:r w:rsidRPr="00357309">
            <w:rPr>
              <w:rFonts w:asciiTheme="minorHAnsi" w:hAnsiTheme="minorHAnsi" w:cstheme="minorHAnsi"/>
            </w:rPr>
            <w:fldChar w:fldCharType="begin"/>
          </w:r>
          <w:r w:rsidR="001B6020" w:rsidRPr="00357309">
            <w:rPr>
              <w:rFonts w:asciiTheme="minorHAnsi" w:hAnsiTheme="minorHAnsi" w:cstheme="minorHAnsi"/>
            </w:rPr>
            <w:instrText xml:space="preserve"> TOC \o "1-3" \h \z \u </w:instrText>
          </w:r>
          <w:r w:rsidRPr="00357309">
            <w:rPr>
              <w:rFonts w:asciiTheme="minorHAnsi" w:hAnsiTheme="minorHAnsi" w:cstheme="minorHAnsi"/>
            </w:rPr>
            <w:fldChar w:fldCharType="separate"/>
          </w:r>
          <w:hyperlink w:anchor="_Toc55402546" w:history="1">
            <w:r w:rsidR="00E601EC" w:rsidRPr="003247DC">
              <w:rPr>
                <w:rStyle w:val="Collegamentoipertestuale"/>
                <w:rFonts w:cstheme="minorHAnsi"/>
                <w:noProof/>
              </w:rPr>
              <w:t>1.</w:t>
            </w:r>
            <w:r w:rsidR="00E601EC">
              <w:rPr>
                <w:rFonts w:asciiTheme="minorHAnsi" w:hAnsiTheme="minorHAnsi"/>
                <w:noProof/>
                <w:sz w:val="22"/>
                <w:szCs w:val="22"/>
              </w:rPr>
              <w:tab/>
            </w:r>
            <w:r w:rsidR="00E601EC" w:rsidRPr="003247DC">
              <w:rPr>
                <w:rStyle w:val="Collegamentoipertestuale"/>
                <w:rFonts w:cstheme="minorHAnsi"/>
                <w:noProof/>
              </w:rPr>
              <w:t>Introduzione e premessa</w:t>
            </w:r>
            <w:r w:rsidR="00E601EC">
              <w:rPr>
                <w:noProof/>
                <w:webHidden/>
              </w:rPr>
              <w:tab/>
            </w:r>
            <w:r w:rsidR="00E601EC">
              <w:rPr>
                <w:noProof/>
                <w:webHidden/>
              </w:rPr>
              <w:fldChar w:fldCharType="begin"/>
            </w:r>
            <w:r w:rsidR="00E601EC">
              <w:rPr>
                <w:noProof/>
                <w:webHidden/>
              </w:rPr>
              <w:instrText xml:space="preserve"> PAGEREF _Toc55402546 \h </w:instrText>
            </w:r>
            <w:r w:rsidR="00E601EC">
              <w:rPr>
                <w:noProof/>
                <w:webHidden/>
              </w:rPr>
            </w:r>
            <w:r w:rsidR="00E601EC">
              <w:rPr>
                <w:noProof/>
                <w:webHidden/>
              </w:rPr>
              <w:fldChar w:fldCharType="separate"/>
            </w:r>
            <w:r w:rsidR="00E601EC">
              <w:rPr>
                <w:noProof/>
                <w:webHidden/>
              </w:rPr>
              <w:t>3</w:t>
            </w:r>
            <w:r w:rsidR="00E601EC">
              <w:rPr>
                <w:noProof/>
                <w:webHidden/>
              </w:rPr>
              <w:fldChar w:fldCharType="end"/>
            </w:r>
          </w:hyperlink>
        </w:p>
        <w:p w14:paraId="524A0AFA" w14:textId="7B18E9D8" w:rsidR="00E601EC" w:rsidRDefault="00E601EC">
          <w:pPr>
            <w:pStyle w:val="Sommario1"/>
            <w:rPr>
              <w:rFonts w:asciiTheme="minorHAnsi" w:hAnsiTheme="minorHAnsi"/>
              <w:noProof/>
              <w:sz w:val="22"/>
              <w:szCs w:val="22"/>
            </w:rPr>
          </w:pPr>
          <w:hyperlink w:anchor="_Toc55402547" w:history="1">
            <w:r w:rsidRPr="003247DC">
              <w:rPr>
                <w:rStyle w:val="Collegamentoipertestuale"/>
                <w:noProof/>
              </w:rPr>
              <w:t>2.</w:t>
            </w:r>
            <w:r>
              <w:rPr>
                <w:rFonts w:asciiTheme="minorHAnsi" w:hAnsiTheme="minorHAnsi"/>
                <w:noProof/>
                <w:sz w:val="22"/>
                <w:szCs w:val="22"/>
              </w:rPr>
              <w:tab/>
            </w:r>
            <w:r w:rsidRPr="003247DC">
              <w:rPr>
                <w:rStyle w:val="Collegamentoipertestuale"/>
                <w:noProof/>
              </w:rPr>
              <w:t>Processo decisionale</w:t>
            </w:r>
            <w:r>
              <w:rPr>
                <w:noProof/>
                <w:webHidden/>
              </w:rPr>
              <w:tab/>
            </w:r>
            <w:r>
              <w:rPr>
                <w:noProof/>
                <w:webHidden/>
              </w:rPr>
              <w:fldChar w:fldCharType="begin"/>
            </w:r>
            <w:r>
              <w:rPr>
                <w:noProof/>
                <w:webHidden/>
              </w:rPr>
              <w:instrText xml:space="preserve"> PAGEREF _Toc55402547 \h </w:instrText>
            </w:r>
            <w:r>
              <w:rPr>
                <w:noProof/>
                <w:webHidden/>
              </w:rPr>
            </w:r>
            <w:r>
              <w:rPr>
                <w:noProof/>
                <w:webHidden/>
              </w:rPr>
              <w:fldChar w:fldCharType="separate"/>
            </w:r>
            <w:r>
              <w:rPr>
                <w:noProof/>
                <w:webHidden/>
              </w:rPr>
              <w:t>4</w:t>
            </w:r>
            <w:r>
              <w:rPr>
                <w:noProof/>
                <w:webHidden/>
              </w:rPr>
              <w:fldChar w:fldCharType="end"/>
            </w:r>
          </w:hyperlink>
        </w:p>
        <w:p w14:paraId="7D93EE9C" w14:textId="1EF2CE95" w:rsidR="00E601EC" w:rsidRDefault="00E601EC">
          <w:pPr>
            <w:pStyle w:val="Sommario2"/>
            <w:tabs>
              <w:tab w:val="left" w:pos="880"/>
              <w:tab w:val="right" w:leader="dot" w:pos="9628"/>
            </w:tabs>
            <w:rPr>
              <w:rFonts w:asciiTheme="minorHAnsi" w:hAnsiTheme="minorHAnsi"/>
              <w:noProof/>
              <w:sz w:val="22"/>
              <w:szCs w:val="22"/>
            </w:rPr>
          </w:pPr>
          <w:hyperlink w:anchor="_Toc55402548" w:history="1">
            <w:r w:rsidRPr="003247DC">
              <w:rPr>
                <w:rStyle w:val="Collegamentoipertestuale"/>
                <w:noProof/>
              </w:rPr>
              <w:t>2.1.</w:t>
            </w:r>
            <w:r>
              <w:rPr>
                <w:rFonts w:asciiTheme="minorHAnsi" w:hAnsiTheme="minorHAnsi"/>
                <w:noProof/>
                <w:sz w:val="22"/>
                <w:szCs w:val="22"/>
              </w:rPr>
              <w:tab/>
            </w:r>
            <w:r w:rsidRPr="003247DC">
              <w:rPr>
                <w:rStyle w:val="Collegamentoipertestuale"/>
                <w:noProof/>
              </w:rPr>
              <w:t>Contestualizzazione sui concetti di “bigliettazione elettronica” e “integrazione tariffaria”</w:t>
            </w:r>
            <w:r>
              <w:rPr>
                <w:noProof/>
                <w:webHidden/>
              </w:rPr>
              <w:tab/>
            </w:r>
            <w:r>
              <w:rPr>
                <w:noProof/>
                <w:webHidden/>
              </w:rPr>
              <w:fldChar w:fldCharType="begin"/>
            </w:r>
            <w:r>
              <w:rPr>
                <w:noProof/>
                <w:webHidden/>
              </w:rPr>
              <w:instrText xml:space="preserve"> PAGEREF _Toc55402548 \h </w:instrText>
            </w:r>
            <w:r>
              <w:rPr>
                <w:noProof/>
                <w:webHidden/>
              </w:rPr>
            </w:r>
            <w:r>
              <w:rPr>
                <w:noProof/>
                <w:webHidden/>
              </w:rPr>
              <w:fldChar w:fldCharType="separate"/>
            </w:r>
            <w:r>
              <w:rPr>
                <w:noProof/>
                <w:webHidden/>
              </w:rPr>
              <w:t>4</w:t>
            </w:r>
            <w:r>
              <w:rPr>
                <w:noProof/>
                <w:webHidden/>
              </w:rPr>
              <w:fldChar w:fldCharType="end"/>
            </w:r>
          </w:hyperlink>
        </w:p>
        <w:p w14:paraId="2F35D60D" w14:textId="51098463" w:rsidR="00E601EC" w:rsidRDefault="00E601EC">
          <w:pPr>
            <w:pStyle w:val="Sommario2"/>
            <w:tabs>
              <w:tab w:val="left" w:pos="880"/>
              <w:tab w:val="right" w:leader="dot" w:pos="9628"/>
            </w:tabs>
            <w:rPr>
              <w:rFonts w:asciiTheme="minorHAnsi" w:hAnsiTheme="minorHAnsi"/>
              <w:noProof/>
              <w:sz w:val="22"/>
              <w:szCs w:val="22"/>
            </w:rPr>
          </w:pPr>
          <w:hyperlink w:anchor="_Toc55402549" w:history="1">
            <w:r w:rsidRPr="003247DC">
              <w:rPr>
                <w:rStyle w:val="Collegamentoipertestuale"/>
                <w:noProof/>
              </w:rPr>
              <w:t>2.2.</w:t>
            </w:r>
            <w:r>
              <w:rPr>
                <w:rFonts w:asciiTheme="minorHAnsi" w:hAnsiTheme="minorHAnsi"/>
                <w:noProof/>
                <w:sz w:val="22"/>
                <w:szCs w:val="22"/>
              </w:rPr>
              <w:tab/>
            </w:r>
            <w:r w:rsidRPr="003247DC">
              <w:rPr>
                <w:rStyle w:val="Collegamentoipertestuale"/>
                <w:noProof/>
              </w:rPr>
              <w:t>Progetto SIBIT</w:t>
            </w:r>
            <w:r>
              <w:rPr>
                <w:noProof/>
                <w:webHidden/>
              </w:rPr>
              <w:tab/>
            </w:r>
            <w:r>
              <w:rPr>
                <w:noProof/>
                <w:webHidden/>
              </w:rPr>
              <w:fldChar w:fldCharType="begin"/>
            </w:r>
            <w:r>
              <w:rPr>
                <w:noProof/>
                <w:webHidden/>
              </w:rPr>
              <w:instrText xml:space="preserve"> PAGEREF _Toc55402549 \h </w:instrText>
            </w:r>
            <w:r>
              <w:rPr>
                <w:noProof/>
                <w:webHidden/>
              </w:rPr>
            </w:r>
            <w:r>
              <w:rPr>
                <w:noProof/>
                <w:webHidden/>
              </w:rPr>
              <w:fldChar w:fldCharType="separate"/>
            </w:r>
            <w:r>
              <w:rPr>
                <w:noProof/>
                <w:webHidden/>
              </w:rPr>
              <w:t>5</w:t>
            </w:r>
            <w:r>
              <w:rPr>
                <w:noProof/>
                <w:webHidden/>
              </w:rPr>
              <w:fldChar w:fldCharType="end"/>
            </w:r>
          </w:hyperlink>
        </w:p>
        <w:p w14:paraId="3F618278" w14:textId="160C10F8" w:rsidR="00E601EC" w:rsidRDefault="00E601EC">
          <w:pPr>
            <w:pStyle w:val="Sommario2"/>
            <w:tabs>
              <w:tab w:val="left" w:pos="880"/>
              <w:tab w:val="right" w:leader="dot" w:pos="9628"/>
            </w:tabs>
            <w:rPr>
              <w:rFonts w:asciiTheme="minorHAnsi" w:hAnsiTheme="minorHAnsi"/>
              <w:noProof/>
              <w:sz w:val="22"/>
              <w:szCs w:val="22"/>
            </w:rPr>
          </w:pPr>
          <w:hyperlink w:anchor="_Toc55402550" w:history="1">
            <w:r w:rsidRPr="003247DC">
              <w:rPr>
                <w:rStyle w:val="Collegamentoipertestuale"/>
                <w:noProof/>
              </w:rPr>
              <w:t>2.3.</w:t>
            </w:r>
            <w:r>
              <w:rPr>
                <w:rFonts w:asciiTheme="minorHAnsi" w:hAnsiTheme="minorHAnsi"/>
                <w:noProof/>
                <w:sz w:val="22"/>
                <w:szCs w:val="22"/>
              </w:rPr>
              <w:tab/>
            </w:r>
            <w:r w:rsidRPr="003247DC">
              <w:rPr>
                <w:rStyle w:val="Collegamentoipertestuale"/>
                <w:noProof/>
              </w:rPr>
              <w:t>Elementi caratteristici dell’Attività</w:t>
            </w:r>
            <w:r>
              <w:rPr>
                <w:noProof/>
                <w:webHidden/>
              </w:rPr>
              <w:tab/>
            </w:r>
            <w:r>
              <w:rPr>
                <w:noProof/>
                <w:webHidden/>
              </w:rPr>
              <w:fldChar w:fldCharType="begin"/>
            </w:r>
            <w:r>
              <w:rPr>
                <w:noProof/>
                <w:webHidden/>
              </w:rPr>
              <w:instrText xml:space="preserve"> PAGEREF _Toc55402550 \h </w:instrText>
            </w:r>
            <w:r>
              <w:rPr>
                <w:noProof/>
                <w:webHidden/>
              </w:rPr>
            </w:r>
            <w:r>
              <w:rPr>
                <w:noProof/>
                <w:webHidden/>
              </w:rPr>
              <w:fldChar w:fldCharType="separate"/>
            </w:r>
            <w:r>
              <w:rPr>
                <w:noProof/>
                <w:webHidden/>
              </w:rPr>
              <w:t>6</w:t>
            </w:r>
            <w:r>
              <w:rPr>
                <w:noProof/>
                <w:webHidden/>
              </w:rPr>
              <w:fldChar w:fldCharType="end"/>
            </w:r>
          </w:hyperlink>
        </w:p>
        <w:p w14:paraId="1AD715F4" w14:textId="0A38DA50" w:rsidR="00E601EC" w:rsidRDefault="00E601EC">
          <w:pPr>
            <w:pStyle w:val="Sommario1"/>
            <w:rPr>
              <w:rFonts w:asciiTheme="minorHAnsi" w:hAnsiTheme="minorHAnsi"/>
              <w:noProof/>
              <w:sz w:val="22"/>
              <w:szCs w:val="22"/>
            </w:rPr>
          </w:pPr>
          <w:hyperlink w:anchor="_Toc55402551" w:history="1">
            <w:r w:rsidRPr="003247DC">
              <w:rPr>
                <w:rStyle w:val="Collegamentoipertestuale"/>
                <w:noProof/>
              </w:rPr>
              <w:t>3.</w:t>
            </w:r>
            <w:r>
              <w:rPr>
                <w:rFonts w:asciiTheme="minorHAnsi" w:hAnsiTheme="minorHAnsi"/>
                <w:noProof/>
                <w:sz w:val="22"/>
                <w:szCs w:val="22"/>
              </w:rPr>
              <w:tab/>
            </w:r>
            <w:r w:rsidRPr="003247DC">
              <w:rPr>
                <w:rStyle w:val="Collegamentoipertestuale"/>
                <w:noProof/>
              </w:rPr>
              <w:t>Individuazione struttura tecnica per la gestione del progetto</w:t>
            </w:r>
            <w:r>
              <w:rPr>
                <w:noProof/>
                <w:webHidden/>
              </w:rPr>
              <w:tab/>
            </w:r>
            <w:r>
              <w:rPr>
                <w:noProof/>
                <w:webHidden/>
              </w:rPr>
              <w:fldChar w:fldCharType="begin"/>
            </w:r>
            <w:r>
              <w:rPr>
                <w:noProof/>
                <w:webHidden/>
              </w:rPr>
              <w:instrText xml:space="preserve"> PAGEREF _Toc55402551 \h </w:instrText>
            </w:r>
            <w:r>
              <w:rPr>
                <w:noProof/>
                <w:webHidden/>
              </w:rPr>
            </w:r>
            <w:r>
              <w:rPr>
                <w:noProof/>
                <w:webHidden/>
              </w:rPr>
              <w:fldChar w:fldCharType="separate"/>
            </w:r>
            <w:r>
              <w:rPr>
                <w:noProof/>
                <w:webHidden/>
              </w:rPr>
              <w:t>8</w:t>
            </w:r>
            <w:r>
              <w:rPr>
                <w:noProof/>
                <w:webHidden/>
              </w:rPr>
              <w:fldChar w:fldCharType="end"/>
            </w:r>
          </w:hyperlink>
        </w:p>
        <w:p w14:paraId="4871FBBF" w14:textId="3E99A279" w:rsidR="00E601EC" w:rsidRDefault="00E601EC">
          <w:pPr>
            <w:pStyle w:val="Sommario1"/>
            <w:rPr>
              <w:rFonts w:asciiTheme="minorHAnsi" w:hAnsiTheme="minorHAnsi"/>
              <w:noProof/>
              <w:sz w:val="22"/>
              <w:szCs w:val="22"/>
            </w:rPr>
          </w:pPr>
          <w:hyperlink w:anchor="_Toc55402552" w:history="1">
            <w:r w:rsidRPr="003247DC">
              <w:rPr>
                <w:rStyle w:val="Collegamentoipertestuale"/>
                <w:noProof/>
              </w:rPr>
              <w:t>4.</w:t>
            </w:r>
            <w:r>
              <w:rPr>
                <w:rFonts w:asciiTheme="minorHAnsi" w:hAnsiTheme="minorHAnsi"/>
                <w:noProof/>
                <w:sz w:val="22"/>
                <w:szCs w:val="22"/>
              </w:rPr>
              <w:tab/>
            </w:r>
            <w:r w:rsidRPr="003247DC">
              <w:rPr>
                <w:rStyle w:val="Collegamentoipertestuale"/>
                <w:noProof/>
              </w:rPr>
              <w:t>Legislazione per definizione budget progetto</w:t>
            </w:r>
            <w:r>
              <w:rPr>
                <w:noProof/>
                <w:webHidden/>
              </w:rPr>
              <w:tab/>
            </w:r>
            <w:r>
              <w:rPr>
                <w:noProof/>
                <w:webHidden/>
              </w:rPr>
              <w:fldChar w:fldCharType="begin"/>
            </w:r>
            <w:r>
              <w:rPr>
                <w:noProof/>
                <w:webHidden/>
              </w:rPr>
              <w:instrText xml:space="preserve"> PAGEREF _Toc55402552 \h </w:instrText>
            </w:r>
            <w:r>
              <w:rPr>
                <w:noProof/>
                <w:webHidden/>
              </w:rPr>
            </w:r>
            <w:r>
              <w:rPr>
                <w:noProof/>
                <w:webHidden/>
              </w:rPr>
              <w:fldChar w:fldCharType="separate"/>
            </w:r>
            <w:r>
              <w:rPr>
                <w:noProof/>
                <w:webHidden/>
              </w:rPr>
              <w:t>9</w:t>
            </w:r>
            <w:r>
              <w:rPr>
                <w:noProof/>
                <w:webHidden/>
              </w:rPr>
              <w:fldChar w:fldCharType="end"/>
            </w:r>
          </w:hyperlink>
        </w:p>
        <w:p w14:paraId="57D39A83" w14:textId="09203B0E" w:rsidR="00E601EC" w:rsidRDefault="00E601EC">
          <w:pPr>
            <w:pStyle w:val="Sommario1"/>
            <w:rPr>
              <w:rFonts w:asciiTheme="minorHAnsi" w:hAnsiTheme="minorHAnsi"/>
              <w:noProof/>
              <w:sz w:val="22"/>
              <w:szCs w:val="22"/>
            </w:rPr>
          </w:pPr>
          <w:hyperlink w:anchor="_Toc55402553" w:history="1">
            <w:r w:rsidRPr="003247DC">
              <w:rPr>
                <w:rStyle w:val="Collegamentoipertestuale"/>
                <w:noProof/>
              </w:rPr>
              <w:t>5.</w:t>
            </w:r>
            <w:r>
              <w:rPr>
                <w:rFonts w:asciiTheme="minorHAnsi" w:hAnsiTheme="minorHAnsi"/>
                <w:noProof/>
                <w:sz w:val="22"/>
                <w:szCs w:val="22"/>
              </w:rPr>
              <w:tab/>
            </w:r>
            <w:r w:rsidRPr="003247DC">
              <w:rPr>
                <w:rStyle w:val="Collegamentoipertestuale"/>
                <w:noProof/>
              </w:rPr>
              <w:t>Definizione legislativa coinvolgimento aziende TPL</w:t>
            </w:r>
            <w:r>
              <w:rPr>
                <w:noProof/>
                <w:webHidden/>
              </w:rPr>
              <w:tab/>
            </w:r>
            <w:r>
              <w:rPr>
                <w:noProof/>
                <w:webHidden/>
              </w:rPr>
              <w:fldChar w:fldCharType="begin"/>
            </w:r>
            <w:r>
              <w:rPr>
                <w:noProof/>
                <w:webHidden/>
              </w:rPr>
              <w:instrText xml:space="preserve"> PAGEREF _Toc55402553 \h </w:instrText>
            </w:r>
            <w:r>
              <w:rPr>
                <w:noProof/>
                <w:webHidden/>
              </w:rPr>
            </w:r>
            <w:r>
              <w:rPr>
                <w:noProof/>
                <w:webHidden/>
              </w:rPr>
              <w:fldChar w:fldCharType="separate"/>
            </w:r>
            <w:r>
              <w:rPr>
                <w:noProof/>
                <w:webHidden/>
              </w:rPr>
              <w:t>10</w:t>
            </w:r>
            <w:r>
              <w:rPr>
                <w:noProof/>
                <w:webHidden/>
              </w:rPr>
              <w:fldChar w:fldCharType="end"/>
            </w:r>
          </w:hyperlink>
        </w:p>
        <w:p w14:paraId="6BDB8268" w14:textId="6D763007" w:rsidR="00E601EC" w:rsidRDefault="00E601EC">
          <w:pPr>
            <w:pStyle w:val="Sommario1"/>
            <w:rPr>
              <w:rFonts w:asciiTheme="minorHAnsi" w:hAnsiTheme="minorHAnsi"/>
              <w:noProof/>
              <w:sz w:val="22"/>
              <w:szCs w:val="22"/>
            </w:rPr>
          </w:pPr>
          <w:hyperlink w:anchor="_Toc55402554" w:history="1">
            <w:r w:rsidRPr="003247DC">
              <w:rPr>
                <w:rStyle w:val="Collegamentoipertestuale"/>
                <w:noProof/>
              </w:rPr>
              <w:t>6.</w:t>
            </w:r>
            <w:r>
              <w:rPr>
                <w:rFonts w:asciiTheme="minorHAnsi" w:hAnsiTheme="minorHAnsi"/>
                <w:noProof/>
                <w:sz w:val="22"/>
                <w:szCs w:val="22"/>
              </w:rPr>
              <w:tab/>
            </w:r>
            <w:r w:rsidRPr="003247DC">
              <w:rPr>
                <w:rStyle w:val="Collegamentoipertestuale"/>
                <w:noProof/>
              </w:rPr>
              <w:t>Creazione consorzi fra aziende TPL</w:t>
            </w:r>
            <w:r>
              <w:rPr>
                <w:noProof/>
                <w:webHidden/>
              </w:rPr>
              <w:tab/>
            </w:r>
            <w:r>
              <w:rPr>
                <w:noProof/>
                <w:webHidden/>
              </w:rPr>
              <w:fldChar w:fldCharType="begin"/>
            </w:r>
            <w:r>
              <w:rPr>
                <w:noProof/>
                <w:webHidden/>
              </w:rPr>
              <w:instrText xml:space="preserve"> PAGEREF _Toc55402554 \h </w:instrText>
            </w:r>
            <w:r>
              <w:rPr>
                <w:noProof/>
                <w:webHidden/>
              </w:rPr>
            </w:r>
            <w:r>
              <w:rPr>
                <w:noProof/>
                <w:webHidden/>
              </w:rPr>
              <w:fldChar w:fldCharType="separate"/>
            </w:r>
            <w:r>
              <w:rPr>
                <w:noProof/>
                <w:webHidden/>
              </w:rPr>
              <w:t>11</w:t>
            </w:r>
            <w:r>
              <w:rPr>
                <w:noProof/>
                <w:webHidden/>
              </w:rPr>
              <w:fldChar w:fldCharType="end"/>
            </w:r>
          </w:hyperlink>
        </w:p>
        <w:p w14:paraId="5F26C26C" w14:textId="6E3DD4B4" w:rsidR="00E601EC" w:rsidRDefault="00E601EC">
          <w:pPr>
            <w:pStyle w:val="Sommario1"/>
            <w:rPr>
              <w:rFonts w:asciiTheme="minorHAnsi" w:hAnsiTheme="minorHAnsi"/>
              <w:noProof/>
              <w:sz w:val="22"/>
              <w:szCs w:val="22"/>
            </w:rPr>
          </w:pPr>
          <w:hyperlink w:anchor="_Toc55402555" w:history="1">
            <w:r w:rsidRPr="003247DC">
              <w:rPr>
                <w:rStyle w:val="Collegamentoipertestuale"/>
                <w:noProof/>
              </w:rPr>
              <w:t>7.</w:t>
            </w:r>
            <w:r>
              <w:rPr>
                <w:rFonts w:asciiTheme="minorHAnsi" w:hAnsiTheme="minorHAnsi"/>
                <w:noProof/>
                <w:sz w:val="22"/>
                <w:szCs w:val="22"/>
              </w:rPr>
              <w:tab/>
            </w:r>
            <w:r w:rsidRPr="003247DC">
              <w:rPr>
                <w:rStyle w:val="Collegamentoipertestuale"/>
                <w:noProof/>
              </w:rPr>
              <w:t>Studio situazione esistente</w:t>
            </w:r>
            <w:r>
              <w:rPr>
                <w:noProof/>
                <w:webHidden/>
              </w:rPr>
              <w:tab/>
            </w:r>
            <w:r>
              <w:rPr>
                <w:noProof/>
                <w:webHidden/>
              </w:rPr>
              <w:fldChar w:fldCharType="begin"/>
            </w:r>
            <w:r>
              <w:rPr>
                <w:noProof/>
                <w:webHidden/>
              </w:rPr>
              <w:instrText xml:space="preserve"> PAGEREF _Toc55402555 \h </w:instrText>
            </w:r>
            <w:r>
              <w:rPr>
                <w:noProof/>
                <w:webHidden/>
              </w:rPr>
            </w:r>
            <w:r>
              <w:rPr>
                <w:noProof/>
                <w:webHidden/>
              </w:rPr>
              <w:fldChar w:fldCharType="separate"/>
            </w:r>
            <w:r>
              <w:rPr>
                <w:noProof/>
                <w:webHidden/>
              </w:rPr>
              <w:t>12</w:t>
            </w:r>
            <w:r>
              <w:rPr>
                <w:noProof/>
                <w:webHidden/>
              </w:rPr>
              <w:fldChar w:fldCharType="end"/>
            </w:r>
          </w:hyperlink>
        </w:p>
        <w:p w14:paraId="6CFD7FC6" w14:textId="5AD2A79C" w:rsidR="00E601EC" w:rsidRDefault="00E601EC">
          <w:pPr>
            <w:pStyle w:val="Sommario1"/>
            <w:rPr>
              <w:rFonts w:asciiTheme="minorHAnsi" w:hAnsiTheme="minorHAnsi"/>
              <w:noProof/>
              <w:sz w:val="22"/>
              <w:szCs w:val="22"/>
            </w:rPr>
          </w:pPr>
          <w:hyperlink w:anchor="_Toc55402556" w:history="1">
            <w:r w:rsidRPr="003247DC">
              <w:rPr>
                <w:rStyle w:val="Collegamentoipertestuale"/>
                <w:noProof/>
              </w:rPr>
              <w:t>8.</w:t>
            </w:r>
            <w:r>
              <w:rPr>
                <w:rFonts w:asciiTheme="minorHAnsi" w:hAnsiTheme="minorHAnsi"/>
                <w:noProof/>
                <w:sz w:val="22"/>
                <w:szCs w:val="22"/>
              </w:rPr>
              <w:tab/>
            </w:r>
            <w:r w:rsidRPr="003247DC">
              <w:rPr>
                <w:rStyle w:val="Collegamentoipertestuale"/>
                <w:noProof/>
              </w:rPr>
              <w:t>Scouting tecnologico e individuazione delle tecnologie condivise da adottare</w:t>
            </w:r>
            <w:r>
              <w:rPr>
                <w:noProof/>
                <w:webHidden/>
              </w:rPr>
              <w:tab/>
            </w:r>
            <w:r>
              <w:rPr>
                <w:noProof/>
                <w:webHidden/>
              </w:rPr>
              <w:fldChar w:fldCharType="begin"/>
            </w:r>
            <w:r>
              <w:rPr>
                <w:noProof/>
                <w:webHidden/>
              </w:rPr>
              <w:instrText xml:space="preserve"> PAGEREF _Toc55402556 \h </w:instrText>
            </w:r>
            <w:r>
              <w:rPr>
                <w:noProof/>
                <w:webHidden/>
              </w:rPr>
            </w:r>
            <w:r>
              <w:rPr>
                <w:noProof/>
                <w:webHidden/>
              </w:rPr>
              <w:fldChar w:fldCharType="separate"/>
            </w:r>
            <w:r>
              <w:rPr>
                <w:noProof/>
                <w:webHidden/>
              </w:rPr>
              <w:t>13</w:t>
            </w:r>
            <w:r>
              <w:rPr>
                <w:noProof/>
                <w:webHidden/>
              </w:rPr>
              <w:fldChar w:fldCharType="end"/>
            </w:r>
          </w:hyperlink>
        </w:p>
        <w:p w14:paraId="541BC743" w14:textId="47456C1F" w:rsidR="00E601EC" w:rsidRDefault="00E601EC">
          <w:pPr>
            <w:pStyle w:val="Sommario1"/>
            <w:rPr>
              <w:rFonts w:asciiTheme="minorHAnsi" w:hAnsiTheme="minorHAnsi"/>
              <w:noProof/>
              <w:sz w:val="22"/>
              <w:szCs w:val="22"/>
            </w:rPr>
          </w:pPr>
          <w:hyperlink w:anchor="_Toc55402557" w:history="1">
            <w:r w:rsidRPr="003247DC">
              <w:rPr>
                <w:rStyle w:val="Collegamentoipertestuale"/>
                <w:noProof/>
              </w:rPr>
              <w:t>9.</w:t>
            </w:r>
            <w:r>
              <w:rPr>
                <w:rFonts w:asciiTheme="minorHAnsi" w:hAnsiTheme="minorHAnsi"/>
                <w:noProof/>
                <w:sz w:val="22"/>
                <w:szCs w:val="22"/>
              </w:rPr>
              <w:tab/>
            </w:r>
            <w:r w:rsidRPr="003247DC">
              <w:rPr>
                <w:rStyle w:val="Collegamentoipertestuale"/>
                <w:noProof/>
              </w:rPr>
              <w:t>Progettazione esecutiva sistema di centro</w:t>
            </w:r>
            <w:r>
              <w:rPr>
                <w:noProof/>
                <w:webHidden/>
              </w:rPr>
              <w:tab/>
            </w:r>
            <w:r>
              <w:rPr>
                <w:noProof/>
                <w:webHidden/>
              </w:rPr>
              <w:fldChar w:fldCharType="begin"/>
            </w:r>
            <w:r>
              <w:rPr>
                <w:noProof/>
                <w:webHidden/>
              </w:rPr>
              <w:instrText xml:space="preserve"> PAGEREF _Toc55402557 \h </w:instrText>
            </w:r>
            <w:r>
              <w:rPr>
                <w:noProof/>
                <w:webHidden/>
              </w:rPr>
            </w:r>
            <w:r>
              <w:rPr>
                <w:noProof/>
                <w:webHidden/>
              </w:rPr>
              <w:fldChar w:fldCharType="separate"/>
            </w:r>
            <w:r>
              <w:rPr>
                <w:noProof/>
                <w:webHidden/>
              </w:rPr>
              <w:t>14</w:t>
            </w:r>
            <w:r>
              <w:rPr>
                <w:noProof/>
                <w:webHidden/>
              </w:rPr>
              <w:fldChar w:fldCharType="end"/>
            </w:r>
          </w:hyperlink>
        </w:p>
        <w:p w14:paraId="48B84AC1" w14:textId="3649DDD2" w:rsidR="00E601EC" w:rsidRDefault="00E601EC">
          <w:pPr>
            <w:pStyle w:val="Sommario1"/>
            <w:rPr>
              <w:rFonts w:asciiTheme="minorHAnsi" w:hAnsiTheme="minorHAnsi"/>
              <w:noProof/>
              <w:sz w:val="22"/>
              <w:szCs w:val="22"/>
            </w:rPr>
          </w:pPr>
          <w:hyperlink w:anchor="_Toc55402558" w:history="1">
            <w:r w:rsidRPr="003247DC">
              <w:rPr>
                <w:rStyle w:val="Collegamentoipertestuale"/>
                <w:noProof/>
              </w:rPr>
              <w:t>10.</w:t>
            </w:r>
            <w:r>
              <w:rPr>
                <w:rFonts w:asciiTheme="minorHAnsi" w:hAnsiTheme="minorHAnsi"/>
                <w:noProof/>
                <w:sz w:val="22"/>
                <w:szCs w:val="22"/>
              </w:rPr>
              <w:tab/>
            </w:r>
            <w:r w:rsidRPr="003247DC">
              <w:rPr>
                <w:rStyle w:val="Collegamentoipertestuale"/>
                <w:noProof/>
              </w:rPr>
              <w:t>Stesura capitolati tecnici sistemi aziendali</w:t>
            </w:r>
            <w:r>
              <w:rPr>
                <w:noProof/>
                <w:webHidden/>
              </w:rPr>
              <w:tab/>
            </w:r>
            <w:r>
              <w:rPr>
                <w:noProof/>
                <w:webHidden/>
              </w:rPr>
              <w:fldChar w:fldCharType="begin"/>
            </w:r>
            <w:r>
              <w:rPr>
                <w:noProof/>
                <w:webHidden/>
              </w:rPr>
              <w:instrText xml:space="preserve"> PAGEREF _Toc55402558 \h </w:instrText>
            </w:r>
            <w:r>
              <w:rPr>
                <w:noProof/>
                <w:webHidden/>
              </w:rPr>
            </w:r>
            <w:r>
              <w:rPr>
                <w:noProof/>
                <w:webHidden/>
              </w:rPr>
              <w:fldChar w:fldCharType="separate"/>
            </w:r>
            <w:r>
              <w:rPr>
                <w:noProof/>
                <w:webHidden/>
              </w:rPr>
              <w:t>15</w:t>
            </w:r>
            <w:r>
              <w:rPr>
                <w:noProof/>
                <w:webHidden/>
              </w:rPr>
              <w:fldChar w:fldCharType="end"/>
            </w:r>
          </w:hyperlink>
        </w:p>
        <w:p w14:paraId="611899CA" w14:textId="74A2E6A2" w:rsidR="00E601EC" w:rsidRDefault="00E601EC">
          <w:pPr>
            <w:pStyle w:val="Sommario1"/>
            <w:rPr>
              <w:rFonts w:asciiTheme="minorHAnsi" w:hAnsiTheme="minorHAnsi"/>
              <w:noProof/>
              <w:sz w:val="22"/>
              <w:szCs w:val="22"/>
            </w:rPr>
          </w:pPr>
          <w:hyperlink w:anchor="_Toc55402559" w:history="1">
            <w:r w:rsidRPr="003247DC">
              <w:rPr>
                <w:rStyle w:val="Collegamentoipertestuale"/>
                <w:noProof/>
              </w:rPr>
              <w:t>11.</w:t>
            </w:r>
            <w:r>
              <w:rPr>
                <w:rFonts w:asciiTheme="minorHAnsi" w:hAnsiTheme="minorHAnsi"/>
                <w:noProof/>
                <w:sz w:val="22"/>
                <w:szCs w:val="22"/>
              </w:rPr>
              <w:tab/>
            </w:r>
            <w:r w:rsidRPr="003247DC">
              <w:rPr>
                <w:rStyle w:val="Collegamentoipertestuale"/>
                <w:noProof/>
              </w:rPr>
              <w:t>Collaudo sistema di centro</w:t>
            </w:r>
            <w:r>
              <w:rPr>
                <w:noProof/>
                <w:webHidden/>
              </w:rPr>
              <w:tab/>
            </w:r>
            <w:r>
              <w:rPr>
                <w:noProof/>
                <w:webHidden/>
              </w:rPr>
              <w:fldChar w:fldCharType="begin"/>
            </w:r>
            <w:r>
              <w:rPr>
                <w:noProof/>
                <w:webHidden/>
              </w:rPr>
              <w:instrText xml:space="preserve"> PAGEREF _Toc55402559 \h </w:instrText>
            </w:r>
            <w:r>
              <w:rPr>
                <w:noProof/>
                <w:webHidden/>
              </w:rPr>
            </w:r>
            <w:r>
              <w:rPr>
                <w:noProof/>
                <w:webHidden/>
              </w:rPr>
              <w:fldChar w:fldCharType="separate"/>
            </w:r>
            <w:r>
              <w:rPr>
                <w:noProof/>
                <w:webHidden/>
              </w:rPr>
              <w:t>16</w:t>
            </w:r>
            <w:r>
              <w:rPr>
                <w:noProof/>
                <w:webHidden/>
              </w:rPr>
              <w:fldChar w:fldCharType="end"/>
            </w:r>
          </w:hyperlink>
        </w:p>
        <w:p w14:paraId="07D0C5C2" w14:textId="23D5AB1D" w:rsidR="00E601EC" w:rsidRDefault="00E601EC">
          <w:pPr>
            <w:pStyle w:val="Sommario1"/>
            <w:rPr>
              <w:rFonts w:asciiTheme="minorHAnsi" w:hAnsiTheme="minorHAnsi"/>
              <w:noProof/>
              <w:sz w:val="22"/>
              <w:szCs w:val="22"/>
            </w:rPr>
          </w:pPr>
          <w:hyperlink w:anchor="_Toc55402560" w:history="1">
            <w:r w:rsidRPr="003247DC">
              <w:rPr>
                <w:rStyle w:val="Collegamentoipertestuale"/>
                <w:noProof/>
              </w:rPr>
              <w:t>12.</w:t>
            </w:r>
            <w:r>
              <w:rPr>
                <w:rFonts w:asciiTheme="minorHAnsi" w:hAnsiTheme="minorHAnsi"/>
                <w:noProof/>
                <w:sz w:val="22"/>
                <w:szCs w:val="22"/>
              </w:rPr>
              <w:tab/>
            </w:r>
            <w:r w:rsidRPr="003247DC">
              <w:rPr>
                <w:rStyle w:val="Collegamentoipertestuale"/>
                <w:noProof/>
              </w:rPr>
              <w:t>Produzione documentazione tecnica di supporto</w:t>
            </w:r>
            <w:r>
              <w:rPr>
                <w:noProof/>
                <w:webHidden/>
              </w:rPr>
              <w:tab/>
            </w:r>
            <w:r>
              <w:rPr>
                <w:noProof/>
                <w:webHidden/>
              </w:rPr>
              <w:fldChar w:fldCharType="begin"/>
            </w:r>
            <w:r>
              <w:rPr>
                <w:noProof/>
                <w:webHidden/>
              </w:rPr>
              <w:instrText xml:space="preserve"> PAGEREF _Toc55402560 \h </w:instrText>
            </w:r>
            <w:r>
              <w:rPr>
                <w:noProof/>
                <w:webHidden/>
              </w:rPr>
            </w:r>
            <w:r>
              <w:rPr>
                <w:noProof/>
                <w:webHidden/>
              </w:rPr>
              <w:fldChar w:fldCharType="separate"/>
            </w:r>
            <w:r>
              <w:rPr>
                <w:noProof/>
                <w:webHidden/>
              </w:rPr>
              <w:t>17</w:t>
            </w:r>
            <w:r>
              <w:rPr>
                <w:noProof/>
                <w:webHidden/>
              </w:rPr>
              <w:fldChar w:fldCharType="end"/>
            </w:r>
          </w:hyperlink>
        </w:p>
        <w:p w14:paraId="6F3F621D" w14:textId="2CB37FA5" w:rsidR="00E601EC" w:rsidRDefault="00E601EC">
          <w:pPr>
            <w:pStyle w:val="Sommario1"/>
            <w:rPr>
              <w:rFonts w:asciiTheme="minorHAnsi" w:hAnsiTheme="minorHAnsi"/>
              <w:noProof/>
              <w:sz w:val="22"/>
              <w:szCs w:val="22"/>
            </w:rPr>
          </w:pPr>
          <w:hyperlink w:anchor="_Toc55402561" w:history="1">
            <w:r w:rsidRPr="003247DC">
              <w:rPr>
                <w:rStyle w:val="Collegamentoipertestuale"/>
                <w:noProof/>
              </w:rPr>
              <w:t>13.</w:t>
            </w:r>
            <w:r>
              <w:rPr>
                <w:rFonts w:asciiTheme="minorHAnsi" w:hAnsiTheme="minorHAnsi"/>
                <w:noProof/>
                <w:sz w:val="22"/>
                <w:szCs w:val="22"/>
              </w:rPr>
              <w:tab/>
            </w:r>
            <w:r w:rsidRPr="003247DC">
              <w:rPr>
                <w:rStyle w:val="Collegamentoipertestuale"/>
                <w:noProof/>
              </w:rPr>
              <w:t>Creazione albo fornitori smartcard</w:t>
            </w:r>
            <w:r>
              <w:rPr>
                <w:noProof/>
                <w:webHidden/>
              </w:rPr>
              <w:tab/>
            </w:r>
            <w:r>
              <w:rPr>
                <w:noProof/>
                <w:webHidden/>
              </w:rPr>
              <w:fldChar w:fldCharType="begin"/>
            </w:r>
            <w:r>
              <w:rPr>
                <w:noProof/>
                <w:webHidden/>
              </w:rPr>
              <w:instrText xml:space="preserve"> PAGEREF _Toc55402561 \h </w:instrText>
            </w:r>
            <w:r>
              <w:rPr>
                <w:noProof/>
                <w:webHidden/>
              </w:rPr>
            </w:r>
            <w:r>
              <w:rPr>
                <w:noProof/>
                <w:webHidden/>
              </w:rPr>
              <w:fldChar w:fldCharType="separate"/>
            </w:r>
            <w:r>
              <w:rPr>
                <w:noProof/>
                <w:webHidden/>
              </w:rPr>
              <w:t>18</w:t>
            </w:r>
            <w:r>
              <w:rPr>
                <w:noProof/>
                <w:webHidden/>
              </w:rPr>
              <w:fldChar w:fldCharType="end"/>
            </w:r>
          </w:hyperlink>
        </w:p>
        <w:p w14:paraId="6DA3ED0A" w14:textId="373DDF93" w:rsidR="00E601EC" w:rsidRDefault="00E601EC">
          <w:pPr>
            <w:pStyle w:val="Sommario1"/>
            <w:rPr>
              <w:rFonts w:asciiTheme="minorHAnsi" w:hAnsiTheme="minorHAnsi"/>
              <w:noProof/>
              <w:sz w:val="22"/>
              <w:szCs w:val="22"/>
            </w:rPr>
          </w:pPr>
          <w:hyperlink w:anchor="_Toc55402562" w:history="1">
            <w:r w:rsidRPr="003247DC">
              <w:rPr>
                <w:rStyle w:val="Collegamentoipertestuale"/>
                <w:noProof/>
              </w:rPr>
              <w:t>14.</w:t>
            </w:r>
            <w:r>
              <w:rPr>
                <w:rFonts w:asciiTheme="minorHAnsi" w:hAnsiTheme="minorHAnsi"/>
                <w:noProof/>
                <w:sz w:val="22"/>
                <w:szCs w:val="22"/>
              </w:rPr>
              <w:tab/>
            </w:r>
            <w:r w:rsidRPr="003247DC">
              <w:rPr>
                <w:rStyle w:val="Collegamentoipertestuale"/>
                <w:noProof/>
              </w:rPr>
              <w:t>Avvio procedure di gara per l'approvvigionamento di sistemi di TPL e di SBE, secondo i capitolati definiti</w:t>
            </w:r>
            <w:r>
              <w:rPr>
                <w:noProof/>
                <w:webHidden/>
              </w:rPr>
              <w:tab/>
            </w:r>
            <w:r>
              <w:rPr>
                <w:noProof/>
                <w:webHidden/>
              </w:rPr>
              <w:fldChar w:fldCharType="begin"/>
            </w:r>
            <w:r>
              <w:rPr>
                <w:noProof/>
                <w:webHidden/>
              </w:rPr>
              <w:instrText xml:space="preserve"> PAGEREF _Toc55402562 \h </w:instrText>
            </w:r>
            <w:r>
              <w:rPr>
                <w:noProof/>
                <w:webHidden/>
              </w:rPr>
            </w:r>
            <w:r>
              <w:rPr>
                <w:noProof/>
                <w:webHidden/>
              </w:rPr>
              <w:fldChar w:fldCharType="separate"/>
            </w:r>
            <w:r>
              <w:rPr>
                <w:noProof/>
                <w:webHidden/>
              </w:rPr>
              <w:t>19</w:t>
            </w:r>
            <w:r>
              <w:rPr>
                <w:noProof/>
                <w:webHidden/>
              </w:rPr>
              <w:fldChar w:fldCharType="end"/>
            </w:r>
          </w:hyperlink>
        </w:p>
        <w:p w14:paraId="44C9983C" w14:textId="3A4D18C5" w:rsidR="00E601EC" w:rsidRDefault="00E601EC">
          <w:pPr>
            <w:pStyle w:val="Sommario1"/>
            <w:rPr>
              <w:rFonts w:asciiTheme="minorHAnsi" w:hAnsiTheme="minorHAnsi"/>
              <w:noProof/>
              <w:sz w:val="22"/>
              <w:szCs w:val="22"/>
            </w:rPr>
          </w:pPr>
          <w:hyperlink w:anchor="_Toc55402563" w:history="1">
            <w:r w:rsidRPr="003247DC">
              <w:rPr>
                <w:rStyle w:val="Collegamentoipertestuale"/>
                <w:noProof/>
              </w:rPr>
              <w:t>15.</w:t>
            </w:r>
            <w:r>
              <w:rPr>
                <w:rFonts w:asciiTheme="minorHAnsi" w:hAnsiTheme="minorHAnsi"/>
                <w:noProof/>
                <w:sz w:val="22"/>
                <w:szCs w:val="22"/>
              </w:rPr>
              <w:tab/>
            </w:r>
            <w:r w:rsidRPr="003247DC">
              <w:rPr>
                <w:rStyle w:val="Collegamentoipertestuale"/>
                <w:noProof/>
              </w:rPr>
              <w:t>Implementazione e collaudo sistemi aziendali (TPL e SBE)</w:t>
            </w:r>
            <w:r>
              <w:rPr>
                <w:noProof/>
                <w:webHidden/>
              </w:rPr>
              <w:tab/>
            </w:r>
            <w:r>
              <w:rPr>
                <w:noProof/>
                <w:webHidden/>
              </w:rPr>
              <w:fldChar w:fldCharType="begin"/>
            </w:r>
            <w:r>
              <w:rPr>
                <w:noProof/>
                <w:webHidden/>
              </w:rPr>
              <w:instrText xml:space="preserve"> PAGEREF _Toc55402563 \h </w:instrText>
            </w:r>
            <w:r>
              <w:rPr>
                <w:noProof/>
                <w:webHidden/>
              </w:rPr>
            </w:r>
            <w:r>
              <w:rPr>
                <w:noProof/>
                <w:webHidden/>
              </w:rPr>
              <w:fldChar w:fldCharType="separate"/>
            </w:r>
            <w:r>
              <w:rPr>
                <w:noProof/>
                <w:webHidden/>
              </w:rPr>
              <w:t>20</w:t>
            </w:r>
            <w:r>
              <w:rPr>
                <w:noProof/>
                <w:webHidden/>
              </w:rPr>
              <w:fldChar w:fldCharType="end"/>
            </w:r>
          </w:hyperlink>
        </w:p>
        <w:p w14:paraId="04E21C87" w14:textId="3D1E7676" w:rsidR="00E601EC" w:rsidRDefault="00E601EC">
          <w:pPr>
            <w:pStyle w:val="Sommario1"/>
            <w:rPr>
              <w:rFonts w:asciiTheme="minorHAnsi" w:hAnsiTheme="minorHAnsi"/>
              <w:noProof/>
              <w:sz w:val="22"/>
              <w:szCs w:val="22"/>
            </w:rPr>
          </w:pPr>
          <w:hyperlink w:anchor="_Toc55402564" w:history="1">
            <w:r w:rsidRPr="003247DC">
              <w:rPr>
                <w:rStyle w:val="Collegamentoipertestuale"/>
                <w:noProof/>
              </w:rPr>
              <w:t>16.</w:t>
            </w:r>
            <w:r>
              <w:rPr>
                <w:rFonts w:asciiTheme="minorHAnsi" w:hAnsiTheme="minorHAnsi"/>
                <w:noProof/>
                <w:sz w:val="22"/>
                <w:szCs w:val="22"/>
              </w:rPr>
              <w:tab/>
            </w:r>
            <w:r w:rsidRPr="003247DC">
              <w:rPr>
                <w:rStyle w:val="Collegamentoipertestuale"/>
                <w:noProof/>
              </w:rPr>
              <w:t>Collaudo del sistema da parte delle aziende di TPL</w:t>
            </w:r>
            <w:r>
              <w:rPr>
                <w:noProof/>
                <w:webHidden/>
              </w:rPr>
              <w:tab/>
            </w:r>
            <w:r>
              <w:rPr>
                <w:noProof/>
                <w:webHidden/>
              </w:rPr>
              <w:fldChar w:fldCharType="begin"/>
            </w:r>
            <w:r>
              <w:rPr>
                <w:noProof/>
                <w:webHidden/>
              </w:rPr>
              <w:instrText xml:space="preserve"> PAGEREF _Toc55402564 \h </w:instrText>
            </w:r>
            <w:r>
              <w:rPr>
                <w:noProof/>
                <w:webHidden/>
              </w:rPr>
            </w:r>
            <w:r>
              <w:rPr>
                <w:noProof/>
                <w:webHidden/>
              </w:rPr>
              <w:fldChar w:fldCharType="separate"/>
            </w:r>
            <w:r>
              <w:rPr>
                <w:noProof/>
                <w:webHidden/>
              </w:rPr>
              <w:t>20</w:t>
            </w:r>
            <w:r>
              <w:rPr>
                <w:noProof/>
                <w:webHidden/>
              </w:rPr>
              <w:fldChar w:fldCharType="end"/>
            </w:r>
          </w:hyperlink>
        </w:p>
        <w:p w14:paraId="716D1BA4" w14:textId="28415009" w:rsidR="00E601EC" w:rsidRDefault="00E601EC">
          <w:pPr>
            <w:pStyle w:val="Sommario1"/>
            <w:rPr>
              <w:rFonts w:asciiTheme="minorHAnsi" w:hAnsiTheme="minorHAnsi"/>
              <w:noProof/>
              <w:sz w:val="22"/>
              <w:szCs w:val="22"/>
            </w:rPr>
          </w:pPr>
          <w:hyperlink w:anchor="_Toc55402565" w:history="1">
            <w:r w:rsidRPr="003247DC">
              <w:rPr>
                <w:rStyle w:val="Collegamentoipertestuale"/>
                <w:noProof/>
              </w:rPr>
              <w:t>17.</w:t>
            </w:r>
            <w:r>
              <w:rPr>
                <w:rFonts w:asciiTheme="minorHAnsi" w:hAnsiTheme="minorHAnsi"/>
                <w:noProof/>
                <w:sz w:val="22"/>
                <w:szCs w:val="22"/>
              </w:rPr>
              <w:tab/>
            </w:r>
            <w:r w:rsidRPr="003247DC">
              <w:rPr>
                <w:rStyle w:val="Collegamentoipertestuale"/>
                <w:noProof/>
              </w:rPr>
              <w:t>WORKFLOW</w:t>
            </w:r>
            <w:r>
              <w:rPr>
                <w:noProof/>
                <w:webHidden/>
              </w:rPr>
              <w:tab/>
            </w:r>
            <w:r>
              <w:rPr>
                <w:noProof/>
                <w:webHidden/>
              </w:rPr>
              <w:fldChar w:fldCharType="begin"/>
            </w:r>
            <w:r>
              <w:rPr>
                <w:noProof/>
                <w:webHidden/>
              </w:rPr>
              <w:instrText xml:space="preserve"> PAGEREF _Toc55402565 \h </w:instrText>
            </w:r>
            <w:r>
              <w:rPr>
                <w:noProof/>
                <w:webHidden/>
              </w:rPr>
            </w:r>
            <w:r>
              <w:rPr>
                <w:noProof/>
                <w:webHidden/>
              </w:rPr>
              <w:fldChar w:fldCharType="separate"/>
            </w:r>
            <w:r>
              <w:rPr>
                <w:noProof/>
                <w:webHidden/>
              </w:rPr>
              <w:t>21</w:t>
            </w:r>
            <w:r>
              <w:rPr>
                <w:noProof/>
                <w:webHidden/>
              </w:rPr>
              <w:fldChar w:fldCharType="end"/>
            </w:r>
          </w:hyperlink>
        </w:p>
        <w:p w14:paraId="04B04CCB" w14:textId="01CA500D" w:rsidR="001B6020" w:rsidRPr="00F0339C" w:rsidRDefault="00823DEE">
          <w:pPr>
            <w:rPr>
              <w:rFonts w:asciiTheme="minorHAnsi" w:hAnsiTheme="minorHAnsi" w:cstheme="minorHAnsi"/>
            </w:rPr>
          </w:pPr>
          <w:r w:rsidRPr="00357309">
            <w:rPr>
              <w:rFonts w:asciiTheme="minorHAnsi" w:hAnsiTheme="minorHAnsi" w:cstheme="minorHAnsi"/>
            </w:rPr>
            <w:fldChar w:fldCharType="end"/>
          </w:r>
        </w:p>
      </w:sdtContent>
    </w:sdt>
    <w:p w14:paraId="7A7EC615" w14:textId="77777777" w:rsidR="001B6020" w:rsidRPr="000A21B3" w:rsidRDefault="001B6020" w:rsidP="00B16243">
      <w:pPr>
        <w:jc w:val="both"/>
        <w:rPr>
          <w:rFonts w:asciiTheme="minorHAnsi" w:hAnsiTheme="minorHAnsi" w:cstheme="minorHAnsi"/>
          <w:b/>
          <w:bCs/>
          <w:i/>
          <w:iCs/>
          <w:sz w:val="32"/>
        </w:rPr>
      </w:pPr>
    </w:p>
    <w:p w14:paraId="6C8218A0" w14:textId="77777777" w:rsidR="001B6020" w:rsidRPr="00691469" w:rsidRDefault="001B6020">
      <w:pPr>
        <w:spacing w:after="200" w:line="276" w:lineRule="auto"/>
        <w:rPr>
          <w:rFonts w:asciiTheme="minorHAnsi" w:eastAsiaTheme="majorEastAsia" w:hAnsiTheme="minorHAnsi" w:cstheme="minorHAnsi"/>
          <w:b/>
          <w:bCs/>
          <w:color w:val="365F91" w:themeColor="accent1" w:themeShade="BF"/>
          <w:sz w:val="28"/>
          <w:szCs w:val="28"/>
        </w:rPr>
      </w:pPr>
      <w:r w:rsidRPr="00EC734B">
        <w:rPr>
          <w:rFonts w:asciiTheme="minorHAnsi" w:hAnsiTheme="minorHAnsi" w:cstheme="minorHAnsi"/>
        </w:rPr>
        <w:br w:type="page"/>
      </w:r>
    </w:p>
    <w:p w14:paraId="55F79BD9" w14:textId="77777777" w:rsidR="008330A6" w:rsidRDefault="008330A6" w:rsidP="003F296E">
      <w:pPr>
        <w:pStyle w:val="Titolo1"/>
        <w:numPr>
          <w:ilvl w:val="0"/>
          <w:numId w:val="12"/>
        </w:numPr>
        <w:rPr>
          <w:rFonts w:asciiTheme="minorHAnsi" w:hAnsiTheme="minorHAnsi" w:cstheme="minorHAnsi"/>
        </w:rPr>
      </w:pPr>
      <w:bookmarkStart w:id="0" w:name="_Toc55402546"/>
      <w:r>
        <w:rPr>
          <w:rFonts w:asciiTheme="minorHAnsi" w:hAnsiTheme="minorHAnsi" w:cstheme="minorHAnsi"/>
        </w:rPr>
        <w:lastRenderedPageBreak/>
        <w:t>Introduzione e premessa</w:t>
      </w:r>
      <w:bookmarkEnd w:id="0"/>
    </w:p>
    <w:p w14:paraId="1722B910" w14:textId="77777777" w:rsidR="008330A6" w:rsidRDefault="008330A6" w:rsidP="008330A6">
      <w:pPr>
        <w:jc w:val="both"/>
        <w:rPr>
          <w:rFonts w:asciiTheme="minorHAnsi" w:hAnsiTheme="minorHAnsi" w:cs="Albertus MT Lt"/>
        </w:rPr>
      </w:pPr>
    </w:p>
    <w:p w14:paraId="2A225D80" w14:textId="77777777" w:rsidR="00411D30" w:rsidRDefault="00411D30" w:rsidP="00411D30">
      <w:pPr>
        <w:spacing w:before="120" w:after="120" w:line="312" w:lineRule="auto"/>
        <w:jc w:val="both"/>
      </w:pPr>
      <w:r>
        <w:t>Questo documento descrive il processo di valutazione, scelta e implementazione del sistema di bigliettazione elettronica SIBIT. Il documento, in particolare, rappresenta un manuale d’uso delle valutazioni e delle scelte da assumere per:</w:t>
      </w:r>
    </w:p>
    <w:p w14:paraId="0369C44E" w14:textId="77777777" w:rsidR="00411D30" w:rsidRDefault="00411D30" w:rsidP="00411D30">
      <w:pPr>
        <w:pStyle w:val="Paragrafoelenco"/>
        <w:numPr>
          <w:ilvl w:val="0"/>
          <w:numId w:val="25"/>
        </w:numPr>
        <w:spacing w:before="120" w:after="120" w:line="312" w:lineRule="auto"/>
        <w:ind w:left="426"/>
        <w:contextualSpacing/>
        <w:jc w:val="both"/>
      </w:pPr>
      <w:r>
        <w:t>Supporto al processo decisionale: valutare il costo/opportunità dell’adozione del sistema di bigliettazione elettronica SIBIT;</w:t>
      </w:r>
    </w:p>
    <w:p w14:paraId="0B9C9EC9" w14:textId="77777777" w:rsidR="00411D30" w:rsidRDefault="00411D30" w:rsidP="00411D30">
      <w:pPr>
        <w:pStyle w:val="Paragrafoelenco"/>
        <w:numPr>
          <w:ilvl w:val="0"/>
          <w:numId w:val="25"/>
        </w:numPr>
        <w:spacing w:before="120" w:after="120" w:line="312" w:lineRule="auto"/>
        <w:ind w:left="426"/>
        <w:contextualSpacing/>
        <w:jc w:val="both"/>
      </w:pPr>
      <w:r>
        <w:t xml:space="preserve">Individuazione delle condizioni di implementazione: valutazione degli elementi essenziali e/o facoltativi per la corretta implementazione del sistema SIBIT e la successiva gestione dei flussi informativi </w:t>
      </w:r>
    </w:p>
    <w:p w14:paraId="12842C36" w14:textId="77777777" w:rsidR="00411D30" w:rsidRDefault="00411D30" w:rsidP="00411D30">
      <w:pPr>
        <w:pStyle w:val="Paragrafoelenco"/>
        <w:numPr>
          <w:ilvl w:val="0"/>
          <w:numId w:val="25"/>
        </w:numPr>
        <w:spacing w:before="120" w:after="120" w:line="312" w:lineRule="auto"/>
        <w:ind w:left="426"/>
        <w:contextualSpacing/>
        <w:jc w:val="both"/>
      </w:pPr>
      <w:r>
        <w:t>Sviluppo del sistema progettato.</w:t>
      </w:r>
    </w:p>
    <w:p w14:paraId="73A0C704" w14:textId="77777777" w:rsidR="00411D30" w:rsidRDefault="00411D30" w:rsidP="00411D30">
      <w:pPr>
        <w:spacing w:before="120" w:after="120" w:line="312" w:lineRule="auto"/>
        <w:jc w:val="both"/>
      </w:pPr>
    </w:p>
    <w:p w14:paraId="79FFD584" w14:textId="77777777" w:rsidR="00411D30" w:rsidRDefault="00411D30" w:rsidP="00411D30">
      <w:pPr>
        <w:spacing w:before="120" w:after="120" w:line="312" w:lineRule="auto"/>
        <w:jc w:val="both"/>
      </w:pPr>
      <w:r>
        <w:t>Il documento è articolato in paragrafi in coerenza con le differenti fasi del processo di implementazione:</w:t>
      </w:r>
    </w:p>
    <w:p w14:paraId="66AF2CE6" w14:textId="77777777" w:rsidR="00411D30" w:rsidRPr="00334EAE" w:rsidRDefault="00411D30" w:rsidP="00411D30">
      <w:pPr>
        <w:pStyle w:val="Paragrafoelenco"/>
        <w:numPr>
          <w:ilvl w:val="0"/>
          <w:numId w:val="25"/>
        </w:numPr>
        <w:spacing w:before="120" w:after="120" w:line="312" w:lineRule="auto"/>
        <w:contextualSpacing/>
        <w:jc w:val="both"/>
      </w:pPr>
      <w:r w:rsidRPr="00334EAE">
        <w:t xml:space="preserve">Processo decisionale </w:t>
      </w:r>
    </w:p>
    <w:p w14:paraId="695A6ECF" w14:textId="77777777" w:rsidR="00411D30" w:rsidRPr="00334EAE" w:rsidRDefault="00411D30" w:rsidP="00411D30">
      <w:pPr>
        <w:pStyle w:val="Paragrafoelenco"/>
        <w:numPr>
          <w:ilvl w:val="0"/>
          <w:numId w:val="25"/>
        </w:numPr>
        <w:spacing w:before="120" w:after="120" w:line="312" w:lineRule="auto"/>
        <w:contextualSpacing/>
        <w:jc w:val="both"/>
      </w:pPr>
      <w:r w:rsidRPr="00334EAE">
        <w:t>Individuazione struttura tecnica per la gestione del progetto</w:t>
      </w:r>
    </w:p>
    <w:p w14:paraId="4D59F3AF" w14:textId="77777777" w:rsidR="00411D30" w:rsidRPr="00334EAE" w:rsidRDefault="00411D30" w:rsidP="00411D30">
      <w:pPr>
        <w:pStyle w:val="Paragrafoelenco"/>
        <w:numPr>
          <w:ilvl w:val="0"/>
          <w:numId w:val="25"/>
        </w:numPr>
        <w:spacing w:before="120" w:after="120" w:line="312" w:lineRule="auto"/>
        <w:contextualSpacing/>
        <w:jc w:val="both"/>
      </w:pPr>
      <w:r w:rsidRPr="00334EAE">
        <w:t xml:space="preserve">Legislazione per definizione budget </w:t>
      </w:r>
      <w:r w:rsidR="00265D5E">
        <w:t xml:space="preserve">di </w:t>
      </w:r>
      <w:r w:rsidRPr="00334EAE">
        <w:t>progetto</w:t>
      </w:r>
    </w:p>
    <w:p w14:paraId="0EE65D6A" w14:textId="77777777" w:rsidR="00411D30" w:rsidRDefault="00411D30" w:rsidP="00411D30">
      <w:pPr>
        <w:pStyle w:val="Paragrafoelenco"/>
        <w:numPr>
          <w:ilvl w:val="0"/>
          <w:numId w:val="25"/>
        </w:numPr>
        <w:spacing w:before="120" w:after="120" w:line="312" w:lineRule="auto"/>
        <w:contextualSpacing/>
        <w:jc w:val="both"/>
      </w:pPr>
      <w:r w:rsidRPr="00334EAE">
        <w:t>Definizione legislativa coinvolgimento aziende TPL</w:t>
      </w:r>
    </w:p>
    <w:p w14:paraId="369A6102" w14:textId="77777777" w:rsidR="00411D30" w:rsidRDefault="00411D30" w:rsidP="00411D30">
      <w:pPr>
        <w:pStyle w:val="Paragrafoelenco"/>
        <w:numPr>
          <w:ilvl w:val="0"/>
          <w:numId w:val="25"/>
        </w:numPr>
        <w:spacing w:before="120" w:after="120" w:line="312" w:lineRule="auto"/>
        <w:contextualSpacing/>
        <w:jc w:val="both"/>
      </w:pPr>
      <w:r w:rsidRPr="00334EAE">
        <w:t>Creazione consorzi fra aziende TPL</w:t>
      </w:r>
    </w:p>
    <w:p w14:paraId="5B8857BA" w14:textId="77777777" w:rsidR="00411D30" w:rsidRDefault="00411D30" w:rsidP="00411D30">
      <w:pPr>
        <w:pStyle w:val="Paragrafoelenco"/>
        <w:numPr>
          <w:ilvl w:val="0"/>
          <w:numId w:val="25"/>
        </w:numPr>
        <w:spacing w:before="120" w:after="120" w:line="312" w:lineRule="auto"/>
        <w:contextualSpacing/>
        <w:jc w:val="both"/>
      </w:pPr>
      <w:r w:rsidRPr="00334EAE">
        <w:t>Studio situazione esistente</w:t>
      </w:r>
    </w:p>
    <w:p w14:paraId="189A57C9" w14:textId="77777777" w:rsidR="00411D30" w:rsidRDefault="00411D30" w:rsidP="00411D30">
      <w:pPr>
        <w:pStyle w:val="Paragrafoelenco"/>
        <w:numPr>
          <w:ilvl w:val="0"/>
          <w:numId w:val="25"/>
        </w:numPr>
        <w:spacing w:before="120" w:after="120" w:line="312" w:lineRule="auto"/>
        <w:contextualSpacing/>
        <w:jc w:val="both"/>
      </w:pPr>
      <w:r w:rsidRPr="00334EAE">
        <w:t>Scouting tecnologico e individuazione delle tecnologie condivise da adottare</w:t>
      </w:r>
    </w:p>
    <w:p w14:paraId="74266BFE" w14:textId="77777777" w:rsidR="00411D30" w:rsidRDefault="00411D30" w:rsidP="00411D30">
      <w:pPr>
        <w:pStyle w:val="Paragrafoelenco"/>
        <w:numPr>
          <w:ilvl w:val="0"/>
          <w:numId w:val="25"/>
        </w:numPr>
        <w:spacing w:before="120" w:after="120" w:line="312" w:lineRule="auto"/>
        <w:contextualSpacing/>
        <w:jc w:val="both"/>
      </w:pPr>
      <w:r w:rsidRPr="00334EAE">
        <w:t>Progettazione esecutiva sistema di centro</w:t>
      </w:r>
    </w:p>
    <w:p w14:paraId="0109F566" w14:textId="77777777" w:rsidR="00411D30" w:rsidRDefault="00411D30" w:rsidP="00411D30">
      <w:pPr>
        <w:pStyle w:val="Paragrafoelenco"/>
        <w:numPr>
          <w:ilvl w:val="0"/>
          <w:numId w:val="25"/>
        </w:numPr>
        <w:spacing w:before="120" w:after="120" w:line="312" w:lineRule="auto"/>
        <w:contextualSpacing/>
        <w:jc w:val="both"/>
      </w:pPr>
      <w:r w:rsidRPr="00334EAE">
        <w:t>Stesura capitolati tecnici</w:t>
      </w:r>
      <w:r w:rsidR="00265D5E">
        <w:t xml:space="preserve"> sistemi</w:t>
      </w:r>
      <w:r w:rsidRPr="00334EAE">
        <w:t xml:space="preserve"> </w:t>
      </w:r>
      <w:r w:rsidR="00265D5E">
        <w:t>aziendali</w:t>
      </w:r>
      <w:r w:rsidRPr="00334EAE">
        <w:t xml:space="preserve"> </w:t>
      </w:r>
    </w:p>
    <w:p w14:paraId="761802EC" w14:textId="77777777" w:rsidR="00411D30" w:rsidRDefault="00411D30" w:rsidP="00411D30">
      <w:pPr>
        <w:pStyle w:val="Paragrafoelenco"/>
        <w:numPr>
          <w:ilvl w:val="0"/>
          <w:numId w:val="25"/>
        </w:numPr>
        <w:spacing w:before="120" w:after="120" w:line="312" w:lineRule="auto"/>
        <w:contextualSpacing/>
        <w:jc w:val="both"/>
      </w:pPr>
      <w:r w:rsidRPr="00334EAE">
        <w:t>Collaudo sistema di centro</w:t>
      </w:r>
    </w:p>
    <w:p w14:paraId="123512C5" w14:textId="77777777" w:rsidR="00411D30" w:rsidRDefault="00411D30" w:rsidP="00411D30">
      <w:pPr>
        <w:pStyle w:val="Paragrafoelenco"/>
        <w:numPr>
          <w:ilvl w:val="0"/>
          <w:numId w:val="25"/>
        </w:numPr>
        <w:spacing w:before="120" w:after="120" w:line="312" w:lineRule="auto"/>
        <w:contextualSpacing/>
        <w:jc w:val="both"/>
      </w:pPr>
      <w:r w:rsidRPr="00334EAE">
        <w:t>Produzione documentazione tecnica di supporto</w:t>
      </w:r>
    </w:p>
    <w:p w14:paraId="191DD853" w14:textId="77777777" w:rsidR="00411D30" w:rsidRDefault="00411D30" w:rsidP="00411D30">
      <w:pPr>
        <w:pStyle w:val="Paragrafoelenco"/>
        <w:numPr>
          <w:ilvl w:val="0"/>
          <w:numId w:val="25"/>
        </w:numPr>
        <w:spacing w:before="120" w:after="120" w:line="312" w:lineRule="auto"/>
        <w:contextualSpacing/>
        <w:jc w:val="both"/>
      </w:pPr>
      <w:r w:rsidRPr="00334EAE">
        <w:t>Creazione albo fornitori smartcard</w:t>
      </w:r>
    </w:p>
    <w:p w14:paraId="2900A9F1" w14:textId="77777777" w:rsidR="00411D30" w:rsidRDefault="00411D30" w:rsidP="00411D30">
      <w:pPr>
        <w:pStyle w:val="Paragrafoelenco"/>
        <w:numPr>
          <w:ilvl w:val="0"/>
          <w:numId w:val="25"/>
        </w:numPr>
        <w:spacing w:before="120" w:after="120" w:line="312" w:lineRule="auto"/>
        <w:contextualSpacing/>
        <w:jc w:val="both"/>
      </w:pPr>
      <w:r w:rsidRPr="00334EAE">
        <w:t>Avvio procedure di gara per l'approvvigionamento di sistemi di TPL, secondo i capitolati definiti</w:t>
      </w:r>
    </w:p>
    <w:p w14:paraId="19844876" w14:textId="77777777" w:rsidR="00411D30" w:rsidRDefault="00265D5E" w:rsidP="00265D5E">
      <w:pPr>
        <w:pStyle w:val="Paragrafoelenco"/>
        <w:numPr>
          <w:ilvl w:val="0"/>
          <w:numId w:val="25"/>
        </w:numPr>
        <w:spacing w:before="120" w:after="120" w:line="312" w:lineRule="auto"/>
        <w:contextualSpacing/>
        <w:jc w:val="both"/>
      </w:pPr>
      <w:r w:rsidRPr="00265D5E">
        <w:t>Implementazione e collaudo sistemi aziendali (TPL e SBE)</w:t>
      </w:r>
    </w:p>
    <w:p w14:paraId="02DC9C68" w14:textId="77777777" w:rsidR="00411D30" w:rsidRPr="00334EAE" w:rsidRDefault="00265D5E" w:rsidP="00265D5E">
      <w:pPr>
        <w:pStyle w:val="Paragrafoelenco"/>
        <w:numPr>
          <w:ilvl w:val="0"/>
          <w:numId w:val="25"/>
        </w:numPr>
        <w:spacing w:before="120" w:after="120" w:line="312" w:lineRule="auto"/>
        <w:contextualSpacing/>
        <w:jc w:val="both"/>
      </w:pPr>
      <w:r w:rsidRPr="00265D5E">
        <w:t>Collaudo del sistema da parte delle aziende di TPL</w:t>
      </w:r>
    </w:p>
    <w:p w14:paraId="6468E479" w14:textId="77777777" w:rsidR="00550A23" w:rsidRPr="00265D5E" w:rsidRDefault="00550A23" w:rsidP="00265D5E">
      <w:pPr>
        <w:jc w:val="both"/>
        <w:rPr>
          <w:rFonts w:asciiTheme="minorHAnsi" w:hAnsiTheme="minorHAnsi" w:cs="Albertus MT Lt"/>
        </w:rPr>
      </w:pPr>
    </w:p>
    <w:p w14:paraId="2711D39F" w14:textId="77777777" w:rsidR="008A6939" w:rsidRDefault="008A6939">
      <w:pPr>
        <w:spacing w:after="200" w:line="276" w:lineRule="auto"/>
        <w:rPr>
          <w:rFonts w:asciiTheme="minorHAnsi" w:eastAsiaTheme="majorEastAsia" w:hAnsiTheme="minorHAnsi" w:cstheme="minorHAnsi"/>
          <w:b/>
          <w:bCs/>
          <w:color w:val="365F91" w:themeColor="accent1" w:themeShade="BF"/>
          <w:sz w:val="28"/>
          <w:szCs w:val="28"/>
        </w:rPr>
      </w:pPr>
      <w:r>
        <w:rPr>
          <w:rFonts w:asciiTheme="minorHAnsi" w:hAnsiTheme="minorHAnsi" w:cstheme="minorHAnsi"/>
        </w:rPr>
        <w:br w:type="page"/>
      </w:r>
    </w:p>
    <w:p w14:paraId="71F04730" w14:textId="77777777" w:rsidR="00411D30" w:rsidRDefault="00411D30" w:rsidP="00411D30">
      <w:pPr>
        <w:pStyle w:val="Titolo1"/>
        <w:numPr>
          <w:ilvl w:val="0"/>
          <w:numId w:val="12"/>
        </w:numPr>
      </w:pPr>
      <w:bookmarkStart w:id="1" w:name="_Toc55402547"/>
      <w:r w:rsidRPr="00334EAE">
        <w:lastRenderedPageBreak/>
        <w:t>Processo decisionale</w:t>
      </w:r>
      <w:bookmarkEnd w:id="1"/>
      <w:r w:rsidRPr="00334EAE">
        <w:t xml:space="preserve"> </w:t>
      </w:r>
    </w:p>
    <w:p w14:paraId="29E7E0C5" w14:textId="77777777" w:rsidR="00411D30" w:rsidRDefault="00411D30" w:rsidP="00411D30"/>
    <w:p w14:paraId="3FA6A16F" w14:textId="77777777" w:rsidR="00411D30" w:rsidRPr="00091F3B" w:rsidRDefault="00411D30" w:rsidP="00411D30">
      <w:pPr>
        <w:pStyle w:val="Titolo2"/>
        <w:numPr>
          <w:ilvl w:val="1"/>
          <w:numId w:val="12"/>
        </w:numPr>
      </w:pPr>
      <w:bookmarkStart w:id="2" w:name="_Toc55402548"/>
      <w:r w:rsidRPr="00411D30">
        <w:rPr>
          <w:rStyle w:val="Titolo2Carattere"/>
        </w:rPr>
        <w:t>Contestualizzazione sui concetti di “bigliettazione elettronica” e</w:t>
      </w:r>
      <w:r>
        <w:t xml:space="preserve"> “integrazione tariffaria”</w:t>
      </w:r>
      <w:bookmarkEnd w:id="2"/>
    </w:p>
    <w:p w14:paraId="768BFE2E" w14:textId="77777777" w:rsidR="00411D30" w:rsidRPr="00047B55" w:rsidRDefault="00411D30" w:rsidP="00411D30">
      <w:pPr>
        <w:spacing w:before="120" w:after="120" w:line="312" w:lineRule="auto"/>
        <w:jc w:val="both"/>
        <w:rPr>
          <w:rFonts w:cstheme="minorHAnsi"/>
        </w:rPr>
      </w:pPr>
      <w:r>
        <w:t xml:space="preserve">La decisione di adottare un sistema di bigliettazione elettronica e, in particolare, il sistema sviluppato e messo a disposizione dalla Regione Piemonte, rappresenta un indubbio fattore per elevare il sistema del trasporto pubblico regionale e locale e, più in generale, della mobilità regionale. </w:t>
      </w:r>
    </w:p>
    <w:p w14:paraId="73A32943" w14:textId="77777777" w:rsidR="00411D30" w:rsidRPr="00047B55" w:rsidRDefault="00411D30" w:rsidP="00411D30">
      <w:pPr>
        <w:spacing w:before="120" w:after="120" w:line="312" w:lineRule="auto"/>
        <w:jc w:val="both"/>
        <w:rPr>
          <w:rFonts w:cstheme="minorHAnsi"/>
        </w:rPr>
      </w:pPr>
      <w:r w:rsidRPr="00047B55">
        <w:rPr>
          <w:rFonts w:cstheme="minorHAnsi"/>
        </w:rPr>
        <w:t>È utile effettuare una considerazione preliminare sugli obiettivi perseguibili in relazione alla bigliettazione elettronica e all’integrazione tariffaria.</w:t>
      </w:r>
    </w:p>
    <w:p w14:paraId="5572E799" w14:textId="77777777" w:rsidR="00411D30" w:rsidRPr="00047B55" w:rsidRDefault="00411D30" w:rsidP="00411D30">
      <w:pPr>
        <w:keepLines/>
        <w:spacing w:before="120" w:after="120" w:line="312" w:lineRule="auto"/>
        <w:jc w:val="both"/>
        <w:rPr>
          <w:rFonts w:cstheme="minorHAnsi"/>
        </w:rPr>
      </w:pPr>
      <w:r w:rsidRPr="00047B55">
        <w:rPr>
          <w:rFonts w:cstheme="minorHAnsi"/>
        </w:rPr>
        <w:t xml:space="preserve">Per integrazione tariffaria si intende la possibilità di accedere con il medesimo titolo di viaggio a servizi svolti con modalità, tipologia e vettori diversi. In tal senso, occorre evitare di confondere il concetto di “titolo di viaggio”, che attiene alle caratteristiche della transazione fra utente e operatore, e quello del </w:t>
      </w:r>
      <w:r w:rsidRPr="00047B55">
        <w:rPr>
          <w:rFonts w:cstheme="minorHAnsi"/>
          <w:b/>
        </w:rPr>
        <w:t xml:space="preserve">supporto </w:t>
      </w:r>
      <w:r w:rsidRPr="00047B55">
        <w:rPr>
          <w:rFonts w:cstheme="minorHAnsi"/>
        </w:rPr>
        <w:t>tramite il quale la transazione viene registrata (es. cartaceo, elettronico, oppure immateriale).</w:t>
      </w:r>
    </w:p>
    <w:p w14:paraId="342BC6F4" w14:textId="77777777" w:rsidR="00411D30" w:rsidRPr="00047B55" w:rsidRDefault="00411D30" w:rsidP="00411D30">
      <w:pPr>
        <w:keepLines/>
        <w:spacing w:before="120" w:after="120" w:line="312" w:lineRule="auto"/>
        <w:jc w:val="both"/>
        <w:rPr>
          <w:rFonts w:cstheme="minorHAnsi"/>
        </w:rPr>
      </w:pPr>
      <w:r w:rsidRPr="00047B55">
        <w:rPr>
          <w:rFonts w:cstheme="minorHAnsi"/>
        </w:rPr>
        <w:t>È pertanto sempre necessario ricordare che:</w:t>
      </w:r>
    </w:p>
    <w:p w14:paraId="0E7C4779" w14:textId="77777777" w:rsidR="00411D30" w:rsidRPr="00047B55" w:rsidRDefault="00411D30" w:rsidP="00411D30">
      <w:pPr>
        <w:numPr>
          <w:ilvl w:val="0"/>
          <w:numId w:val="27"/>
        </w:numPr>
        <w:tabs>
          <w:tab w:val="clear" w:pos="1440"/>
          <w:tab w:val="num" w:pos="425"/>
        </w:tabs>
        <w:spacing w:before="120" w:after="120" w:line="312" w:lineRule="auto"/>
        <w:ind w:left="425" w:hanging="425"/>
        <w:jc w:val="both"/>
        <w:rPr>
          <w:rFonts w:cstheme="minorHAnsi"/>
        </w:rPr>
      </w:pPr>
      <w:r w:rsidRPr="00047B55">
        <w:rPr>
          <w:rFonts w:cstheme="minorHAnsi"/>
        </w:rPr>
        <w:t xml:space="preserve">I concetti di sistema tariffario ed integrazione tariffaria, regolamentano le caratteristiche della transazione fra utente del servizio e concessionario;  </w:t>
      </w:r>
    </w:p>
    <w:p w14:paraId="50CEB5B6" w14:textId="77777777" w:rsidR="00411D30" w:rsidRPr="00047B55" w:rsidRDefault="00411D30" w:rsidP="00411D30">
      <w:pPr>
        <w:numPr>
          <w:ilvl w:val="0"/>
          <w:numId w:val="27"/>
        </w:numPr>
        <w:tabs>
          <w:tab w:val="clear" w:pos="1440"/>
          <w:tab w:val="num" w:pos="425"/>
        </w:tabs>
        <w:spacing w:before="120" w:after="120" w:line="312" w:lineRule="auto"/>
        <w:ind w:left="425" w:hanging="425"/>
        <w:jc w:val="both"/>
        <w:rPr>
          <w:rFonts w:cstheme="minorHAnsi"/>
        </w:rPr>
      </w:pPr>
      <w:r w:rsidRPr="00047B55">
        <w:rPr>
          <w:rFonts w:cstheme="minorHAnsi"/>
        </w:rPr>
        <w:t>Il sistema di bigliettazione elettronica rappresenta il supporto tramite il quale la transazione viene registrata (es. cartaceo, elettronico, oppure immateriale).</w:t>
      </w:r>
    </w:p>
    <w:p w14:paraId="251DEF45" w14:textId="77777777" w:rsidR="00411D30" w:rsidRPr="00047B55" w:rsidRDefault="00411D30" w:rsidP="00411D30">
      <w:pPr>
        <w:keepLines/>
        <w:spacing w:before="120" w:after="120" w:line="312" w:lineRule="auto"/>
        <w:jc w:val="both"/>
        <w:rPr>
          <w:rFonts w:cstheme="minorHAnsi"/>
        </w:rPr>
      </w:pPr>
      <w:r w:rsidRPr="00047B55">
        <w:rPr>
          <w:rFonts w:cstheme="minorHAnsi"/>
        </w:rPr>
        <w:t xml:space="preserve">La corrispondenza fra questi concetti non è biunivoca: lo stesso titolo di viaggio può essere registrato su più supporti, e lo stesso supporto può registrare più titoli di viaggio. Per tale ragione, mentre è innegabile il legame esistente fra titoli di viaggio e supporti, i temi sottostanti a tali concetti devono essere sviluppati in modo indipendente.  </w:t>
      </w:r>
    </w:p>
    <w:p w14:paraId="0870EFFA" w14:textId="77777777" w:rsidR="00411D30" w:rsidRPr="00047B55" w:rsidRDefault="00411D30" w:rsidP="00411D30">
      <w:pPr>
        <w:keepLines/>
        <w:spacing w:before="120" w:after="120" w:line="312" w:lineRule="auto"/>
        <w:jc w:val="both"/>
        <w:rPr>
          <w:rFonts w:cstheme="minorHAnsi"/>
        </w:rPr>
      </w:pPr>
      <w:r w:rsidRPr="00047B55">
        <w:rPr>
          <w:rFonts w:cstheme="minorHAnsi"/>
        </w:rPr>
        <w:t>In particolare, se l’introduzione di sistemi di bigliettazione elettronica (SBE) può agevolare l’evoluzione dei vigenti sistemi tariffari e l’introduzione di forme di integrazione tariffaria, occorre aggiungere che:</w:t>
      </w:r>
    </w:p>
    <w:p w14:paraId="6FB30F5A" w14:textId="77777777" w:rsidR="00411D30" w:rsidRPr="00047B55" w:rsidRDefault="00411D30" w:rsidP="00411D30">
      <w:pPr>
        <w:numPr>
          <w:ilvl w:val="0"/>
          <w:numId w:val="27"/>
        </w:numPr>
        <w:tabs>
          <w:tab w:val="clear" w:pos="1440"/>
          <w:tab w:val="num" w:pos="425"/>
        </w:tabs>
        <w:spacing w:before="120" w:after="120" w:line="312" w:lineRule="auto"/>
        <w:ind w:left="425" w:hanging="425"/>
        <w:jc w:val="both"/>
        <w:rPr>
          <w:rFonts w:cstheme="minorHAnsi"/>
        </w:rPr>
      </w:pPr>
      <w:r>
        <w:rPr>
          <w:rFonts w:cstheme="minorHAnsi"/>
        </w:rPr>
        <w:t>L</w:t>
      </w:r>
      <w:r w:rsidRPr="00047B55">
        <w:rPr>
          <w:rFonts w:cstheme="minorHAnsi"/>
        </w:rPr>
        <w:t>’integrazione tariffaria può partire anche senza un SBE;</w:t>
      </w:r>
    </w:p>
    <w:p w14:paraId="4360DF1D" w14:textId="77777777" w:rsidR="00411D30" w:rsidRPr="00047B55" w:rsidRDefault="00411D30" w:rsidP="00411D30">
      <w:pPr>
        <w:numPr>
          <w:ilvl w:val="0"/>
          <w:numId w:val="27"/>
        </w:numPr>
        <w:tabs>
          <w:tab w:val="clear" w:pos="1440"/>
          <w:tab w:val="num" w:pos="425"/>
        </w:tabs>
        <w:spacing w:before="120" w:after="120" w:line="312" w:lineRule="auto"/>
        <w:ind w:left="425" w:hanging="425"/>
        <w:jc w:val="both"/>
        <w:rPr>
          <w:rFonts w:cstheme="minorHAnsi"/>
        </w:rPr>
      </w:pPr>
      <w:r>
        <w:rPr>
          <w:rFonts w:cstheme="minorHAnsi"/>
        </w:rPr>
        <w:t>L</w:t>
      </w:r>
      <w:r w:rsidRPr="00047B55">
        <w:rPr>
          <w:rFonts w:cstheme="minorHAnsi"/>
        </w:rPr>
        <w:t>’adozione di un SBE non garantisce l’integrazione tariffaria.</w:t>
      </w:r>
    </w:p>
    <w:p w14:paraId="765C3944" w14:textId="77777777" w:rsidR="00411D30" w:rsidRPr="00047B55" w:rsidRDefault="00411D30" w:rsidP="00411D30">
      <w:pPr>
        <w:keepLines/>
        <w:spacing w:before="120" w:after="120" w:line="312" w:lineRule="auto"/>
        <w:jc w:val="both"/>
        <w:rPr>
          <w:rFonts w:cstheme="minorHAnsi"/>
        </w:rPr>
      </w:pPr>
      <w:r w:rsidRPr="00047B55">
        <w:rPr>
          <w:rFonts w:cstheme="minorHAnsi"/>
        </w:rPr>
        <w:t xml:space="preserve">È inoltre utile rilevare che la semplicità dei sistemi tariffari (titoli di viaggio) è elemento in larga misura </w:t>
      </w:r>
      <w:r w:rsidRPr="00047B55">
        <w:rPr>
          <w:rFonts w:cstheme="minorHAnsi"/>
          <w:b/>
        </w:rPr>
        <w:t>indipendente dai supporti scelti</w:t>
      </w:r>
      <w:r w:rsidRPr="00047B55">
        <w:rPr>
          <w:rFonts w:cstheme="minorHAnsi"/>
        </w:rPr>
        <w:t xml:space="preserve">. Per paradosso potrebbe dirsi che una delle ragioni che possono suggerire il passaggio a un SBE è proprio la gestione della complessità. </w:t>
      </w:r>
    </w:p>
    <w:p w14:paraId="4B0DEED2" w14:textId="77777777" w:rsidR="00411D30" w:rsidRPr="00047B55" w:rsidRDefault="00411D30" w:rsidP="00411D30">
      <w:pPr>
        <w:keepLines/>
        <w:spacing w:before="120" w:after="120" w:line="312" w:lineRule="auto"/>
        <w:jc w:val="both"/>
        <w:rPr>
          <w:rFonts w:cstheme="minorHAnsi"/>
        </w:rPr>
      </w:pPr>
      <w:r w:rsidRPr="00047B55">
        <w:rPr>
          <w:rFonts w:cstheme="minorHAnsi"/>
        </w:rPr>
        <w:lastRenderedPageBreak/>
        <w:t>Al contrario, in molti casi in Italia si è assistito all’implementazione di sofisticati (e costosi) SBE, cui non è purtroppo seguita la realizzazione dell’integrazione tariffaria né una semplificazione dei sistemi tariffari, né una riduzione marcata nell’utilizzo dei supporti cartacei, depotenziando nei fatti la portata innovativa dell’investimento effettuato.</w:t>
      </w:r>
    </w:p>
    <w:p w14:paraId="708FD7B6" w14:textId="77777777" w:rsidR="00411D30" w:rsidRPr="00047B55" w:rsidRDefault="00411D30" w:rsidP="00411D30">
      <w:pPr>
        <w:keepLines/>
        <w:spacing w:before="120" w:after="120" w:line="312" w:lineRule="auto"/>
        <w:jc w:val="both"/>
        <w:rPr>
          <w:rFonts w:cstheme="minorHAnsi"/>
        </w:rPr>
      </w:pPr>
      <w:r w:rsidRPr="00047B55">
        <w:rPr>
          <w:rFonts w:cstheme="minorHAnsi"/>
        </w:rPr>
        <w:t>D’altra parte, l’adozione di SBE porta con sé una serie di opportunità/vantaggi che ne hanno favorito lo sviluppo, e che possono sostenere il progetto di nuovo piano di tariffazione regionale:</w:t>
      </w:r>
    </w:p>
    <w:p w14:paraId="595350C2" w14:textId="77777777" w:rsidR="00411D30" w:rsidRPr="00047B55" w:rsidRDefault="00411D30" w:rsidP="00411D30">
      <w:pPr>
        <w:numPr>
          <w:ilvl w:val="0"/>
          <w:numId w:val="27"/>
        </w:numPr>
        <w:tabs>
          <w:tab w:val="clear" w:pos="1440"/>
          <w:tab w:val="num" w:pos="425"/>
        </w:tabs>
        <w:spacing w:before="120" w:after="120" w:line="312" w:lineRule="auto"/>
        <w:ind w:left="425" w:hanging="425"/>
        <w:jc w:val="both"/>
        <w:rPr>
          <w:rFonts w:cstheme="minorHAnsi"/>
        </w:rPr>
      </w:pPr>
      <w:r w:rsidRPr="00047B55">
        <w:rPr>
          <w:rFonts w:cstheme="minorHAnsi"/>
        </w:rPr>
        <w:t>Efficientamento delle reti di distribuzione dei titoli di viaggio;</w:t>
      </w:r>
    </w:p>
    <w:p w14:paraId="6C4E1530" w14:textId="77777777" w:rsidR="00411D30" w:rsidRPr="00047B55" w:rsidRDefault="00411D30" w:rsidP="00411D30">
      <w:pPr>
        <w:numPr>
          <w:ilvl w:val="0"/>
          <w:numId w:val="27"/>
        </w:numPr>
        <w:tabs>
          <w:tab w:val="clear" w:pos="1440"/>
          <w:tab w:val="num" w:pos="425"/>
        </w:tabs>
        <w:spacing w:before="120" w:after="120" w:line="312" w:lineRule="auto"/>
        <w:ind w:left="425" w:hanging="425"/>
        <w:jc w:val="both"/>
        <w:rPr>
          <w:rFonts w:cstheme="minorHAnsi"/>
        </w:rPr>
      </w:pPr>
      <w:r w:rsidRPr="00047B55">
        <w:rPr>
          <w:rFonts w:cstheme="minorHAnsi"/>
        </w:rPr>
        <w:t>Riduzione dei fenomeni di evasione/elusione tariffaria e falsificazione dei titoli;</w:t>
      </w:r>
    </w:p>
    <w:p w14:paraId="0A8FD62A" w14:textId="77777777" w:rsidR="00411D30" w:rsidRPr="00047B55" w:rsidRDefault="00411D30" w:rsidP="00411D30">
      <w:pPr>
        <w:numPr>
          <w:ilvl w:val="0"/>
          <w:numId w:val="27"/>
        </w:numPr>
        <w:tabs>
          <w:tab w:val="clear" w:pos="1440"/>
          <w:tab w:val="num" w:pos="425"/>
        </w:tabs>
        <w:spacing w:before="120" w:after="120" w:line="312" w:lineRule="auto"/>
        <w:ind w:left="425" w:hanging="425"/>
        <w:jc w:val="both"/>
        <w:rPr>
          <w:rFonts w:cstheme="minorHAnsi"/>
        </w:rPr>
      </w:pPr>
      <w:r w:rsidRPr="00047B55">
        <w:rPr>
          <w:rFonts w:cstheme="minorHAnsi"/>
        </w:rPr>
        <w:t>Fidelizzazione della clientela attuale;</w:t>
      </w:r>
    </w:p>
    <w:p w14:paraId="4B17C952" w14:textId="77777777" w:rsidR="00411D30" w:rsidRPr="00047B55" w:rsidRDefault="00411D30" w:rsidP="00411D30">
      <w:pPr>
        <w:numPr>
          <w:ilvl w:val="0"/>
          <w:numId w:val="27"/>
        </w:numPr>
        <w:tabs>
          <w:tab w:val="clear" w:pos="1440"/>
          <w:tab w:val="num" w:pos="425"/>
        </w:tabs>
        <w:spacing w:before="120" w:after="120" w:line="312" w:lineRule="auto"/>
        <w:ind w:left="425" w:hanging="425"/>
        <w:jc w:val="both"/>
        <w:rPr>
          <w:rFonts w:cstheme="minorHAnsi"/>
        </w:rPr>
      </w:pPr>
      <w:r w:rsidRPr="00047B55">
        <w:rPr>
          <w:rFonts w:cstheme="minorHAnsi"/>
        </w:rPr>
        <w:t>Ricostruzione puntuale della domanda effettiva dei servizi;</w:t>
      </w:r>
    </w:p>
    <w:p w14:paraId="6A93343D" w14:textId="77777777" w:rsidR="00411D30" w:rsidRPr="00047B55" w:rsidRDefault="00411D30" w:rsidP="00411D30">
      <w:pPr>
        <w:numPr>
          <w:ilvl w:val="0"/>
          <w:numId w:val="27"/>
        </w:numPr>
        <w:tabs>
          <w:tab w:val="clear" w:pos="1440"/>
          <w:tab w:val="num" w:pos="425"/>
        </w:tabs>
        <w:spacing w:before="120" w:after="120" w:line="312" w:lineRule="auto"/>
        <w:ind w:left="425" w:hanging="425"/>
        <w:jc w:val="both"/>
        <w:rPr>
          <w:rFonts w:cstheme="minorHAnsi"/>
        </w:rPr>
      </w:pPr>
      <w:r w:rsidRPr="00047B55">
        <w:rPr>
          <w:rFonts w:cstheme="minorHAnsi"/>
        </w:rPr>
        <w:t>Realizzazione di sistemi tariffari integrati complessi;</w:t>
      </w:r>
    </w:p>
    <w:p w14:paraId="2C48061E" w14:textId="77777777" w:rsidR="00411D30" w:rsidRPr="00047B55" w:rsidRDefault="00411D30" w:rsidP="00411D30">
      <w:pPr>
        <w:numPr>
          <w:ilvl w:val="0"/>
          <w:numId w:val="27"/>
        </w:numPr>
        <w:tabs>
          <w:tab w:val="clear" w:pos="1440"/>
          <w:tab w:val="num" w:pos="425"/>
        </w:tabs>
        <w:spacing w:before="120" w:after="120" w:line="312" w:lineRule="auto"/>
        <w:ind w:left="425" w:hanging="425"/>
        <w:jc w:val="both"/>
        <w:rPr>
          <w:rFonts w:cstheme="minorHAnsi"/>
        </w:rPr>
      </w:pPr>
      <w:r w:rsidRPr="00047B55">
        <w:rPr>
          <w:rFonts w:cstheme="minorHAnsi"/>
        </w:rPr>
        <w:t>Cattura di nuova domanda, grazie a politiche tariffarie diversificate e flessibili.</w:t>
      </w:r>
    </w:p>
    <w:p w14:paraId="621F6D56" w14:textId="77777777" w:rsidR="00411D30" w:rsidRDefault="00411D30" w:rsidP="00411D30">
      <w:pPr>
        <w:keepLines/>
        <w:spacing w:before="120" w:after="120" w:line="312" w:lineRule="auto"/>
        <w:jc w:val="both"/>
        <w:rPr>
          <w:rFonts w:cstheme="minorHAnsi"/>
        </w:rPr>
      </w:pPr>
    </w:p>
    <w:p w14:paraId="6AB25E2C" w14:textId="77777777" w:rsidR="00411D30" w:rsidRPr="00411D30" w:rsidRDefault="00411D30" w:rsidP="00411D30">
      <w:pPr>
        <w:pStyle w:val="Paragrafoelenco"/>
        <w:numPr>
          <w:ilvl w:val="1"/>
          <w:numId w:val="12"/>
        </w:numPr>
        <w:spacing w:before="120" w:after="120" w:line="312" w:lineRule="auto"/>
        <w:contextualSpacing/>
        <w:jc w:val="both"/>
        <w:rPr>
          <w:rStyle w:val="Titolo2Carattere"/>
        </w:rPr>
      </w:pPr>
      <w:bookmarkStart w:id="3" w:name="_Toc55402549"/>
      <w:r w:rsidRPr="00411D30">
        <w:rPr>
          <w:rStyle w:val="Titolo2Carattere"/>
        </w:rPr>
        <w:t>Progetto SIBIT</w:t>
      </w:r>
      <w:bookmarkEnd w:id="3"/>
    </w:p>
    <w:p w14:paraId="57D3A755" w14:textId="77777777" w:rsidR="00411D30" w:rsidRPr="00047B55" w:rsidRDefault="00411D30" w:rsidP="00411D30">
      <w:pPr>
        <w:spacing w:before="120" w:after="120" w:line="312" w:lineRule="auto"/>
        <w:jc w:val="both"/>
        <w:rPr>
          <w:rFonts w:cstheme="minorHAnsi"/>
        </w:rPr>
      </w:pPr>
      <w:r w:rsidRPr="00047B55">
        <w:rPr>
          <w:rFonts w:cstheme="minorHAnsi"/>
        </w:rPr>
        <w:t>L’applicazione dei sistemi di pagamento elettronico, consente agli utenti di utilizzare i diversi servizi di trasporto (in ambito locale, regionale e nazionale) utilizzando un solo supporto per l’acquisto di una pluralità di titoli di viaggio (es. trasporto pubblico, sosta e taxi).</w:t>
      </w:r>
    </w:p>
    <w:p w14:paraId="6DC7508D" w14:textId="77777777" w:rsidR="00411D30" w:rsidRPr="00047B55" w:rsidRDefault="00411D30" w:rsidP="00411D30">
      <w:pPr>
        <w:spacing w:before="120" w:after="120" w:line="312" w:lineRule="auto"/>
        <w:jc w:val="both"/>
        <w:rPr>
          <w:rFonts w:cstheme="minorHAnsi"/>
        </w:rPr>
      </w:pPr>
      <w:r w:rsidRPr="00047B55">
        <w:rPr>
          <w:rFonts w:cstheme="minorHAnsi"/>
        </w:rPr>
        <w:t>Per il raggiungimento di tale obiettivo è necessario l’impiego di standard che consentano un uso combinato dello stesso titolo per più funzioni legate alla mobilità urbana, oltre che garantire la massima integrazione con altri sistemi di pagamento e vendita a livello regionale e nazionale.</w:t>
      </w:r>
    </w:p>
    <w:p w14:paraId="126A27EA" w14:textId="77777777" w:rsidR="00411D30" w:rsidRPr="00047B55" w:rsidRDefault="00411D30" w:rsidP="00411D30">
      <w:pPr>
        <w:spacing w:before="120" w:after="120" w:line="312" w:lineRule="auto"/>
        <w:jc w:val="both"/>
        <w:rPr>
          <w:rFonts w:cstheme="minorHAnsi"/>
        </w:rPr>
      </w:pPr>
      <w:r w:rsidRPr="00047B55">
        <w:rPr>
          <w:rFonts w:cstheme="minorHAnsi"/>
        </w:rPr>
        <w:t xml:space="preserve">La sfida del </w:t>
      </w:r>
      <w:r w:rsidRPr="007F3B10">
        <w:rPr>
          <w:rFonts w:cstheme="minorHAnsi"/>
          <w:b/>
        </w:rPr>
        <w:t>progetto SIBIT</w:t>
      </w:r>
      <w:r w:rsidRPr="00047B55">
        <w:rPr>
          <w:rFonts w:cstheme="minorHAnsi"/>
        </w:rPr>
        <w:t xml:space="preserve"> consiste nella diffusione di uno standard già realizzato e funzionante, costituito da elementi riusabili e aperti, su territori regionali che si accingono a realizzare sistemi di bigliettazione di dimensioni comparabili per complessità e volumi. In particolare, Regione Piemonte ha messo a disposizione dei partner di progetto la buona pratica "Modello BIP", l'insieme del Sistema Informativo Regionale dei Trasporti (SIRT) e del sistema di bigliettazione elettronica regionale BIP (Biglietto Integrato Piemonte). </w:t>
      </w:r>
    </w:p>
    <w:p w14:paraId="0D89E4B3" w14:textId="77777777" w:rsidR="00411D30" w:rsidRPr="00047B55" w:rsidRDefault="00411D30" w:rsidP="00411D30">
      <w:pPr>
        <w:spacing w:before="120" w:after="120" w:line="312" w:lineRule="auto"/>
        <w:jc w:val="both"/>
        <w:rPr>
          <w:rFonts w:cstheme="minorHAnsi"/>
        </w:rPr>
      </w:pPr>
      <w:r w:rsidRPr="00047B55">
        <w:rPr>
          <w:rFonts w:cstheme="minorHAnsi"/>
        </w:rPr>
        <w:t>I sistemi hanno l'obiettivo di dotare gli enti incaricati di pianificare, programmare e controllare i servizi di trasporto, di infrastrutture tecnologiche pubbliche, aperte, indipendenti e autonome rispetto agli operatori TPL e ai fornitori privati di tecnologia.</w:t>
      </w:r>
    </w:p>
    <w:p w14:paraId="7E174C57" w14:textId="77777777" w:rsidR="00411D30" w:rsidRPr="00BB3BA5" w:rsidRDefault="00411D30" w:rsidP="00411D30">
      <w:pPr>
        <w:spacing w:before="120" w:after="120" w:line="312" w:lineRule="auto"/>
        <w:jc w:val="both"/>
        <w:rPr>
          <w:rFonts w:cs="Albertus MT Lt"/>
        </w:rPr>
      </w:pPr>
    </w:p>
    <w:p w14:paraId="5ED890FA" w14:textId="77777777" w:rsidR="00411D30" w:rsidRPr="00BB3BA5" w:rsidRDefault="00411D30" w:rsidP="00411D30">
      <w:pPr>
        <w:spacing w:before="120" w:after="120" w:line="312" w:lineRule="auto"/>
        <w:jc w:val="both"/>
        <w:rPr>
          <w:rFonts w:cs="Albertus MT Lt"/>
        </w:rPr>
      </w:pPr>
      <w:r w:rsidRPr="00BB3BA5">
        <w:rPr>
          <w:rFonts w:cs="Albertus MT Lt"/>
        </w:rPr>
        <w:t>La buona pratica oggetto di trasferimento si compone di un’architettura a più livelli, che comprende:</w:t>
      </w:r>
    </w:p>
    <w:p w14:paraId="353EABE6" w14:textId="77777777" w:rsidR="00411D30" w:rsidRPr="007F3B10" w:rsidRDefault="00411D30" w:rsidP="00411D30">
      <w:pPr>
        <w:numPr>
          <w:ilvl w:val="0"/>
          <w:numId w:val="27"/>
        </w:numPr>
        <w:tabs>
          <w:tab w:val="clear" w:pos="1440"/>
          <w:tab w:val="num" w:pos="425"/>
        </w:tabs>
        <w:spacing w:before="120" w:after="120" w:line="312" w:lineRule="auto"/>
        <w:ind w:left="425" w:hanging="425"/>
        <w:jc w:val="both"/>
        <w:rPr>
          <w:rFonts w:cstheme="minorHAnsi"/>
        </w:rPr>
      </w:pPr>
      <w:r w:rsidRPr="007F3B10">
        <w:rPr>
          <w:rFonts w:cstheme="minorHAnsi"/>
        </w:rPr>
        <w:t xml:space="preserve">Standard aperti per lo scambio dati tra enti e operatori TPL (protocollo </w:t>
      </w:r>
      <w:proofErr w:type="spellStart"/>
      <w:r w:rsidRPr="007F3B10">
        <w:rPr>
          <w:rFonts w:cstheme="minorHAnsi"/>
        </w:rPr>
        <w:t>BIPEx</w:t>
      </w:r>
      <w:proofErr w:type="spellEnd"/>
      <w:r w:rsidRPr="007F3B10">
        <w:rPr>
          <w:rFonts w:cstheme="minorHAnsi"/>
        </w:rPr>
        <w:t>);</w:t>
      </w:r>
    </w:p>
    <w:p w14:paraId="405571AB" w14:textId="77777777" w:rsidR="00411D30" w:rsidRPr="007F3B10" w:rsidRDefault="00411D30" w:rsidP="00411D30">
      <w:pPr>
        <w:numPr>
          <w:ilvl w:val="0"/>
          <w:numId w:val="27"/>
        </w:numPr>
        <w:tabs>
          <w:tab w:val="clear" w:pos="1440"/>
          <w:tab w:val="num" w:pos="425"/>
        </w:tabs>
        <w:spacing w:before="120" w:after="120" w:line="312" w:lineRule="auto"/>
        <w:ind w:left="425" w:hanging="425"/>
        <w:jc w:val="both"/>
        <w:rPr>
          <w:rFonts w:cstheme="minorHAnsi"/>
        </w:rPr>
      </w:pPr>
      <w:r w:rsidRPr="007F3B10">
        <w:rPr>
          <w:rFonts w:cstheme="minorHAnsi"/>
        </w:rPr>
        <w:lastRenderedPageBreak/>
        <w:t>Componenti funzionali, in grado di assicurare la sicurezza, l'interoperabilità e l'accessibilità ai servizi di trasporto su scala regionale (moduli di sicurezza e smart card);</w:t>
      </w:r>
    </w:p>
    <w:p w14:paraId="28F6822B" w14:textId="77777777" w:rsidR="00411D30" w:rsidRPr="007F3B10" w:rsidRDefault="00411D30" w:rsidP="00411D30">
      <w:pPr>
        <w:numPr>
          <w:ilvl w:val="0"/>
          <w:numId w:val="27"/>
        </w:numPr>
        <w:tabs>
          <w:tab w:val="clear" w:pos="1440"/>
          <w:tab w:val="num" w:pos="425"/>
        </w:tabs>
        <w:spacing w:before="120" w:after="120" w:line="312" w:lineRule="auto"/>
        <w:ind w:left="425" w:hanging="425"/>
        <w:jc w:val="both"/>
        <w:rPr>
          <w:rFonts w:cstheme="minorHAnsi"/>
        </w:rPr>
      </w:pPr>
      <w:r w:rsidRPr="007F3B10">
        <w:rPr>
          <w:rFonts w:cstheme="minorHAnsi"/>
        </w:rPr>
        <w:t>Strumenti autonomi di supporto alle decisioni e di controllo dei servizi erogati per gli enti (piattaforme di servizio).</w:t>
      </w:r>
    </w:p>
    <w:p w14:paraId="13EC6552" w14:textId="77777777" w:rsidR="00411D30" w:rsidRDefault="00411D30" w:rsidP="00411D30">
      <w:pPr>
        <w:spacing w:before="120" w:after="120" w:line="312" w:lineRule="auto"/>
        <w:jc w:val="both"/>
      </w:pPr>
      <w:r w:rsidRPr="00BB3BA5">
        <w:rPr>
          <w:rFonts w:cs="Albertus MT Lt"/>
        </w:rPr>
        <w:t>La buona pratica è stata attuata con successo in Regione Piemonte ed è oggi alla base del</w:t>
      </w:r>
      <w:r w:rsidRPr="0001359F">
        <w:rPr>
          <w:rFonts w:cs="Albertus MT Lt"/>
        </w:rPr>
        <w:t xml:space="preserve"> funzionamento del sistema di governo dell'intero TPL piemontese.</w:t>
      </w:r>
    </w:p>
    <w:p w14:paraId="6EF7A904" w14:textId="77777777" w:rsidR="00411D30" w:rsidRDefault="00411D30" w:rsidP="00411D30">
      <w:pPr>
        <w:spacing w:before="120" w:after="120" w:line="312" w:lineRule="auto"/>
        <w:jc w:val="both"/>
      </w:pPr>
    </w:p>
    <w:p w14:paraId="2E1C016E" w14:textId="77777777" w:rsidR="00411D30" w:rsidRDefault="00411D30" w:rsidP="00411D30">
      <w:pPr>
        <w:spacing w:before="120" w:after="120" w:line="312" w:lineRule="auto"/>
        <w:jc w:val="both"/>
        <w:rPr>
          <w:rFonts w:cs="Albertus MT Lt"/>
        </w:rPr>
      </w:pPr>
      <w:r w:rsidRPr="003643BE">
        <w:rPr>
          <w:rFonts w:cs="Albertus MT Lt"/>
        </w:rPr>
        <w:t xml:space="preserve">Il Progetto </w:t>
      </w:r>
      <w:proofErr w:type="spellStart"/>
      <w:r w:rsidRPr="003643BE">
        <w:rPr>
          <w:rFonts w:cs="Albertus MT Lt"/>
        </w:rPr>
        <w:t>Sibit</w:t>
      </w:r>
      <w:proofErr w:type="spellEnd"/>
      <w:r w:rsidRPr="003643BE">
        <w:rPr>
          <w:rFonts w:cs="Albertus MT Lt"/>
        </w:rPr>
        <w:t xml:space="preserve"> mira a realizzare uno standard interoperabile sull'e-ticketing tale da consentire all’utente dei sistemi di trasporto intermodali gomma ferro, la facoltà di spostarsi all’interno dei territori coinvolti con un solo supporto per titolo di viaggio (</w:t>
      </w:r>
      <w:proofErr w:type="spellStart"/>
      <w:r w:rsidRPr="003643BE">
        <w:rPr>
          <w:rFonts w:cs="Albertus MT Lt"/>
        </w:rPr>
        <w:t>TdV</w:t>
      </w:r>
      <w:proofErr w:type="spellEnd"/>
      <w:r w:rsidRPr="003643BE">
        <w:rPr>
          <w:rFonts w:cs="Albertus MT Lt"/>
        </w:rPr>
        <w:t>).</w:t>
      </w:r>
    </w:p>
    <w:p w14:paraId="036F9FEC" w14:textId="77777777" w:rsidR="00411D30" w:rsidRDefault="00411D30" w:rsidP="00411D30">
      <w:pPr>
        <w:spacing w:before="120" w:after="120" w:line="312" w:lineRule="auto"/>
        <w:jc w:val="both"/>
        <w:rPr>
          <w:rFonts w:cs="Albertus MT Lt"/>
        </w:rPr>
      </w:pPr>
      <w:r>
        <w:rPr>
          <w:rFonts w:cs="Albertus MT Lt"/>
        </w:rPr>
        <w:t>L</w:t>
      </w:r>
      <w:r w:rsidRPr="003643BE">
        <w:rPr>
          <w:rFonts w:cs="Albertus MT Lt"/>
        </w:rPr>
        <w:t>’azione è tesa a favorire, tanto in ambito regionale che nazionale, l’adozione della bigliettazione elettronica integrata per il pagamento dei servizi di trasporto pubblico locale e per la mobilità privata. L’applicazione dei sistemi di pagamento integrato deve consentire agli utenti di utilizzare i diversi servizi di trasporto (in ambito locale, regionale e nazionale) utilizzando supporti interoperabili per titoli di viaggio condivisi, sosta e taxi.</w:t>
      </w:r>
    </w:p>
    <w:p w14:paraId="6C56D4BB" w14:textId="77777777" w:rsidR="00411D30" w:rsidRDefault="00411D30" w:rsidP="00411D30">
      <w:pPr>
        <w:keepLines/>
        <w:spacing w:before="120" w:after="120" w:line="312" w:lineRule="auto"/>
        <w:jc w:val="both"/>
        <w:rPr>
          <w:rFonts w:cstheme="minorHAnsi"/>
        </w:rPr>
      </w:pPr>
    </w:p>
    <w:p w14:paraId="5A2C0C62" w14:textId="77777777" w:rsidR="00411D30" w:rsidRPr="00411D30" w:rsidRDefault="00411D30" w:rsidP="00411D30">
      <w:pPr>
        <w:pStyle w:val="Paragrafoelenco"/>
        <w:numPr>
          <w:ilvl w:val="1"/>
          <w:numId w:val="12"/>
        </w:numPr>
        <w:spacing w:before="120" w:after="120" w:line="312" w:lineRule="auto"/>
        <w:contextualSpacing/>
        <w:jc w:val="both"/>
        <w:rPr>
          <w:rStyle w:val="Titolo2Carattere"/>
        </w:rPr>
      </w:pPr>
      <w:bookmarkStart w:id="4" w:name="_Toc55402550"/>
      <w:r w:rsidRPr="00411D30">
        <w:rPr>
          <w:rStyle w:val="Titolo2Carattere"/>
        </w:rPr>
        <w:t>Elementi caratteristici dell’Attività</w:t>
      </w:r>
      <w:bookmarkEnd w:id="4"/>
    </w:p>
    <w:p w14:paraId="66E3EE94" w14:textId="77777777" w:rsidR="00411D30" w:rsidRDefault="00411D30" w:rsidP="00411D30">
      <w:pPr>
        <w:spacing w:before="120" w:after="120" w:line="312" w:lineRule="auto"/>
        <w:jc w:val="both"/>
        <w:rPr>
          <w:rFonts w:cs="Albertus MT Lt"/>
        </w:rPr>
      </w:pPr>
      <w:r w:rsidRPr="00B668E5">
        <w:rPr>
          <w:rFonts w:cs="Albertus MT Lt"/>
          <w:u w:val="single"/>
        </w:rPr>
        <w:t>Responsabile</w:t>
      </w:r>
      <w:r>
        <w:rPr>
          <w:rFonts w:cs="Albertus MT Lt"/>
        </w:rPr>
        <w:t xml:space="preserve">: </w:t>
      </w:r>
      <w:r w:rsidRPr="00B668E5">
        <w:rPr>
          <w:rFonts w:cs="Albertus MT Lt"/>
        </w:rPr>
        <w:t>Pubblica Amministrazione</w:t>
      </w:r>
    </w:p>
    <w:p w14:paraId="5144A1F2" w14:textId="77777777" w:rsidR="00411D30" w:rsidRPr="00B668E5" w:rsidRDefault="00411D30" w:rsidP="00411D30">
      <w:pPr>
        <w:spacing w:before="120" w:after="120" w:line="312" w:lineRule="auto"/>
        <w:jc w:val="both"/>
        <w:rPr>
          <w:rFonts w:cs="Albertus MT Lt"/>
        </w:rPr>
      </w:pPr>
      <w:r w:rsidRPr="00B668E5">
        <w:rPr>
          <w:rFonts w:cs="Albertus MT Lt"/>
          <w:u w:val="single"/>
        </w:rPr>
        <w:t>Output</w:t>
      </w:r>
      <w:r>
        <w:rPr>
          <w:rFonts w:cs="Albertus MT Lt"/>
        </w:rPr>
        <w:t xml:space="preserve">: </w:t>
      </w:r>
      <w:r w:rsidRPr="00B668E5">
        <w:rPr>
          <w:rFonts w:cs="Albertus MT Lt"/>
        </w:rPr>
        <w:t xml:space="preserve">Atti legislativi e regolamentari; devono essere definiti </w:t>
      </w:r>
    </w:p>
    <w:p w14:paraId="51059642" w14:textId="77777777" w:rsidR="00411D30" w:rsidRDefault="00411D30" w:rsidP="00411D30">
      <w:pPr>
        <w:pStyle w:val="Paragrafoelenco"/>
        <w:numPr>
          <w:ilvl w:val="0"/>
          <w:numId w:val="28"/>
        </w:numPr>
        <w:spacing w:before="120" w:after="120" w:line="312" w:lineRule="auto"/>
        <w:contextualSpacing/>
        <w:jc w:val="both"/>
        <w:rPr>
          <w:rFonts w:cs="Albertus MT Lt"/>
        </w:rPr>
      </w:pPr>
      <w:r w:rsidRPr="00B668E5">
        <w:rPr>
          <w:rFonts w:cs="Albertus MT Lt"/>
        </w:rPr>
        <w:t>Elementi obbligatori</w:t>
      </w:r>
      <w:r>
        <w:rPr>
          <w:rFonts w:cs="Albertus MT Lt"/>
        </w:rPr>
        <w:t>/</w:t>
      </w:r>
      <w:r w:rsidRPr="00B668E5">
        <w:rPr>
          <w:rFonts w:cs="Albertus MT Lt"/>
        </w:rPr>
        <w:t>facoltativi</w:t>
      </w:r>
      <w:r>
        <w:rPr>
          <w:rFonts w:cs="Albertus MT Lt"/>
        </w:rPr>
        <w:t xml:space="preserve"> del sistema</w:t>
      </w:r>
    </w:p>
    <w:p w14:paraId="5E62378B" w14:textId="77777777" w:rsidR="00411D30" w:rsidRDefault="00411D30" w:rsidP="00411D30">
      <w:pPr>
        <w:pStyle w:val="Paragrafoelenco"/>
        <w:numPr>
          <w:ilvl w:val="0"/>
          <w:numId w:val="28"/>
        </w:numPr>
        <w:spacing w:before="120" w:after="120" w:line="312" w:lineRule="auto"/>
        <w:contextualSpacing/>
        <w:jc w:val="both"/>
        <w:rPr>
          <w:rFonts w:cs="Albertus MT Lt"/>
        </w:rPr>
      </w:pPr>
      <w:r>
        <w:rPr>
          <w:rFonts w:cs="Albertus MT Lt"/>
        </w:rPr>
        <w:t>Gerarchia degli Obiettivi</w:t>
      </w:r>
      <w:r w:rsidRPr="00B668E5">
        <w:rPr>
          <w:rFonts w:cs="Albertus MT Lt"/>
        </w:rPr>
        <w:t xml:space="preserve">; </w:t>
      </w:r>
    </w:p>
    <w:p w14:paraId="78F9B9F7" w14:textId="77777777" w:rsidR="00411D30" w:rsidRDefault="00411D30" w:rsidP="00411D30">
      <w:pPr>
        <w:pStyle w:val="Paragrafoelenco"/>
        <w:numPr>
          <w:ilvl w:val="0"/>
          <w:numId w:val="28"/>
        </w:numPr>
        <w:spacing w:before="120" w:after="120" w:line="312" w:lineRule="auto"/>
        <w:contextualSpacing/>
        <w:jc w:val="both"/>
        <w:rPr>
          <w:rFonts w:cs="Albertus MT Lt"/>
        </w:rPr>
      </w:pPr>
      <w:r w:rsidRPr="00B668E5">
        <w:rPr>
          <w:rFonts w:cs="Albertus MT Lt"/>
        </w:rPr>
        <w:t>Tipologia del modello da implementare:</w:t>
      </w:r>
    </w:p>
    <w:p w14:paraId="1F603D35" w14:textId="77777777" w:rsidR="00411D30" w:rsidRPr="007F635C" w:rsidRDefault="00411D30" w:rsidP="00411D30">
      <w:pPr>
        <w:pStyle w:val="Paragrafoelenco"/>
        <w:numPr>
          <w:ilvl w:val="1"/>
          <w:numId w:val="28"/>
        </w:numPr>
        <w:spacing w:before="120" w:after="120" w:line="312" w:lineRule="auto"/>
        <w:contextualSpacing/>
        <w:jc w:val="both"/>
        <w:rPr>
          <w:rFonts w:cs="Albertus MT Lt"/>
        </w:rPr>
      </w:pPr>
      <w:r>
        <w:rPr>
          <w:rFonts w:cs="Albertus MT Lt"/>
        </w:rPr>
        <w:t xml:space="preserve">Tipologia di </w:t>
      </w:r>
      <w:r w:rsidRPr="007F635C">
        <w:rPr>
          <w:rFonts w:cs="Albertus MT Lt"/>
        </w:rPr>
        <w:t>governance pubblica</w:t>
      </w:r>
      <w:r>
        <w:rPr>
          <w:rFonts w:cs="Albertus MT Lt"/>
        </w:rPr>
        <w:t xml:space="preserve"> (centralizzata, basata su un unico Centro Servizi Regionali) o aziendale (decentrata su Centri Servizi Aziendali)</w:t>
      </w:r>
      <w:r w:rsidRPr="007F635C">
        <w:rPr>
          <w:rFonts w:cs="Albertus MT Lt"/>
        </w:rPr>
        <w:t xml:space="preserve">; </w:t>
      </w:r>
      <w:r>
        <w:rPr>
          <w:rFonts w:cs="Albertus MT Lt"/>
        </w:rPr>
        <w:t xml:space="preserve">il modello BIP è basato su una </w:t>
      </w:r>
      <w:r>
        <w:t xml:space="preserve">struttura organizzativa/gestionale del sistema di bigliettazione elettronica a livello regionale; tale </w:t>
      </w:r>
    </w:p>
    <w:p w14:paraId="4A18D320" w14:textId="77777777" w:rsidR="00411D30" w:rsidRPr="007F635C" w:rsidRDefault="00411D30" w:rsidP="00411D30">
      <w:pPr>
        <w:pStyle w:val="Paragrafoelenco"/>
        <w:numPr>
          <w:ilvl w:val="1"/>
          <w:numId w:val="28"/>
        </w:numPr>
        <w:spacing w:before="120" w:after="120" w:line="312" w:lineRule="auto"/>
        <w:contextualSpacing/>
        <w:jc w:val="both"/>
        <w:rPr>
          <w:rFonts w:cs="Albertus MT Lt"/>
        </w:rPr>
      </w:pPr>
      <w:r w:rsidRPr="007F635C">
        <w:rPr>
          <w:rFonts w:cs="Albertus MT Lt"/>
        </w:rPr>
        <w:t>Protocollo aperto per lo scambio dati</w:t>
      </w:r>
      <w:r>
        <w:rPr>
          <w:rFonts w:cs="Albertus MT Lt"/>
        </w:rPr>
        <w:t xml:space="preserve">: </w:t>
      </w:r>
      <w:r>
        <w:rPr>
          <w:rFonts w:cs="Arial"/>
        </w:rPr>
        <w:t xml:space="preserve">l’applicazione di uno standard integrato agevola il monitoraggio e il controllo dei livelli quantitativi e qualitativi dei servizi di trasporto locale, basati su sistemi tecnologici e protocolli di scambio dati aperti e standard, indipendenti dalle strutture dei singoli operatori di trasporto </w:t>
      </w:r>
      <w:r w:rsidRPr="007F635C">
        <w:rPr>
          <w:rFonts w:cs="Albertus MT Lt"/>
        </w:rPr>
        <w:t>(</w:t>
      </w:r>
      <w:proofErr w:type="spellStart"/>
      <w:r w:rsidRPr="007F635C">
        <w:rPr>
          <w:rFonts w:cs="Albertus MT Lt"/>
        </w:rPr>
        <w:t>BIPEx</w:t>
      </w:r>
      <w:proofErr w:type="spellEnd"/>
      <w:r w:rsidRPr="007F635C">
        <w:rPr>
          <w:rFonts w:cs="Albertus MT Lt"/>
        </w:rPr>
        <w:t>)</w:t>
      </w:r>
      <w:r>
        <w:rPr>
          <w:rFonts w:cs="Arial"/>
        </w:rPr>
        <w:t>;</w:t>
      </w:r>
    </w:p>
    <w:p w14:paraId="3568474C" w14:textId="77777777" w:rsidR="00411D30" w:rsidRDefault="00411D30" w:rsidP="00411D30">
      <w:pPr>
        <w:pStyle w:val="Paragrafoelenco"/>
        <w:numPr>
          <w:ilvl w:val="1"/>
          <w:numId w:val="28"/>
        </w:numPr>
        <w:spacing w:before="120" w:after="120" w:line="312" w:lineRule="auto"/>
        <w:contextualSpacing/>
        <w:jc w:val="both"/>
        <w:rPr>
          <w:rFonts w:cs="Albertus MT Lt"/>
        </w:rPr>
      </w:pPr>
      <w:r w:rsidRPr="007F635C">
        <w:rPr>
          <w:rFonts w:cs="Albertus MT Lt"/>
        </w:rPr>
        <w:t>Standard tecnologico per le smart card contactless</w:t>
      </w:r>
      <w:r>
        <w:rPr>
          <w:rFonts w:cs="Albertus MT Lt"/>
        </w:rPr>
        <w:t xml:space="preserve"> (</w:t>
      </w:r>
      <w:r w:rsidRPr="007F635C">
        <w:rPr>
          <w:rFonts w:cs="Albertus MT Lt"/>
        </w:rPr>
        <w:t>Calypso</w:t>
      </w:r>
      <w:r>
        <w:rPr>
          <w:rFonts w:cs="Albertus MT Lt"/>
        </w:rPr>
        <w:t xml:space="preserve">): </w:t>
      </w:r>
      <w:r>
        <w:rPr>
          <w:rFonts w:cs="Arial"/>
        </w:rPr>
        <w:t xml:space="preserve">la completa interoperabilità e facilità di accesso del sistema è garantita attraverso un unico supporto (fisico, smart card, o virtuale, smartphone) tra tutti i servizi di trasporto pubblico locale presenti sul territorio, inclusi i servizi ferroviari. In prospettiva, </w:t>
      </w:r>
      <w:r>
        <w:rPr>
          <w:rFonts w:cs="Arial"/>
        </w:rPr>
        <w:lastRenderedPageBreak/>
        <w:t xml:space="preserve">adottando il progetto </w:t>
      </w:r>
      <w:proofErr w:type="spellStart"/>
      <w:r>
        <w:rPr>
          <w:rFonts w:cs="Arial"/>
        </w:rPr>
        <w:t>BIPEx</w:t>
      </w:r>
      <w:proofErr w:type="spellEnd"/>
      <w:r>
        <w:rPr>
          <w:rFonts w:cs="Arial"/>
        </w:rPr>
        <w:t>, l’interoperabilità sarà garantita anche tra i differenti sistemi regionali di bigliettazione elettronica esistenti a livello nazionale, che condivideranno il modello e l’architettura BIP (Biglietto Integrato Piemonte).</w:t>
      </w:r>
    </w:p>
    <w:p w14:paraId="7C83EBD3" w14:textId="77777777" w:rsidR="00411D30" w:rsidRDefault="00411D30" w:rsidP="00411D30">
      <w:pPr>
        <w:pStyle w:val="Paragrafoelenco"/>
        <w:numPr>
          <w:ilvl w:val="0"/>
          <w:numId w:val="28"/>
        </w:numPr>
        <w:spacing w:before="120" w:after="120" w:line="312" w:lineRule="auto"/>
        <w:contextualSpacing/>
        <w:jc w:val="both"/>
        <w:rPr>
          <w:rFonts w:cs="Albertus MT Lt"/>
        </w:rPr>
      </w:pPr>
      <w:r w:rsidRPr="00B668E5">
        <w:rPr>
          <w:rFonts w:cs="Albertus MT Lt"/>
        </w:rPr>
        <w:t xml:space="preserve">Motivazioni della scelta </w:t>
      </w:r>
      <w:r w:rsidRPr="007F635C">
        <w:rPr>
          <w:rFonts w:cs="Albertus MT Lt"/>
        </w:rPr>
        <w:t xml:space="preserve">di implementare un </w:t>
      </w:r>
      <w:r>
        <w:rPr>
          <w:rFonts w:cs="Albertus MT Lt"/>
        </w:rPr>
        <w:t>SBE e, in particolare, quello reso disponibile da Regione Piemonte (</w:t>
      </w:r>
      <w:r w:rsidRPr="007F635C">
        <w:rPr>
          <w:rFonts w:cs="Albertus MT Lt"/>
        </w:rPr>
        <w:t>BIP</w:t>
      </w:r>
      <w:r>
        <w:rPr>
          <w:rFonts w:cs="Albertus MT Lt"/>
        </w:rPr>
        <w:t>)</w:t>
      </w:r>
      <w:r w:rsidRPr="00B668E5">
        <w:rPr>
          <w:rFonts w:cs="Albertus MT Lt"/>
        </w:rPr>
        <w:t xml:space="preserve">; </w:t>
      </w:r>
    </w:p>
    <w:p w14:paraId="6BFAE6D9" w14:textId="77777777" w:rsidR="00411D30" w:rsidRPr="002C47EA" w:rsidRDefault="00411D30" w:rsidP="00411D30">
      <w:pPr>
        <w:pStyle w:val="Paragrafoelenco"/>
        <w:numPr>
          <w:ilvl w:val="0"/>
          <w:numId w:val="28"/>
        </w:numPr>
        <w:spacing w:before="120" w:after="120" w:line="312" w:lineRule="auto"/>
        <w:contextualSpacing/>
        <w:jc w:val="both"/>
        <w:rPr>
          <w:rFonts w:cs="Albertus MT Lt"/>
        </w:rPr>
      </w:pPr>
      <w:r w:rsidRPr="00B668E5">
        <w:rPr>
          <w:rFonts w:cs="Albertus MT Lt"/>
        </w:rPr>
        <w:t>Condizioni minime necessarie (</w:t>
      </w:r>
      <w:r>
        <w:rPr>
          <w:rFonts w:cs="Albertus MT Lt"/>
        </w:rPr>
        <w:t>soprattutto, ma non solo, di tipo economico).</w:t>
      </w:r>
    </w:p>
    <w:p w14:paraId="137713F0" w14:textId="77777777" w:rsidR="00411D30" w:rsidRDefault="00411D30" w:rsidP="00411D30"/>
    <w:p w14:paraId="5A449077" w14:textId="77777777" w:rsidR="00411D30" w:rsidRPr="00411D30" w:rsidRDefault="00411D30" w:rsidP="00411D30"/>
    <w:p w14:paraId="1366FA80" w14:textId="77777777" w:rsidR="00411D30" w:rsidRDefault="00411D3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70A4CF19" w14:textId="77777777" w:rsidR="00411D30" w:rsidRDefault="00411D30" w:rsidP="00411D30">
      <w:pPr>
        <w:pStyle w:val="Titolo1"/>
        <w:numPr>
          <w:ilvl w:val="0"/>
          <w:numId w:val="12"/>
        </w:numPr>
      </w:pPr>
      <w:bookmarkStart w:id="5" w:name="_Toc55402551"/>
      <w:r w:rsidRPr="00334EAE">
        <w:lastRenderedPageBreak/>
        <w:t>Individuazione struttura tecnica per la gestione del progetto</w:t>
      </w:r>
      <w:bookmarkEnd w:id="5"/>
    </w:p>
    <w:p w14:paraId="7DA9E0AC" w14:textId="77777777" w:rsidR="00411D30" w:rsidRDefault="00411D30" w:rsidP="00411D30"/>
    <w:p w14:paraId="791D2A94" w14:textId="77777777" w:rsidR="00411D30" w:rsidRDefault="00411D30" w:rsidP="00411D30">
      <w:pPr>
        <w:spacing w:before="120" w:after="120" w:line="312" w:lineRule="auto"/>
        <w:jc w:val="both"/>
      </w:pPr>
      <w:r>
        <w:t xml:space="preserve">La complessità di un progetto di sviluppo di uno SBE richiede un </w:t>
      </w:r>
      <w:r w:rsidRPr="000430A3">
        <w:rPr>
          <w:b/>
        </w:rPr>
        <w:t>centro di competenze</w:t>
      </w:r>
      <w:r>
        <w:t xml:space="preserve"> sia per la fase di lancio del progetto (progettazione e implementazione) sia per quella di regime (compresi gli opportuni adattamenti progressivi alle evoluzioni del mercato della mobilità e delle tecnologie).</w:t>
      </w:r>
    </w:p>
    <w:p w14:paraId="6EF778F5" w14:textId="77777777" w:rsidR="00411D30" w:rsidRDefault="00411D30" w:rsidP="00411D30">
      <w:pPr>
        <w:spacing w:before="120" w:after="120" w:line="312" w:lineRule="auto"/>
        <w:jc w:val="both"/>
      </w:pPr>
      <w:r>
        <w:t xml:space="preserve">Il modello di sviluppo di tali competenze può essere </w:t>
      </w:r>
    </w:p>
    <w:p w14:paraId="26E83F53" w14:textId="77777777" w:rsidR="00411D30" w:rsidRDefault="00411D30" w:rsidP="00411D30">
      <w:pPr>
        <w:pStyle w:val="Paragrafoelenco"/>
        <w:numPr>
          <w:ilvl w:val="0"/>
          <w:numId w:val="30"/>
        </w:numPr>
        <w:spacing w:before="120" w:after="120" w:line="312" w:lineRule="auto"/>
        <w:contextualSpacing/>
        <w:jc w:val="both"/>
      </w:pPr>
      <w:r>
        <w:t xml:space="preserve">Associato a </w:t>
      </w:r>
      <w:r w:rsidRPr="000430A3">
        <w:rPr>
          <w:b/>
        </w:rPr>
        <w:t>società strumentale es</w:t>
      </w:r>
      <w:r>
        <w:rPr>
          <w:b/>
        </w:rPr>
        <w:t xml:space="preserve">istente </w:t>
      </w:r>
      <w:r>
        <w:t>come nel caso della Regione Piemonte (5T) e, in prospettiva, della Regione Liguria (Liguria Digitale); questo modello è sicuramente preferibile, soprattutto in corrispondenza della scelta di governance pubblica del sistema;</w:t>
      </w:r>
    </w:p>
    <w:p w14:paraId="36D2116B" w14:textId="77777777" w:rsidR="00411D30" w:rsidRDefault="00411D30" w:rsidP="00411D30">
      <w:pPr>
        <w:pStyle w:val="Paragrafoelenco"/>
        <w:numPr>
          <w:ilvl w:val="0"/>
          <w:numId w:val="30"/>
        </w:numPr>
        <w:spacing w:before="120" w:after="120" w:line="312" w:lineRule="auto"/>
        <w:contextualSpacing/>
        <w:jc w:val="both"/>
      </w:pPr>
      <w:r>
        <w:t>Costituito da una NewCo a capitale pubblico (in house);</w:t>
      </w:r>
    </w:p>
    <w:p w14:paraId="33F30D8A" w14:textId="77777777" w:rsidR="00411D30" w:rsidRDefault="00411D30" w:rsidP="00411D30">
      <w:pPr>
        <w:pStyle w:val="Paragrafoelenco"/>
        <w:numPr>
          <w:ilvl w:val="0"/>
          <w:numId w:val="30"/>
        </w:numPr>
        <w:spacing w:before="120" w:after="120" w:line="312" w:lineRule="auto"/>
        <w:contextualSpacing/>
        <w:jc w:val="both"/>
      </w:pPr>
      <w:r>
        <w:t>Sviluppato progressivamente internamente ad un settore della Regione; tale scelta, seppur percorribile nelle fasi prodromiche allo sviluppo del sistema, è preferibile evolva in una delle due scelte precedenti con l’avvio della fase di implementazione.</w:t>
      </w:r>
    </w:p>
    <w:p w14:paraId="0E5B2E8B" w14:textId="77777777" w:rsidR="00411D30" w:rsidRDefault="00411D30" w:rsidP="00411D30">
      <w:pPr>
        <w:spacing w:before="120" w:after="120" w:line="312" w:lineRule="auto"/>
        <w:jc w:val="both"/>
      </w:pPr>
      <w:r>
        <w:t xml:space="preserve">La Struttura tecnica dovrà </w:t>
      </w:r>
    </w:p>
    <w:p w14:paraId="5B1541F1" w14:textId="77777777" w:rsidR="00411D30" w:rsidRDefault="00411D30" w:rsidP="00411D30">
      <w:pPr>
        <w:pStyle w:val="Paragrafoelenco"/>
        <w:numPr>
          <w:ilvl w:val="0"/>
          <w:numId w:val="31"/>
        </w:numPr>
        <w:spacing w:before="120" w:after="120" w:line="312" w:lineRule="auto"/>
        <w:contextualSpacing/>
        <w:jc w:val="both"/>
      </w:pPr>
      <w:r>
        <w:t>Essere dotata di budget adeguato alle esigenze del progetto;</w:t>
      </w:r>
    </w:p>
    <w:p w14:paraId="598FA446" w14:textId="77777777" w:rsidR="00411D30" w:rsidRDefault="00411D30" w:rsidP="00411D30">
      <w:pPr>
        <w:pStyle w:val="Paragrafoelenco"/>
        <w:numPr>
          <w:ilvl w:val="0"/>
          <w:numId w:val="31"/>
        </w:numPr>
        <w:spacing w:before="120" w:after="120" w:line="312" w:lineRule="auto"/>
        <w:contextualSpacing/>
        <w:jc w:val="both"/>
      </w:pPr>
      <w:r>
        <w:t xml:space="preserve">Godere di </w:t>
      </w:r>
      <w:r w:rsidRPr="00486345">
        <w:t>idonea autonomia</w:t>
      </w:r>
      <w:r>
        <w:t xml:space="preserve"> (non deve avere partecipazioni dirette/indirette con </w:t>
      </w:r>
      <w:r w:rsidRPr="00E94E07">
        <w:t>gli operatori</w:t>
      </w:r>
      <w:r>
        <w:t xml:space="preserve"> dei trasporti);</w:t>
      </w:r>
    </w:p>
    <w:p w14:paraId="769DF694" w14:textId="77777777" w:rsidR="00411D30" w:rsidRDefault="00411D30" w:rsidP="00411D30">
      <w:pPr>
        <w:pStyle w:val="Paragrafoelenco"/>
        <w:numPr>
          <w:ilvl w:val="0"/>
          <w:numId w:val="31"/>
        </w:numPr>
        <w:spacing w:before="120" w:after="120" w:line="312" w:lineRule="auto"/>
        <w:contextualSpacing/>
        <w:jc w:val="both"/>
      </w:pPr>
      <w:r w:rsidRPr="00486345">
        <w:t xml:space="preserve">Accorpare </w:t>
      </w:r>
      <w:r>
        <w:t xml:space="preserve">le </w:t>
      </w:r>
      <w:r w:rsidRPr="00486345">
        <w:t>competenze necessarie</w:t>
      </w:r>
      <w:r>
        <w:t xml:space="preserve"> (eventuale </w:t>
      </w:r>
      <w:r w:rsidRPr="00E94E07">
        <w:t xml:space="preserve">supporto esterno, </w:t>
      </w:r>
      <w:r>
        <w:t xml:space="preserve">meglio se </w:t>
      </w:r>
      <w:r w:rsidRPr="00E94E07">
        <w:t xml:space="preserve">finalizzato al trasferimento del know </w:t>
      </w:r>
      <w:proofErr w:type="spellStart"/>
      <w:r w:rsidRPr="00E94E07">
        <w:t>how</w:t>
      </w:r>
      <w:proofErr w:type="spellEnd"/>
      <w:r>
        <w:t>);</w:t>
      </w:r>
    </w:p>
    <w:p w14:paraId="25099436" w14:textId="77777777" w:rsidR="00411D30" w:rsidRDefault="00411D30" w:rsidP="00411D30">
      <w:pPr>
        <w:pStyle w:val="Paragrafoelenco"/>
        <w:numPr>
          <w:ilvl w:val="0"/>
          <w:numId w:val="31"/>
        </w:numPr>
        <w:spacing w:before="120" w:after="120" w:line="312" w:lineRule="auto"/>
        <w:contextualSpacing/>
        <w:jc w:val="both"/>
      </w:pPr>
      <w:r w:rsidRPr="00E94E07">
        <w:t>Essere del territorio e radicat</w:t>
      </w:r>
      <w:r>
        <w:t>a</w:t>
      </w:r>
      <w:r w:rsidRPr="00E94E07">
        <w:t xml:space="preserve"> sul territorio</w:t>
      </w:r>
      <w:r>
        <w:t>, conoscerne le caratteristiche distintive e avere expertise nella dialettica tra operatori di trasporto e Regione/Enti locali del territorio.</w:t>
      </w:r>
    </w:p>
    <w:p w14:paraId="7B87AC9D" w14:textId="77777777" w:rsidR="00411D30" w:rsidRDefault="00411D30" w:rsidP="00411D30">
      <w:pPr>
        <w:spacing w:before="120" w:after="120" w:line="312" w:lineRule="auto"/>
        <w:jc w:val="both"/>
      </w:pPr>
    </w:p>
    <w:p w14:paraId="1EF5EA70" w14:textId="77777777" w:rsidR="00411D30" w:rsidRPr="00411D30" w:rsidRDefault="00411D30" w:rsidP="00411D30"/>
    <w:p w14:paraId="5B2F97A3" w14:textId="77777777" w:rsidR="00411D30" w:rsidRDefault="00411D3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BD936F5" w14:textId="77777777" w:rsidR="00411D30" w:rsidRDefault="00411D30" w:rsidP="00411D30">
      <w:pPr>
        <w:pStyle w:val="Titolo1"/>
        <w:numPr>
          <w:ilvl w:val="0"/>
          <w:numId w:val="12"/>
        </w:numPr>
      </w:pPr>
      <w:bookmarkStart w:id="6" w:name="_Toc55402552"/>
      <w:r w:rsidRPr="00334EAE">
        <w:lastRenderedPageBreak/>
        <w:t>Legislazione per definizione budget progetto</w:t>
      </w:r>
      <w:bookmarkEnd w:id="6"/>
    </w:p>
    <w:p w14:paraId="671E40AC" w14:textId="77777777" w:rsidR="00411D30" w:rsidRDefault="00411D30" w:rsidP="00411D30"/>
    <w:p w14:paraId="0EA4075D" w14:textId="77777777" w:rsidR="00411D30" w:rsidRDefault="00411D30" w:rsidP="00411D30">
      <w:pPr>
        <w:spacing w:before="120" w:after="120" w:line="312" w:lineRule="auto"/>
        <w:jc w:val="both"/>
      </w:pPr>
      <w:r>
        <w:t>Il fabbisogno economico-finanziario del progetto dovrà essere stimato in coerenza con le scelte relative al modello scelto e delle modalità di sviluppo selezionate (es. fondi pubblici/privati o misti per l’acquisto dell’hardware di sistema).</w:t>
      </w:r>
    </w:p>
    <w:p w14:paraId="45BB3E72" w14:textId="77777777" w:rsidR="00411D30" w:rsidRDefault="00411D30" w:rsidP="00411D30">
      <w:pPr>
        <w:spacing w:before="120" w:after="120" w:line="312" w:lineRule="auto"/>
        <w:jc w:val="both"/>
      </w:pPr>
      <w:r>
        <w:t xml:space="preserve">L’avvio del progetto di implementazione dello SBE deve essere pertanto associato alla corretta quantificazione delle risorse necessarie e alla conseguente individuazione delle relative fonti di finanziamento.  </w:t>
      </w:r>
    </w:p>
    <w:p w14:paraId="3B577614" w14:textId="77777777" w:rsidR="00411D30" w:rsidRDefault="00411D30" w:rsidP="00411D30">
      <w:pPr>
        <w:spacing w:before="120" w:after="120" w:line="312" w:lineRule="auto"/>
        <w:jc w:val="both"/>
      </w:pPr>
      <w:r>
        <w:t>Il budget dovrà essere dimensionato almeno con riferimento ai seguenti macro elementi:</w:t>
      </w:r>
    </w:p>
    <w:p w14:paraId="2559AEDD" w14:textId="77777777" w:rsidR="00411D30" w:rsidRDefault="00411D30" w:rsidP="00411D30">
      <w:pPr>
        <w:pStyle w:val="Paragrafoelenco"/>
        <w:numPr>
          <w:ilvl w:val="0"/>
          <w:numId w:val="32"/>
        </w:numPr>
        <w:spacing w:before="120" w:after="120" w:line="312" w:lineRule="auto"/>
        <w:contextualSpacing/>
        <w:jc w:val="both"/>
      </w:pPr>
      <w:r w:rsidRPr="00CE17C1">
        <w:t>Funzionamento del soggetto gestore</w:t>
      </w:r>
      <w:r>
        <w:t>;</w:t>
      </w:r>
    </w:p>
    <w:p w14:paraId="7C9626B4" w14:textId="77777777" w:rsidR="00411D30" w:rsidRDefault="00411D30" w:rsidP="00411D30">
      <w:pPr>
        <w:pStyle w:val="Paragrafoelenco"/>
        <w:numPr>
          <w:ilvl w:val="0"/>
          <w:numId w:val="32"/>
        </w:numPr>
        <w:spacing w:before="120" w:after="120" w:line="312" w:lineRule="auto"/>
        <w:contextualSpacing/>
        <w:jc w:val="both"/>
      </w:pPr>
      <w:r w:rsidRPr="00CE17C1">
        <w:t>Progettazione</w:t>
      </w:r>
      <w:r>
        <w:t xml:space="preserve"> del sistema;</w:t>
      </w:r>
    </w:p>
    <w:p w14:paraId="2757C01A" w14:textId="77777777" w:rsidR="00411D30" w:rsidRDefault="00411D30" w:rsidP="00411D30">
      <w:pPr>
        <w:pStyle w:val="Paragrafoelenco"/>
        <w:numPr>
          <w:ilvl w:val="0"/>
          <w:numId w:val="32"/>
        </w:numPr>
        <w:spacing w:before="120" w:after="120" w:line="312" w:lineRule="auto"/>
        <w:contextualSpacing/>
        <w:jc w:val="both"/>
      </w:pPr>
      <w:r>
        <w:t>Hardware e software centrale (CSR);</w:t>
      </w:r>
    </w:p>
    <w:p w14:paraId="6C7170E5" w14:textId="77777777" w:rsidR="00411D30" w:rsidRDefault="00411D30" w:rsidP="00411D30">
      <w:pPr>
        <w:pStyle w:val="Paragrafoelenco"/>
        <w:numPr>
          <w:ilvl w:val="0"/>
          <w:numId w:val="32"/>
        </w:numPr>
        <w:spacing w:before="120" w:after="120" w:line="312" w:lineRule="auto"/>
        <w:contextualSpacing/>
        <w:jc w:val="both"/>
      </w:pPr>
      <w:r>
        <w:t>(</w:t>
      </w:r>
      <w:r w:rsidR="00E03D0B">
        <w:t>Eventuale</w:t>
      </w:r>
      <w:r>
        <w:t>) finanziamento o cofinanziamento di Hardware e software periferico (CCA);</w:t>
      </w:r>
    </w:p>
    <w:p w14:paraId="5704FE05" w14:textId="77777777" w:rsidR="00411D30" w:rsidRDefault="00411D30" w:rsidP="00411D30">
      <w:pPr>
        <w:pStyle w:val="Paragrafoelenco"/>
        <w:numPr>
          <w:ilvl w:val="0"/>
          <w:numId w:val="32"/>
        </w:numPr>
        <w:spacing w:before="120" w:after="120" w:line="312" w:lineRule="auto"/>
        <w:contextualSpacing/>
        <w:jc w:val="both"/>
      </w:pPr>
      <w:r>
        <w:t>(</w:t>
      </w:r>
      <w:r w:rsidR="00E03D0B">
        <w:t>Eventuale</w:t>
      </w:r>
      <w:r>
        <w:t xml:space="preserve">) finanziamento o cofinanziamento dei </w:t>
      </w:r>
      <w:proofErr w:type="spellStart"/>
      <w:r w:rsidRPr="00CE17C1">
        <w:t>validatori</w:t>
      </w:r>
      <w:proofErr w:type="spellEnd"/>
      <w:r>
        <w:t>.</w:t>
      </w:r>
    </w:p>
    <w:p w14:paraId="7591F754" w14:textId="77777777" w:rsidR="00411D30" w:rsidRDefault="00411D30" w:rsidP="00411D30">
      <w:pPr>
        <w:spacing w:before="120" w:after="120" w:line="312" w:lineRule="auto"/>
        <w:jc w:val="both"/>
      </w:pPr>
    </w:p>
    <w:p w14:paraId="7BCA58D5" w14:textId="77777777" w:rsidR="00411D30" w:rsidRDefault="00411D30" w:rsidP="00411D30">
      <w:pPr>
        <w:spacing w:before="120" w:after="120" w:line="312" w:lineRule="auto"/>
        <w:jc w:val="both"/>
      </w:pPr>
      <w:r>
        <w:t>La copertura finanziaria del progetto potrà trovare rispondenza, oltre che nel bilancio dell’Ente, in eventuali fondi pubblici per investimenti (se esistenti) e/o utilizzando opportune manovre tariffarie.</w:t>
      </w:r>
    </w:p>
    <w:p w14:paraId="1CBEE562" w14:textId="77777777" w:rsidR="00411D30" w:rsidRDefault="00411D30" w:rsidP="00411D30">
      <w:pPr>
        <w:spacing w:before="120" w:after="120" w:line="312" w:lineRule="auto"/>
        <w:jc w:val="both"/>
      </w:pPr>
      <w:r>
        <w:t>È inoltre opportuno che tutte le fonti necessarie siano individuate e (ove del caso) accantonate</w:t>
      </w:r>
      <w:r w:rsidRPr="00CE17C1">
        <w:t xml:space="preserve"> </w:t>
      </w:r>
      <w:r>
        <w:t>sin dall’avvio del progetto.</w:t>
      </w:r>
    </w:p>
    <w:p w14:paraId="627299C5" w14:textId="77777777" w:rsidR="00411D30" w:rsidRDefault="00411D30" w:rsidP="00411D30">
      <w:pPr>
        <w:spacing w:before="120" w:after="120" w:line="312" w:lineRule="auto"/>
        <w:jc w:val="both"/>
      </w:pPr>
    </w:p>
    <w:p w14:paraId="61820B1B" w14:textId="77777777" w:rsidR="00411D30" w:rsidRPr="00411D30" w:rsidRDefault="00411D30" w:rsidP="00411D30"/>
    <w:p w14:paraId="54F10444" w14:textId="77777777" w:rsidR="00411D30" w:rsidRDefault="00411D3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3D3D8F67" w14:textId="77777777" w:rsidR="00411D30" w:rsidRDefault="00411D30" w:rsidP="00411D30">
      <w:pPr>
        <w:pStyle w:val="Titolo1"/>
        <w:numPr>
          <w:ilvl w:val="0"/>
          <w:numId w:val="12"/>
        </w:numPr>
      </w:pPr>
      <w:bookmarkStart w:id="7" w:name="_Toc55402553"/>
      <w:r w:rsidRPr="00334EAE">
        <w:lastRenderedPageBreak/>
        <w:t>Definizione legislativa coinvolgimento aziende TPL</w:t>
      </w:r>
      <w:bookmarkEnd w:id="7"/>
    </w:p>
    <w:p w14:paraId="7DB32F11" w14:textId="77777777" w:rsidR="00411D30" w:rsidRDefault="00411D30" w:rsidP="00411D30"/>
    <w:p w14:paraId="5E219869" w14:textId="77777777" w:rsidR="00411D30" w:rsidRDefault="00411D30" w:rsidP="00411D30">
      <w:pPr>
        <w:spacing w:before="120" w:after="120" w:line="312" w:lineRule="auto"/>
        <w:jc w:val="both"/>
      </w:pPr>
      <w:r>
        <w:t>Il sistema di bigliettazione elettronica è uno strumento che consente di gestire in modo efficace il rapporto “triangolare” tra Ente/Enti (per la definizione delle tariffe del sistema di mobilità) gli Operatore (che incassano e si ripartiscono i ricavi tariffari a fronte dei servizi di trasporto venduti) e i Clienti (che acquistano i servizi di mobilità).</w:t>
      </w:r>
    </w:p>
    <w:p w14:paraId="49E0CA16" w14:textId="77777777" w:rsidR="00411D30" w:rsidRDefault="00411D30" w:rsidP="00411D30">
      <w:pPr>
        <w:spacing w:before="120" w:after="120" w:line="312" w:lineRule="auto"/>
        <w:jc w:val="both"/>
      </w:pPr>
      <w:r>
        <w:t>Per il corretto ed efficace funzionamento del sistema di bigliettazione elettronica è pertanto necessario c</w:t>
      </w:r>
      <w:r w:rsidRPr="005C6ECC">
        <w:t xml:space="preserve">reare il giusto </w:t>
      </w:r>
      <w:proofErr w:type="spellStart"/>
      <w:r w:rsidRPr="005C6ECC">
        <w:t>committment</w:t>
      </w:r>
      <w:proofErr w:type="spellEnd"/>
      <w:r w:rsidRPr="005C6ECC">
        <w:t xml:space="preserve"> nelle aziende di TPL</w:t>
      </w:r>
      <w:r>
        <w:t xml:space="preserve"> che</w:t>
      </w:r>
    </w:p>
    <w:p w14:paraId="4FB594F1" w14:textId="77777777" w:rsidR="00411D30" w:rsidRDefault="00411D30" w:rsidP="00411D30">
      <w:pPr>
        <w:pStyle w:val="Paragrafoelenco"/>
        <w:numPr>
          <w:ilvl w:val="0"/>
          <w:numId w:val="33"/>
        </w:numPr>
        <w:spacing w:before="120" w:after="120" w:line="312" w:lineRule="auto"/>
        <w:contextualSpacing/>
        <w:jc w:val="both"/>
      </w:pPr>
      <w:r>
        <w:t>Devono dotarsi di idonei apparati;</w:t>
      </w:r>
    </w:p>
    <w:p w14:paraId="041FD16C" w14:textId="77777777" w:rsidR="00411D30" w:rsidRDefault="00411D30" w:rsidP="00411D30">
      <w:pPr>
        <w:pStyle w:val="Paragrafoelenco"/>
        <w:numPr>
          <w:ilvl w:val="0"/>
          <w:numId w:val="33"/>
        </w:numPr>
        <w:spacing w:before="120" w:after="120" w:line="312" w:lineRule="auto"/>
        <w:contextualSpacing/>
        <w:jc w:val="both"/>
      </w:pPr>
      <w:r>
        <w:t>Devono collaborare fattivamente nella fase di implementazione del sistema;</w:t>
      </w:r>
    </w:p>
    <w:p w14:paraId="53B1D6FA" w14:textId="77777777" w:rsidR="00411D30" w:rsidRDefault="00411D30" w:rsidP="00411D30">
      <w:pPr>
        <w:pStyle w:val="Paragrafoelenco"/>
        <w:numPr>
          <w:ilvl w:val="0"/>
          <w:numId w:val="33"/>
        </w:numPr>
        <w:spacing w:before="120" w:after="120" w:line="312" w:lineRule="auto"/>
        <w:contextualSpacing/>
        <w:jc w:val="both"/>
      </w:pPr>
      <w:r>
        <w:t>Devono acquisire gli apparati di bordo o almeno, nel caso di sistema interamente appaltato dall’Ente, rendere disponibili i propri asset (materiale rotabile, depositi) nella fase di approntamento del Sistema;</w:t>
      </w:r>
    </w:p>
    <w:p w14:paraId="68911E3E" w14:textId="77777777" w:rsidR="00411D30" w:rsidRDefault="00411D30" w:rsidP="00411D30">
      <w:pPr>
        <w:pStyle w:val="Paragrafoelenco"/>
        <w:numPr>
          <w:ilvl w:val="0"/>
          <w:numId w:val="33"/>
        </w:numPr>
        <w:spacing w:before="120" w:after="120" w:line="312" w:lineRule="auto"/>
        <w:contextualSpacing/>
        <w:jc w:val="both"/>
      </w:pPr>
      <w:r>
        <w:t>Devono, a regime, verificarne operativamente il corretto funzionamento.</w:t>
      </w:r>
    </w:p>
    <w:p w14:paraId="2242202B" w14:textId="77777777" w:rsidR="00411D30" w:rsidRDefault="00411D30" w:rsidP="00411D30">
      <w:pPr>
        <w:spacing w:before="120" w:after="120" w:line="312" w:lineRule="auto"/>
        <w:jc w:val="both"/>
      </w:pPr>
      <w:r>
        <w:t>A prescindere di quale sia la scelta in merito al finanziamento del sistema, sono pertanto necessari a</w:t>
      </w:r>
      <w:r w:rsidRPr="005C6ECC">
        <w:t xml:space="preserve">tti formali che rendono cogente </w:t>
      </w:r>
      <w:r>
        <w:t>l’</w:t>
      </w:r>
      <w:r w:rsidRPr="005C6ECC">
        <w:t xml:space="preserve">adesione al programma per </w:t>
      </w:r>
      <w:r>
        <w:t xml:space="preserve">gli Operatori di Mobilità (aziende di </w:t>
      </w:r>
      <w:r w:rsidRPr="005C6ECC">
        <w:t xml:space="preserve">TPL </w:t>
      </w:r>
      <w:r>
        <w:t xml:space="preserve">e, progressivamente, anche tutti le imprese che offrono servizi di mobilità e parcheggio sul territorio). </w:t>
      </w:r>
    </w:p>
    <w:p w14:paraId="5DD8DDD2" w14:textId="77777777" w:rsidR="00411D30" w:rsidRDefault="00411D30" w:rsidP="00411D30">
      <w:pPr>
        <w:spacing w:before="120" w:after="120" w:line="312" w:lineRule="auto"/>
        <w:jc w:val="both"/>
      </w:pPr>
      <w:r>
        <w:t xml:space="preserve">Le obbligazioni relative all’adesione allo SBE </w:t>
      </w:r>
    </w:p>
    <w:p w14:paraId="63C2B713" w14:textId="77777777" w:rsidR="00411D30" w:rsidRDefault="00411D30" w:rsidP="00411D30">
      <w:pPr>
        <w:pStyle w:val="Paragrafoelenco"/>
        <w:numPr>
          <w:ilvl w:val="0"/>
          <w:numId w:val="34"/>
        </w:numPr>
        <w:spacing w:before="120" w:after="120" w:line="312" w:lineRule="auto"/>
        <w:contextualSpacing/>
        <w:jc w:val="both"/>
      </w:pPr>
      <w:r>
        <w:t>Trovare idonea fonte normativa (es. uno o più atti formali degli organi legislativi e di governo della Regione);</w:t>
      </w:r>
    </w:p>
    <w:p w14:paraId="3FF6426C" w14:textId="77777777" w:rsidR="00411D30" w:rsidRDefault="00411D30" w:rsidP="00411D30">
      <w:pPr>
        <w:pStyle w:val="Paragrafoelenco"/>
        <w:numPr>
          <w:ilvl w:val="0"/>
          <w:numId w:val="34"/>
        </w:numPr>
        <w:spacing w:before="120" w:after="120" w:line="312" w:lineRule="auto"/>
        <w:contextualSpacing/>
        <w:jc w:val="both"/>
      </w:pPr>
      <w:r>
        <w:t>Essere inserite nei nuovi Contratti di servizio;</w:t>
      </w:r>
    </w:p>
    <w:p w14:paraId="655F0000" w14:textId="77777777" w:rsidR="00411D30" w:rsidRDefault="00411D30" w:rsidP="00411D30">
      <w:pPr>
        <w:pStyle w:val="Paragrafoelenco"/>
        <w:numPr>
          <w:ilvl w:val="0"/>
          <w:numId w:val="34"/>
        </w:numPr>
        <w:spacing w:before="120" w:after="120" w:line="312" w:lineRule="auto"/>
        <w:contextualSpacing/>
        <w:jc w:val="both"/>
      </w:pPr>
      <w:r>
        <w:t>Risultare da convenzioni e accordi nei casi di contratti di servizio in essere.</w:t>
      </w:r>
    </w:p>
    <w:p w14:paraId="088FE6E1" w14:textId="77777777" w:rsidR="00411D30" w:rsidRDefault="00411D30" w:rsidP="00411D30">
      <w:pPr>
        <w:spacing w:before="120" w:after="120" w:line="312" w:lineRule="auto"/>
        <w:jc w:val="both"/>
      </w:pPr>
      <w:r>
        <w:t>In particolare:</w:t>
      </w:r>
    </w:p>
    <w:p w14:paraId="13990847" w14:textId="77777777" w:rsidR="00411D30" w:rsidRDefault="00411D30" w:rsidP="00411D30">
      <w:pPr>
        <w:pStyle w:val="Paragrafoelenco"/>
        <w:numPr>
          <w:ilvl w:val="0"/>
          <w:numId w:val="35"/>
        </w:numPr>
        <w:spacing w:before="120" w:after="120" w:line="312" w:lineRule="auto"/>
        <w:contextualSpacing/>
        <w:jc w:val="both"/>
      </w:pPr>
      <w:r>
        <w:t xml:space="preserve">Nel caso di sistema centralizzato, </w:t>
      </w:r>
      <w:r w:rsidRPr="00A620F0">
        <w:t>programmi</w:t>
      </w:r>
      <w:r>
        <w:t xml:space="preserve"> e </w:t>
      </w:r>
      <w:r w:rsidRPr="00A620F0">
        <w:t xml:space="preserve">sistemi sono </w:t>
      </w:r>
      <w:r>
        <w:t>predisposti dalla Regione (</w:t>
      </w:r>
      <w:r w:rsidRPr="00A620F0">
        <w:t>unico system integrato</w:t>
      </w:r>
      <w:r>
        <w:t>r); le obbligazioni, in questo caso, riguarderanno le modalità di utilizzo dei sistemi regionali;</w:t>
      </w:r>
    </w:p>
    <w:p w14:paraId="70DF4AA8" w14:textId="77777777" w:rsidR="00411D30" w:rsidRDefault="00411D30" w:rsidP="00411D30">
      <w:pPr>
        <w:pStyle w:val="Paragrafoelenco"/>
        <w:numPr>
          <w:ilvl w:val="0"/>
          <w:numId w:val="35"/>
        </w:numPr>
        <w:spacing w:before="120" w:after="120" w:line="312" w:lineRule="auto"/>
        <w:contextualSpacing/>
        <w:jc w:val="both"/>
      </w:pPr>
      <w:r>
        <w:t xml:space="preserve">Nel caso di sistema decentrato ovvero </w:t>
      </w:r>
      <w:r w:rsidRPr="00A620F0">
        <w:t xml:space="preserve">sistema </w:t>
      </w:r>
      <w:r>
        <w:t xml:space="preserve">basato sui </w:t>
      </w:r>
      <w:r w:rsidRPr="00A620F0">
        <w:t xml:space="preserve">CCA aziendali </w:t>
      </w:r>
      <w:r>
        <w:t xml:space="preserve">oltre ad </w:t>
      </w:r>
      <w:r w:rsidRPr="00A620F0">
        <w:t>un coordinamento centralizzato</w:t>
      </w:r>
      <w:r>
        <w:t xml:space="preserve"> regionale (</w:t>
      </w:r>
      <w:r w:rsidRPr="00A620F0">
        <w:t xml:space="preserve">può essere opportuno se gli operatori hanno già </w:t>
      </w:r>
      <w:r>
        <w:t xml:space="preserve">sviluppato propri </w:t>
      </w:r>
      <w:r w:rsidRPr="00A620F0">
        <w:t>sistemi</w:t>
      </w:r>
      <w:r>
        <w:t>,</w:t>
      </w:r>
      <w:r w:rsidRPr="00A620F0">
        <w:t xml:space="preserve"> magari anche finanziati)</w:t>
      </w:r>
      <w:r>
        <w:t>: in questo caso le obbligazioni da prevedere afferiscono all’interoperabilità dei singoli sistemi.</w:t>
      </w:r>
    </w:p>
    <w:p w14:paraId="413FF815" w14:textId="77777777" w:rsidR="00411D30" w:rsidRDefault="00411D30" w:rsidP="00411D30"/>
    <w:p w14:paraId="4E1D0A94" w14:textId="77777777" w:rsidR="00411D30" w:rsidRDefault="00411D3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B2BBE82" w14:textId="77777777" w:rsidR="00411D30" w:rsidRDefault="00411D30" w:rsidP="00411D30">
      <w:pPr>
        <w:pStyle w:val="Titolo1"/>
        <w:numPr>
          <w:ilvl w:val="0"/>
          <w:numId w:val="12"/>
        </w:numPr>
      </w:pPr>
      <w:bookmarkStart w:id="8" w:name="_Toc55402554"/>
      <w:r w:rsidRPr="00334EAE">
        <w:lastRenderedPageBreak/>
        <w:t>Creazione consorzi fra aziende TPL</w:t>
      </w:r>
      <w:bookmarkEnd w:id="8"/>
    </w:p>
    <w:p w14:paraId="68386CE5" w14:textId="77777777" w:rsidR="00411D30" w:rsidRDefault="00411D30" w:rsidP="00411D30"/>
    <w:p w14:paraId="57B68E11" w14:textId="77777777" w:rsidR="00411D30" w:rsidRDefault="00411D30" w:rsidP="00411D30">
      <w:pPr>
        <w:spacing w:before="120" w:after="120" w:line="312" w:lineRule="auto"/>
        <w:jc w:val="both"/>
      </w:pPr>
      <w:r>
        <w:t xml:space="preserve">Tale Attività è finalizzata a </w:t>
      </w:r>
      <w:r w:rsidRPr="007118F8">
        <w:t>ottimizzare l'impegno economico necessario per l'approvvigionamento di sistemi per la gestione dei dati TPL e ticketing a livello di bacino (tipicamente provinciale)</w:t>
      </w:r>
      <w:r>
        <w:t>.</w:t>
      </w:r>
    </w:p>
    <w:p w14:paraId="11750C34" w14:textId="77777777" w:rsidR="00411D30" w:rsidRDefault="00411D30" w:rsidP="00411D30">
      <w:pPr>
        <w:spacing w:before="120" w:after="120" w:line="312" w:lineRule="auto"/>
        <w:jc w:val="both"/>
      </w:pPr>
      <w:r>
        <w:t>La costituzione di un consorzio tra aziende è facoltativa ed è da prevedere in particolare per gli Ambiti dove coesistono pluralità di operatori; nei casi degli Enti riusanti del progetto SIBIT tale casistica non è rilavante in quanto già costituiti e presenti i consorzi tra operatori.</w:t>
      </w:r>
    </w:p>
    <w:p w14:paraId="5261DB31" w14:textId="77777777" w:rsidR="00411D30" w:rsidRPr="00411D30" w:rsidRDefault="00411D30" w:rsidP="00411D30"/>
    <w:p w14:paraId="0F22B867" w14:textId="77777777" w:rsidR="00411D30" w:rsidRDefault="00411D3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208F37A" w14:textId="77777777" w:rsidR="00411D30" w:rsidRDefault="00411D30" w:rsidP="00411D30">
      <w:pPr>
        <w:pStyle w:val="Titolo1"/>
        <w:numPr>
          <w:ilvl w:val="0"/>
          <w:numId w:val="12"/>
        </w:numPr>
      </w:pPr>
      <w:bookmarkStart w:id="9" w:name="_Toc55402555"/>
      <w:r w:rsidRPr="00334EAE">
        <w:lastRenderedPageBreak/>
        <w:t>Studio situazione esistente</w:t>
      </w:r>
      <w:bookmarkEnd w:id="9"/>
    </w:p>
    <w:p w14:paraId="6C7161AA" w14:textId="77777777" w:rsidR="00411D30" w:rsidRDefault="00411D30" w:rsidP="00411D30"/>
    <w:p w14:paraId="54BCA87F" w14:textId="77777777" w:rsidR="00411D30" w:rsidRDefault="00411D30" w:rsidP="00411D30">
      <w:pPr>
        <w:spacing w:before="120" w:after="120" w:line="312" w:lineRule="auto"/>
        <w:jc w:val="both"/>
      </w:pPr>
      <w:r>
        <w:t>Lo studio della situazione esistente</w:t>
      </w:r>
      <w:r w:rsidRPr="007118F8">
        <w:t xml:space="preserve"> è fondamentale per definire </w:t>
      </w:r>
      <w:r>
        <w:t>lo stato dell’arte dei seguenti elementi:</w:t>
      </w:r>
    </w:p>
    <w:p w14:paraId="64990626" w14:textId="77777777" w:rsidR="00411D30" w:rsidRDefault="00411D30" w:rsidP="00411D30">
      <w:pPr>
        <w:pStyle w:val="Paragrafoelenco"/>
        <w:numPr>
          <w:ilvl w:val="0"/>
          <w:numId w:val="36"/>
        </w:numPr>
        <w:spacing w:before="120" w:after="120" w:line="312" w:lineRule="auto"/>
        <w:contextualSpacing/>
        <w:jc w:val="both"/>
      </w:pPr>
      <w:r>
        <w:t>Sistema di governo del TPL Regionale</w:t>
      </w:r>
    </w:p>
    <w:p w14:paraId="5D8DBCDD" w14:textId="77777777" w:rsidR="00411D30" w:rsidRDefault="00411D30" w:rsidP="00411D30">
      <w:pPr>
        <w:pStyle w:val="Paragrafoelenco"/>
        <w:numPr>
          <w:ilvl w:val="0"/>
          <w:numId w:val="36"/>
        </w:numPr>
        <w:spacing w:before="120" w:after="120" w:line="312" w:lineRule="auto"/>
        <w:contextualSpacing/>
        <w:jc w:val="both"/>
      </w:pPr>
      <w:r>
        <w:t xml:space="preserve">Protocolli di comunicazione </w:t>
      </w:r>
    </w:p>
    <w:p w14:paraId="21935B0E" w14:textId="77777777" w:rsidR="00411D30" w:rsidRDefault="00411D30" w:rsidP="00411D30">
      <w:pPr>
        <w:pStyle w:val="Paragrafoelenco"/>
        <w:numPr>
          <w:ilvl w:val="0"/>
          <w:numId w:val="36"/>
        </w:numPr>
        <w:spacing w:before="120" w:after="120" w:line="312" w:lineRule="auto"/>
        <w:contextualSpacing/>
        <w:jc w:val="both"/>
      </w:pPr>
      <w:r>
        <w:t>Sistemi tariffari</w:t>
      </w:r>
    </w:p>
    <w:p w14:paraId="2D18E9B9" w14:textId="77777777" w:rsidR="00411D30" w:rsidRDefault="00411D30" w:rsidP="00411D30">
      <w:pPr>
        <w:pStyle w:val="Paragrafoelenco"/>
        <w:numPr>
          <w:ilvl w:val="0"/>
          <w:numId w:val="36"/>
        </w:numPr>
        <w:spacing w:before="120" w:after="120" w:line="312" w:lineRule="auto"/>
        <w:contextualSpacing/>
        <w:jc w:val="both"/>
      </w:pPr>
      <w:r>
        <w:t xml:space="preserve">Sistemi tecnologici </w:t>
      </w:r>
    </w:p>
    <w:p w14:paraId="2FCB3C8B" w14:textId="77777777" w:rsidR="00411D30" w:rsidRDefault="00411D30" w:rsidP="00411D30">
      <w:pPr>
        <w:pStyle w:val="Paragrafoelenco"/>
        <w:numPr>
          <w:ilvl w:val="0"/>
          <w:numId w:val="36"/>
        </w:numPr>
        <w:spacing w:before="120" w:after="120" w:line="312" w:lineRule="auto"/>
        <w:contextualSpacing/>
        <w:jc w:val="both"/>
      </w:pPr>
      <w:r>
        <w:t>Normativa regionale</w:t>
      </w:r>
    </w:p>
    <w:p w14:paraId="22DE6E46" w14:textId="77777777" w:rsidR="00411D30" w:rsidRDefault="00411D30" w:rsidP="00411D30">
      <w:pPr>
        <w:spacing w:before="120" w:after="120" w:line="312" w:lineRule="auto"/>
        <w:jc w:val="both"/>
      </w:pPr>
      <w:r>
        <w:t xml:space="preserve">L'analisi consente di dimensionare correttamente il progetto di bigliettazione elettronica, fornendo gli elementi di base per i successivi capitolati di gara. </w:t>
      </w:r>
    </w:p>
    <w:p w14:paraId="4A393BBC" w14:textId="77777777" w:rsidR="00411D30" w:rsidRDefault="00FF4564" w:rsidP="00FF4564">
      <w:pPr>
        <w:spacing w:before="120" w:after="120" w:line="312" w:lineRule="auto"/>
        <w:jc w:val="both"/>
      </w:pPr>
      <w:r>
        <w:t xml:space="preserve">Dovranno in particolare essere rilevati con gli operatori </w:t>
      </w:r>
      <w:r w:rsidRPr="00FF4564">
        <w:t>TPL indicativamente le seguenti informazioni</w:t>
      </w:r>
    </w:p>
    <w:p w14:paraId="10B58001" w14:textId="77777777" w:rsidR="00FF4564" w:rsidRPr="00FF4564" w:rsidRDefault="00FF4564" w:rsidP="00FF4564">
      <w:pPr>
        <w:pStyle w:val="Paragrafoelenco"/>
        <w:numPr>
          <w:ilvl w:val="0"/>
          <w:numId w:val="36"/>
        </w:numPr>
        <w:spacing w:before="120" w:after="120" w:line="312" w:lineRule="auto"/>
        <w:contextualSpacing/>
        <w:jc w:val="both"/>
      </w:pPr>
      <w:r w:rsidRPr="00FF4564">
        <w:t>Sedi centro di controllo (numero di sedi in cui sono installate postazioni di controllo e numero di postazioni per ciascuna sede);</w:t>
      </w:r>
    </w:p>
    <w:p w14:paraId="1DFC5EA3" w14:textId="77777777" w:rsidR="00FF4564" w:rsidRPr="00FF4564" w:rsidRDefault="00FF4564" w:rsidP="00FF4564">
      <w:pPr>
        <w:pStyle w:val="Paragrafoelenco"/>
        <w:numPr>
          <w:ilvl w:val="0"/>
          <w:numId w:val="36"/>
        </w:numPr>
        <w:spacing w:before="120" w:after="120" w:line="312" w:lineRule="auto"/>
        <w:contextualSpacing/>
        <w:jc w:val="both"/>
      </w:pPr>
      <w:r w:rsidRPr="00FF4564">
        <w:t>Data center aziendale (presenza di un Datacenter interno che può ospitare anche le estensioni per l’integrazione regionale);</w:t>
      </w:r>
    </w:p>
    <w:p w14:paraId="75C7567F" w14:textId="77777777" w:rsidR="00FF4564" w:rsidRPr="00FF4564" w:rsidRDefault="00FF4564" w:rsidP="00FF4564">
      <w:pPr>
        <w:pStyle w:val="Paragrafoelenco"/>
        <w:numPr>
          <w:ilvl w:val="0"/>
          <w:numId w:val="36"/>
        </w:numPr>
        <w:spacing w:before="120" w:after="120" w:line="312" w:lineRule="auto"/>
        <w:contextualSpacing/>
        <w:jc w:val="both"/>
      </w:pPr>
      <w:r w:rsidRPr="00FF4564">
        <w:t xml:space="preserve">Attuali supporti per </w:t>
      </w:r>
      <w:proofErr w:type="spellStart"/>
      <w:r w:rsidRPr="00FF4564">
        <w:t>TdV</w:t>
      </w:r>
      <w:proofErr w:type="spellEnd"/>
      <w:r w:rsidRPr="00FF4564">
        <w:t xml:space="preserve"> (cartaceo, magnetico, smart card, titoli elettronici su canale mobile payment);</w:t>
      </w:r>
    </w:p>
    <w:p w14:paraId="7B4E4AAE" w14:textId="77777777" w:rsidR="00FF4564" w:rsidRPr="00FF4564" w:rsidRDefault="00FF4564" w:rsidP="00FF4564">
      <w:pPr>
        <w:pStyle w:val="Paragrafoelenco"/>
        <w:numPr>
          <w:ilvl w:val="0"/>
          <w:numId w:val="36"/>
        </w:numPr>
        <w:spacing w:before="120" w:after="120" w:line="312" w:lineRule="auto"/>
        <w:contextualSpacing/>
        <w:jc w:val="both"/>
      </w:pPr>
      <w:r>
        <w:t xml:space="preserve">Procedure di </w:t>
      </w:r>
      <w:r w:rsidRPr="00FF4564">
        <w:t>export verso altri S</w:t>
      </w:r>
      <w:r>
        <w:t xml:space="preserve">istemi informativi aziendali </w:t>
      </w:r>
      <w:r w:rsidRPr="00FF4564">
        <w:t>(</w:t>
      </w:r>
      <w:r>
        <w:t xml:space="preserve">es. </w:t>
      </w:r>
      <w:r w:rsidRPr="00FF4564">
        <w:t>Contabilità, Business intelligence);</w:t>
      </w:r>
    </w:p>
    <w:p w14:paraId="059401DB" w14:textId="77777777" w:rsidR="00FF4564" w:rsidRPr="00FF4564" w:rsidRDefault="00FF4564" w:rsidP="00FF4564">
      <w:pPr>
        <w:pStyle w:val="Paragrafoelenco"/>
        <w:numPr>
          <w:ilvl w:val="0"/>
          <w:numId w:val="36"/>
        </w:numPr>
        <w:spacing w:before="120" w:after="120" w:line="312" w:lineRule="auto"/>
        <w:contextualSpacing/>
        <w:jc w:val="both"/>
      </w:pPr>
      <w:r w:rsidRPr="00FF4564">
        <w:t>Gestione Turni (applicazione utilizzata per la pianificazione dei turni, per integrazione nel sistema di bigliettazione);</w:t>
      </w:r>
    </w:p>
    <w:p w14:paraId="1A17DFCA" w14:textId="77777777" w:rsidR="00FF4564" w:rsidRPr="00FF4564" w:rsidRDefault="00FF4564" w:rsidP="00FF4564">
      <w:pPr>
        <w:pStyle w:val="Paragrafoelenco"/>
        <w:numPr>
          <w:ilvl w:val="0"/>
          <w:numId w:val="36"/>
        </w:numPr>
        <w:spacing w:before="120" w:after="120" w:line="312" w:lineRule="auto"/>
        <w:contextualSpacing/>
        <w:jc w:val="both"/>
      </w:pPr>
      <w:r w:rsidRPr="00FF4564">
        <w:t>Sistema AVM (dotazione di un AVM aperto per integrazioni con il SBE)</w:t>
      </w:r>
      <w:r>
        <w:t>;</w:t>
      </w:r>
    </w:p>
    <w:p w14:paraId="20F108D3" w14:textId="77777777" w:rsidR="00FF4564" w:rsidRPr="00FF4564" w:rsidRDefault="00FF4564" w:rsidP="00FF4564">
      <w:pPr>
        <w:pStyle w:val="Paragrafoelenco"/>
        <w:numPr>
          <w:ilvl w:val="0"/>
          <w:numId w:val="36"/>
        </w:numPr>
        <w:spacing w:before="120" w:after="120" w:line="312" w:lineRule="auto"/>
        <w:contextualSpacing/>
        <w:jc w:val="both"/>
      </w:pPr>
      <w:r w:rsidRPr="00FF4564">
        <w:t xml:space="preserve">Numero e tipologia di mezzi per tipologia di servizio; </w:t>
      </w:r>
    </w:p>
    <w:p w14:paraId="59EC4238" w14:textId="77777777" w:rsidR="00FF4564" w:rsidRPr="00FF4564" w:rsidRDefault="00FF4564" w:rsidP="00FF4564">
      <w:pPr>
        <w:pStyle w:val="Paragrafoelenco"/>
        <w:numPr>
          <w:ilvl w:val="0"/>
          <w:numId w:val="36"/>
        </w:numPr>
        <w:spacing w:before="120" w:after="120" w:line="312" w:lineRule="auto"/>
        <w:contextualSpacing/>
        <w:jc w:val="both"/>
      </w:pPr>
      <w:r w:rsidRPr="00FF4564">
        <w:t>Numero di mezzi dotati di sistema AVM/AVL;</w:t>
      </w:r>
    </w:p>
    <w:p w14:paraId="57B547B1" w14:textId="77777777" w:rsidR="00FF4564" w:rsidRPr="00FF4564" w:rsidRDefault="00FF4564" w:rsidP="00FF4564">
      <w:pPr>
        <w:pStyle w:val="Paragrafoelenco"/>
        <w:numPr>
          <w:ilvl w:val="0"/>
          <w:numId w:val="36"/>
        </w:numPr>
        <w:spacing w:before="120" w:after="120" w:line="312" w:lineRule="auto"/>
        <w:contextualSpacing/>
        <w:jc w:val="both"/>
      </w:pPr>
      <w:r w:rsidRPr="00FF4564">
        <w:t xml:space="preserve">Numero di depositi; </w:t>
      </w:r>
    </w:p>
    <w:p w14:paraId="608C39F9" w14:textId="77777777" w:rsidR="00FF4564" w:rsidRPr="00FF4564" w:rsidRDefault="00FF4564" w:rsidP="00FF4564">
      <w:pPr>
        <w:pStyle w:val="Paragrafoelenco"/>
        <w:numPr>
          <w:ilvl w:val="0"/>
          <w:numId w:val="36"/>
        </w:numPr>
        <w:spacing w:before="120" w:after="120" w:line="312" w:lineRule="auto"/>
        <w:contextualSpacing/>
        <w:jc w:val="both"/>
      </w:pPr>
      <w:r w:rsidRPr="00FF4564">
        <w:t xml:space="preserve">Dimensione dei piazzali per definire il numero di hot-spot; </w:t>
      </w:r>
    </w:p>
    <w:p w14:paraId="7E98FC24" w14:textId="77777777" w:rsidR="00FF4564" w:rsidRPr="00FF4564" w:rsidRDefault="00FF4564" w:rsidP="00FF4564">
      <w:pPr>
        <w:pStyle w:val="Paragrafoelenco"/>
        <w:numPr>
          <w:ilvl w:val="0"/>
          <w:numId w:val="36"/>
        </w:numPr>
        <w:spacing w:before="120" w:after="120" w:line="312" w:lineRule="auto"/>
        <w:contextualSpacing/>
        <w:jc w:val="both"/>
      </w:pPr>
      <w:r w:rsidRPr="00FF4564">
        <w:t>Tipologia di canale di comunicazione con il datacenter (Intranet, rete pubblica, ….);</w:t>
      </w:r>
    </w:p>
    <w:p w14:paraId="4E0DE67D" w14:textId="77777777" w:rsidR="00FF4564" w:rsidRPr="00FF4564" w:rsidRDefault="00FF4564" w:rsidP="00FF4564">
      <w:pPr>
        <w:pStyle w:val="Paragrafoelenco"/>
        <w:numPr>
          <w:ilvl w:val="0"/>
          <w:numId w:val="36"/>
        </w:numPr>
        <w:spacing w:before="120" w:after="120" w:line="312" w:lineRule="auto"/>
        <w:contextualSpacing/>
        <w:jc w:val="both"/>
      </w:pPr>
      <w:r>
        <w:t xml:space="preserve">Sistemi di </w:t>
      </w:r>
      <w:r w:rsidRPr="00FF4564">
        <w:t xml:space="preserve">verifica </w:t>
      </w:r>
      <w:proofErr w:type="spellStart"/>
      <w:r>
        <w:t>TdV</w:t>
      </w:r>
      <w:proofErr w:type="spellEnd"/>
      <w:r>
        <w:t xml:space="preserve"> (</w:t>
      </w:r>
      <w:r w:rsidRPr="00FF4564">
        <w:t>numero controllori impegnati nelle attività di controllo a bordo dei titoli di viaggio</w:t>
      </w:r>
      <w:r>
        <w:t>)</w:t>
      </w:r>
      <w:r w:rsidRPr="00FF4564">
        <w:t>;</w:t>
      </w:r>
    </w:p>
    <w:p w14:paraId="06503B88" w14:textId="77777777" w:rsidR="00FF4564" w:rsidRPr="00FF4564" w:rsidRDefault="00FF4564" w:rsidP="00384842">
      <w:pPr>
        <w:pStyle w:val="Paragrafoelenco"/>
        <w:numPr>
          <w:ilvl w:val="0"/>
          <w:numId w:val="36"/>
        </w:numPr>
        <w:spacing w:before="120" w:after="120" w:line="312" w:lineRule="auto"/>
        <w:contextualSpacing/>
        <w:jc w:val="both"/>
      </w:pPr>
      <w:r w:rsidRPr="00FF4564">
        <w:t>Canali di vendita</w:t>
      </w:r>
      <w:r w:rsidR="00781600">
        <w:t xml:space="preserve"> (Biglietterie, Web, Mobile payment, rete rivendite, </w:t>
      </w:r>
      <w:r w:rsidRPr="00FF4564">
        <w:t>Ticketing Vending Machine).</w:t>
      </w:r>
    </w:p>
    <w:p w14:paraId="4F087605" w14:textId="77777777" w:rsidR="00411D30" w:rsidRPr="00411D30" w:rsidRDefault="00411D30" w:rsidP="00411D30"/>
    <w:p w14:paraId="12A47EB4" w14:textId="77777777" w:rsidR="00411D30" w:rsidRDefault="00411D3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B9D6D8C" w14:textId="77777777" w:rsidR="00411D30" w:rsidRDefault="00411D30" w:rsidP="00411D30">
      <w:pPr>
        <w:pStyle w:val="Titolo1"/>
        <w:numPr>
          <w:ilvl w:val="0"/>
          <w:numId w:val="12"/>
        </w:numPr>
      </w:pPr>
      <w:bookmarkStart w:id="10" w:name="_Toc55402556"/>
      <w:r w:rsidRPr="00334EAE">
        <w:lastRenderedPageBreak/>
        <w:t>Scouting tecnologico e individuazione delle tecnologie condivise da adottare</w:t>
      </w:r>
      <w:bookmarkEnd w:id="10"/>
    </w:p>
    <w:p w14:paraId="71806980" w14:textId="77777777" w:rsidR="00411D30" w:rsidRDefault="00411D30" w:rsidP="00411D30"/>
    <w:p w14:paraId="665C44F0" w14:textId="77777777" w:rsidR="00411D30" w:rsidRDefault="00411D30" w:rsidP="00411D30">
      <w:pPr>
        <w:spacing w:before="120" w:after="120" w:line="312" w:lineRule="auto"/>
        <w:jc w:val="both"/>
      </w:pPr>
      <w:r>
        <w:t>In questa fase, la struttura tecnica individuata per la progettazione del SBE dovrà verificare, negli Ambiti territoriali di interesse (preferibilmente tutti gli Ambiti del contesto regionale) la presenza e, se del caso, le caratteristiche dei seguenti elementi:</w:t>
      </w:r>
    </w:p>
    <w:p w14:paraId="7CCDABB0" w14:textId="77777777" w:rsidR="00411D30" w:rsidRDefault="00411D30" w:rsidP="00411D30">
      <w:pPr>
        <w:pStyle w:val="Paragrafoelenco"/>
        <w:numPr>
          <w:ilvl w:val="0"/>
          <w:numId w:val="37"/>
        </w:numPr>
        <w:spacing w:before="120" w:after="120" w:line="312" w:lineRule="auto"/>
        <w:contextualSpacing/>
        <w:jc w:val="both"/>
      </w:pPr>
      <w:r w:rsidRPr="00705B40">
        <w:t>Dotazioni esistenti</w:t>
      </w:r>
      <w:r>
        <w:t>;</w:t>
      </w:r>
    </w:p>
    <w:p w14:paraId="79406C7B" w14:textId="77777777" w:rsidR="00411D30" w:rsidRDefault="00411D30" w:rsidP="00411D30">
      <w:pPr>
        <w:pStyle w:val="Paragrafoelenco"/>
        <w:numPr>
          <w:ilvl w:val="0"/>
          <w:numId w:val="37"/>
        </w:numPr>
        <w:spacing w:before="120" w:after="120" w:line="312" w:lineRule="auto"/>
        <w:contextualSpacing/>
        <w:jc w:val="both"/>
      </w:pPr>
      <w:r w:rsidRPr="00705B40">
        <w:t>Protocolli di comunicazione statici</w:t>
      </w:r>
      <w:r>
        <w:t>;</w:t>
      </w:r>
    </w:p>
    <w:p w14:paraId="378E9A1A" w14:textId="77777777" w:rsidR="00411D30" w:rsidRDefault="00411D30" w:rsidP="00411D30">
      <w:pPr>
        <w:pStyle w:val="Paragrafoelenco"/>
        <w:numPr>
          <w:ilvl w:val="0"/>
          <w:numId w:val="37"/>
        </w:numPr>
        <w:spacing w:before="120" w:after="120" w:line="312" w:lineRule="auto"/>
        <w:contextualSpacing/>
        <w:jc w:val="both"/>
      </w:pPr>
      <w:r>
        <w:t>Sistemi AVM/AVL;</w:t>
      </w:r>
    </w:p>
    <w:p w14:paraId="74BAB52D" w14:textId="77777777" w:rsidR="00411D30" w:rsidRDefault="00411D30" w:rsidP="00411D30">
      <w:pPr>
        <w:pStyle w:val="Paragrafoelenco"/>
        <w:numPr>
          <w:ilvl w:val="0"/>
          <w:numId w:val="37"/>
        </w:numPr>
        <w:spacing w:before="120" w:after="120" w:line="312" w:lineRule="auto"/>
        <w:contextualSpacing/>
        <w:jc w:val="both"/>
      </w:pPr>
      <w:r w:rsidRPr="00705B40">
        <w:t xml:space="preserve">Protocolli di comunicazione </w:t>
      </w:r>
      <w:r>
        <w:t>dinamici;</w:t>
      </w:r>
    </w:p>
    <w:p w14:paraId="39C58878" w14:textId="77777777" w:rsidR="00411D30" w:rsidRDefault="00411D30" w:rsidP="00411D30">
      <w:pPr>
        <w:pStyle w:val="Paragrafoelenco"/>
        <w:numPr>
          <w:ilvl w:val="0"/>
          <w:numId w:val="37"/>
        </w:numPr>
        <w:spacing w:before="120" w:after="120" w:line="312" w:lineRule="auto"/>
        <w:contextualSpacing/>
        <w:jc w:val="both"/>
      </w:pPr>
      <w:r>
        <w:t>Sistemi SBE.</w:t>
      </w:r>
    </w:p>
    <w:p w14:paraId="6A1126A7" w14:textId="77777777" w:rsidR="00411D30" w:rsidRDefault="00411D30" w:rsidP="00411D30">
      <w:pPr>
        <w:spacing w:before="120" w:after="120" w:line="312" w:lineRule="auto"/>
        <w:jc w:val="both"/>
      </w:pPr>
      <w:r>
        <w:t xml:space="preserve">È indispensabile, in questa fase, che vengano correttamente individuati e definiti </w:t>
      </w:r>
      <w:r w:rsidRPr="00530C29">
        <w:t>i protocolli</w:t>
      </w:r>
      <w:r>
        <w:t xml:space="preserve"> di comunicazione</w:t>
      </w:r>
      <w:r w:rsidRPr="00530C29">
        <w:t xml:space="preserve">: ovvero </w:t>
      </w:r>
      <w:r>
        <w:t xml:space="preserve">le modalità e cadenze di trasmissione dati da Operatore a Ente. </w:t>
      </w:r>
    </w:p>
    <w:p w14:paraId="2F04C450" w14:textId="77777777" w:rsidR="00411D30" w:rsidRDefault="00411D30" w:rsidP="00411D30">
      <w:pPr>
        <w:spacing w:before="120" w:after="120" w:line="312" w:lineRule="auto"/>
        <w:jc w:val="both"/>
      </w:pPr>
      <w:r>
        <w:t>Il livello di “cogenza” di tali protocolli potrà essere definito anche in considerazione del modello di SBE scelto:</w:t>
      </w:r>
    </w:p>
    <w:p w14:paraId="64EBFD43" w14:textId="77777777" w:rsidR="00411D30" w:rsidRDefault="00411D30" w:rsidP="00411D30">
      <w:pPr>
        <w:pStyle w:val="Paragrafoelenco"/>
        <w:numPr>
          <w:ilvl w:val="0"/>
          <w:numId w:val="38"/>
        </w:numPr>
        <w:spacing w:before="120" w:after="120" w:line="312" w:lineRule="auto"/>
        <w:contextualSpacing/>
        <w:jc w:val="both"/>
      </w:pPr>
      <w:r w:rsidRPr="00530C29">
        <w:t>Se il sistema è centralizzato</w:t>
      </w:r>
      <w:r>
        <w:t>,</w:t>
      </w:r>
      <w:r w:rsidRPr="00530C29">
        <w:t xml:space="preserve"> obbligatorio e finanziato integralmente </w:t>
      </w:r>
      <w:r>
        <w:t>da Regione, i protocolli possono essere anche molto specifici e rigidi (al limite, imponendo precise specifiche alle aziende che, pertanto, sono obbligate ad adattare i propri sistemi alle specifiche imposte dalla Regione);</w:t>
      </w:r>
    </w:p>
    <w:p w14:paraId="4C5FE920" w14:textId="77777777" w:rsidR="00411D30" w:rsidRDefault="00411D30" w:rsidP="00411D30">
      <w:pPr>
        <w:pStyle w:val="Paragrafoelenco"/>
        <w:numPr>
          <w:ilvl w:val="0"/>
          <w:numId w:val="38"/>
        </w:numPr>
        <w:spacing w:before="120" w:after="120" w:line="312" w:lineRule="auto"/>
        <w:contextualSpacing/>
        <w:jc w:val="both"/>
      </w:pPr>
      <w:r w:rsidRPr="00530C29">
        <w:t xml:space="preserve">Se invece il sistema richiede un cofinanziamento degli operatori, </w:t>
      </w:r>
      <w:r>
        <w:t>può/</w:t>
      </w:r>
      <w:r w:rsidRPr="00530C29">
        <w:t xml:space="preserve">deve essere lasciato libero il singolo operatore di scegliere la </w:t>
      </w:r>
      <w:r>
        <w:t xml:space="preserve">propria </w:t>
      </w:r>
      <w:r w:rsidRPr="00530C29">
        <w:t>tecnologia</w:t>
      </w:r>
      <w:r>
        <w:t xml:space="preserve">, seppur </w:t>
      </w:r>
      <w:r w:rsidRPr="00530C29">
        <w:t>nel rispetto delle specifiche e degli obiettivi</w:t>
      </w:r>
      <w:r>
        <w:t xml:space="preserve"> del SBE Regionale.</w:t>
      </w:r>
    </w:p>
    <w:p w14:paraId="167F5F26" w14:textId="77777777" w:rsidR="00411D30" w:rsidRDefault="00411D30" w:rsidP="00411D30">
      <w:pPr>
        <w:spacing w:before="120" w:after="120" w:line="312" w:lineRule="auto"/>
        <w:jc w:val="both"/>
      </w:pPr>
    </w:p>
    <w:p w14:paraId="2F71E536" w14:textId="77777777" w:rsidR="00411D30" w:rsidRDefault="00411D30" w:rsidP="00411D30"/>
    <w:p w14:paraId="3F730921" w14:textId="77777777" w:rsidR="00411D30" w:rsidRPr="00411D30" w:rsidRDefault="00411D30" w:rsidP="00411D30"/>
    <w:p w14:paraId="3B321FE3" w14:textId="77777777" w:rsidR="00411D30" w:rsidRDefault="00411D3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0CFE2CB2" w14:textId="77777777" w:rsidR="00411D30" w:rsidRDefault="00411D30" w:rsidP="00411D30">
      <w:pPr>
        <w:pStyle w:val="Titolo1"/>
        <w:numPr>
          <w:ilvl w:val="0"/>
          <w:numId w:val="12"/>
        </w:numPr>
      </w:pPr>
      <w:bookmarkStart w:id="11" w:name="_Toc55402557"/>
      <w:r w:rsidRPr="00334EAE">
        <w:lastRenderedPageBreak/>
        <w:t>Progettazione esecutiva sistema di centro</w:t>
      </w:r>
      <w:bookmarkEnd w:id="11"/>
    </w:p>
    <w:p w14:paraId="0E056B5B" w14:textId="77777777" w:rsidR="00411D30" w:rsidRDefault="00411D30" w:rsidP="00411D30"/>
    <w:p w14:paraId="00F42880" w14:textId="77777777" w:rsidR="00411D30" w:rsidRDefault="00411D30" w:rsidP="00411D30">
      <w:pPr>
        <w:spacing w:before="120" w:after="120" w:line="312" w:lineRule="auto"/>
        <w:jc w:val="both"/>
      </w:pPr>
      <w:r>
        <w:t>In questa fase sono progettate le specifiche del sistema centrale:</w:t>
      </w:r>
    </w:p>
    <w:p w14:paraId="31C270F2" w14:textId="77777777" w:rsidR="00411D30" w:rsidRDefault="00411D30" w:rsidP="00411D30">
      <w:pPr>
        <w:pStyle w:val="Paragrafoelenco"/>
        <w:numPr>
          <w:ilvl w:val="0"/>
          <w:numId w:val="39"/>
        </w:numPr>
        <w:spacing w:before="120" w:after="120" w:line="312" w:lineRule="auto"/>
        <w:contextualSpacing/>
        <w:jc w:val="both"/>
      </w:pPr>
      <w:r>
        <w:t>Architettura CSR-BIP</w:t>
      </w:r>
    </w:p>
    <w:p w14:paraId="0B73C178" w14:textId="77777777" w:rsidR="00411D30" w:rsidRDefault="00411D30" w:rsidP="00411D30">
      <w:pPr>
        <w:pStyle w:val="Paragrafoelenco"/>
        <w:numPr>
          <w:ilvl w:val="0"/>
          <w:numId w:val="39"/>
        </w:numPr>
        <w:spacing w:before="120" w:after="120" w:line="312" w:lineRule="auto"/>
        <w:contextualSpacing/>
        <w:jc w:val="both"/>
      </w:pPr>
      <w:r>
        <w:t xml:space="preserve">Protocollo </w:t>
      </w:r>
      <w:proofErr w:type="spellStart"/>
      <w:r>
        <w:t>BIPEx</w:t>
      </w:r>
      <w:proofErr w:type="spellEnd"/>
      <w:r>
        <w:t xml:space="preserve"> TPL</w:t>
      </w:r>
    </w:p>
    <w:p w14:paraId="72D1D77E" w14:textId="77777777" w:rsidR="00411D30" w:rsidRDefault="00411D30" w:rsidP="00411D30">
      <w:pPr>
        <w:spacing w:before="120" w:after="120" w:line="312" w:lineRule="auto"/>
        <w:jc w:val="both"/>
      </w:pPr>
      <w:r>
        <w:t xml:space="preserve">Le specifiche del sistema centrale sviluppate in questa fase rappresentano l’input fondamentale per lo sviluppo o approvvigionamento dei sistemi aziendali (che, a seconda del modello selezionato, saranno di competenza delle singole aziende/consorzi o, nel caso di sistema centralizzato, saranno sviluppate in parallelo dal Centro di competenza regionale. </w:t>
      </w:r>
    </w:p>
    <w:p w14:paraId="7744FC7C" w14:textId="77777777" w:rsidR="00411D30" w:rsidRDefault="00411D30" w:rsidP="00411D30">
      <w:pPr>
        <w:spacing w:before="120" w:after="120" w:line="312" w:lineRule="auto"/>
        <w:jc w:val="both"/>
      </w:pPr>
      <w:r>
        <w:t xml:space="preserve">Per la definizione delle </w:t>
      </w:r>
      <w:r w:rsidRPr="009362BC">
        <w:t>specifiche del centro</w:t>
      </w:r>
      <w:r>
        <w:t xml:space="preserve">, il </w:t>
      </w:r>
      <w:r w:rsidRPr="009362BC">
        <w:t>materiale d</w:t>
      </w:r>
      <w:r>
        <w:t xml:space="preserve">i riferimento è evidentemente </w:t>
      </w:r>
      <w:r w:rsidRPr="009362BC">
        <w:t>il KIT di riuso</w:t>
      </w:r>
      <w:r>
        <w:t xml:space="preserve">; tali specifiche dovranno però essere </w:t>
      </w:r>
    </w:p>
    <w:p w14:paraId="2C972572" w14:textId="77777777" w:rsidR="00411D30" w:rsidRDefault="00411D30" w:rsidP="00411D30">
      <w:pPr>
        <w:pStyle w:val="Paragrafoelenco"/>
        <w:numPr>
          <w:ilvl w:val="0"/>
          <w:numId w:val="40"/>
        </w:numPr>
        <w:spacing w:before="120" w:after="120" w:line="312" w:lineRule="auto"/>
        <w:contextualSpacing/>
        <w:jc w:val="both"/>
      </w:pPr>
      <w:r>
        <w:t>Tarate</w:t>
      </w:r>
      <w:r w:rsidRPr="009362BC">
        <w:t xml:space="preserve"> con il budget </w:t>
      </w:r>
      <w:r>
        <w:t xml:space="preserve">disponibile; </w:t>
      </w:r>
    </w:p>
    <w:p w14:paraId="3D845EC1" w14:textId="77777777" w:rsidR="00411D30" w:rsidRDefault="00411D30" w:rsidP="00411D30">
      <w:pPr>
        <w:pStyle w:val="Paragrafoelenco"/>
        <w:numPr>
          <w:ilvl w:val="0"/>
          <w:numId w:val="40"/>
        </w:numPr>
        <w:spacing w:before="120" w:after="120" w:line="312" w:lineRule="auto"/>
        <w:contextualSpacing/>
        <w:jc w:val="both"/>
      </w:pPr>
      <w:r>
        <w:t>Allineate</w:t>
      </w:r>
      <w:r w:rsidRPr="009362BC">
        <w:t xml:space="preserve"> </w:t>
      </w:r>
      <w:r>
        <w:t>alle macro scelte di modello;</w:t>
      </w:r>
    </w:p>
    <w:p w14:paraId="1A33F1E0" w14:textId="77777777" w:rsidR="00411D30" w:rsidRDefault="00411D30" w:rsidP="00411D30">
      <w:pPr>
        <w:pStyle w:val="Paragrafoelenco"/>
        <w:numPr>
          <w:ilvl w:val="0"/>
          <w:numId w:val="40"/>
        </w:numPr>
        <w:spacing w:before="120" w:after="120" w:line="312" w:lineRule="auto"/>
        <w:contextualSpacing/>
        <w:jc w:val="both"/>
      </w:pPr>
      <w:r>
        <w:t>Tarat</w:t>
      </w:r>
      <w:r w:rsidRPr="009362BC">
        <w:t>e con le scelte e lo Sc</w:t>
      </w:r>
      <w:r>
        <w:t xml:space="preserve">outing tecnologico (ma seguendo rigidamente almeno le specifiche del </w:t>
      </w:r>
      <w:r w:rsidRPr="009362BC">
        <w:t>protocollo BIPEX</w:t>
      </w:r>
      <w:r>
        <w:t>).</w:t>
      </w:r>
      <w:r w:rsidRPr="009362BC">
        <w:t xml:space="preserve"> </w:t>
      </w:r>
    </w:p>
    <w:p w14:paraId="55D2D718" w14:textId="77777777" w:rsidR="00411D30" w:rsidRDefault="00411D30" w:rsidP="00411D30">
      <w:pPr>
        <w:spacing w:before="120" w:after="120" w:line="312" w:lineRule="auto"/>
        <w:jc w:val="both"/>
      </w:pPr>
    </w:p>
    <w:p w14:paraId="1492A0D1" w14:textId="77777777" w:rsidR="00411D30" w:rsidRDefault="00411D30" w:rsidP="00411D30"/>
    <w:p w14:paraId="58303762" w14:textId="77777777" w:rsidR="00411D30" w:rsidRPr="00411D30" w:rsidRDefault="00411D30" w:rsidP="00411D30"/>
    <w:p w14:paraId="4CC9930D" w14:textId="77777777" w:rsidR="00411D30" w:rsidRDefault="00411D3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6C1B3B80" w14:textId="77777777" w:rsidR="00411D30" w:rsidRDefault="00411D30" w:rsidP="00411D30">
      <w:pPr>
        <w:pStyle w:val="Titolo1"/>
        <w:numPr>
          <w:ilvl w:val="0"/>
          <w:numId w:val="12"/>
        </w:numPr>
      </w:pPr>
      <w:bookmarkStart w:id="12" w:name="_Toc55402558"/>
      <w:r w:rsidRPr="00334EAE">
        <w:lastRenderedPageBreak/>
        <w:t xml:space="preserve">Stesura capitolati tecnici </w:t>
      </w:r>
      <w:r>
        <w:t>sistemi aziendali</w:t>
      </w:r>
      <w:bookmarkEnd w:id="12"/>
      <w:r w:rsidRPr="00334EAE">
        <w:t xml:space="preserve"> </w:t>
      </w:r>
    </w:p>
    <w:p w14:paraId="6BC69F46" w14:textId="77777777" w:rsidR="00411D30" w:rsidRDefault="00411D30" w:rsidP="00411D30"/>
    <w:p w14:paraId="3DD93159" w14:textId="77777777" w:rsidR="00411D30" w:rsidRDefault="00411D30" w:rsidP="00411D30">
      <w:pPr>
        <w:spacing w:before="120" w:after="120" w:line="312" w:lineRule="auto"/>
        <w:jc w:val="both"/>
      </w:pPr>
      <w:r>
        <w:t>In questa fase sono progettate le specifiche e definiti i Capitolati tecnici per approvvigionamento di:</w:t>
      </w:r>
    </w:p>
    <w:p w14:paraId="5046F2FB" w14:textId="77777777" w:rsidR="00411D30" w:rsidRDefault="00411D30" w:rsidP="00411D30">
      <w:pPr>
        <w:pStyle w:val="Paragrafoelenco"/>
        <w:numPr>
          <w:ilvl w:val="0"/>
          <w:numId w:val="39"/>
        </w:numPr>
        <w:spacing w:before="120" w:after="120" w:line="312" w:lineRule="auto"/>
        <w:contextualSpacing/>
        <w:jc w:val="both"/>
      </w:pPr>
      <w:r>
        <w:t xml:space="preserve">Sistema di centro (con scambio dati in </w:t>
      </w:r>
      <w:proofErr w:type="spellStart"/>
      <w:r>
        <w:t>BIPEx</w:t>
      </w:r>
      <w:proofErr w:type="spellEnd"/>
      <w:r>
        <w:t>)</w:t>
      </w:r>
    </w:p>
    <w:p w14:paraId="4CE4643E" w14:textId="77777777" w:rsidR="00411D30" w:rsidRDefault="00411D30" w:rsidP="00411D30">
      <w:pPr>
        <w:pStyle w:val="Paragrafoelenco"/>
        <w:numPr>
          <w:ilvl w:val="0"/>
          <w:numId w:val="39"/>
        </w:numPr>
        <w:spacing w:before="120" w:after="120" w:line="312" w:lineRule="auto"/>
        <w:contextualSpacing/>
        <w:jc w:val="both"/>
      </w:pPr>
      <w:r>
        <w:t>Sistemi a bordo veicolo (AVM, ticketing, videosorveglianza)</w:t>
      </w:r>
    </w:p>
    <w:p w14:paraId="70E68F4A" w14:textId="77777777" w:rsidR="00411D30" w:rsidRDefault="00411D30" w:rsidP="00411D30">
      <w:pPr>
        <w:spacing w:before="120" w:after="120" w:line="312" w:lineRule="auto"/>
        <w:jc w:val="both"/>
      </w:pPr>
      <w:r>
        <w:t>Nel caso di sistema centralizzato questa fase è sviluppata in parallelo con la progettazione delle specifiche del Sistema di centro (come nel caso della gara d’appalto pubblicata da Regione Liguria).</w:t>
      </w:r>
    </w:p>
    <w:p w14:paraId="5813F1E2" w14:textId="77777777" w:rsidR="00411D30" w:rsidRDefault="00411D30" w:rsidP="00411D30">
      <w:pPr>
        <w:spacing w:before="120" w:after="120" w:line="312" w:lineRule="auto"/>
        <w:jc w:val="both"/>
      </w:pPr>
      <w:r>
        <w:t xml:space="preserve">Nel caso di approvvigionamento decentrato presso le aziende, </w:t>
      </w:r>
      <w:r w:rsidRPr="00530C29">
        <w:t>la stesura dei capitolati tecnici è fondamentale affinché le gare, svolte in totale indipendenza dalle aziende di TPL, consentano l'implementazione di un sistema interoperabile</w:t>
      </w:r>
      <w:r>
        <w:t>.</w:t>
      </w:r>
    </w:p>
    <w:p w14:paraId="10334971" w14:textId="77777777" w:rsidR="00411D30" w:rsidRDefault="00411D30" w:rsidP="00411D30">
      <w:pPr>
        <w:spacing w:before="120" w:after="120" w:line="312" w:lineRule="auto"/>
        <w:jc w:val="both"/>
      </w:pPr>
      <w:r>
        <w:t xml:space="preserve">Anche per la definizione delle specifiche dei sistemi aziendali, il </w:t>
      </w:r>
      <w:r w:rsidRPr="009362BC">
        <w:t>materiale d</w:t>
      </w:r>
      <w:r>
        <w:t xml:space="preserve">i riferimento è evidentemente </w:t>
      </w:r>
      <w:r w:rsidRPr="009362BC">
        <w:t>il KIT di riuso</w:t>
      </w:r>
      <w:r>
        <w:t xml:space="preserve">; tali specifiche dovranno però essere </w:t>
      </w:r>
    </w:p>
    <w:p w14:paraId="1A951B77" w14:textId="77777777" w:rsidR="00411D30" w:rsidRDefault="00411D30" w:rsidP="00411D30">
      <w:pPr>
        <w:pStyle w:val="Paragrafoelenco"/>
        <w:numPr>
          <w:ilvl w:val="0"/>
          <w:numId w:val="40"/>
        </w:numPr>
        <w:spacing w:before="120" w:after="120" w:line="312" w:lineRule="auto"/>
        <w:contextualSpacing/>
        <w:jc w:val="both"/>
      </w:pPr>
      <w:r>
        <w:t>Tarate</w:t>
      </w:r>
      <w:r w:rsidRPr="009362BC">
        <w:t xml:space="preserve"> con il budget </w:t>
      </w:r>
      <w:r>
        <w:t xml:space="preserve">disponibile (se il sistema è centralizzato); </w:t>
      </w:r>
    </w:p>
    <w:p w14:paraId="654B6C89" w14:textId="77777777" w:rsidR="00411D30" w:rsidRDefault="00411D30" w:rsidP="00411D30">
      <w:pPr>
        <w:pStyle w:val="Paragrafoelenco"/>
        <w:numPr>
          <w:ilvl w:val="0"/>
          <w:numId w:val="40"/>
        </w:numPr>
        <w:spacing w:before="120" w:after="120" w:line="312" w:lineRule="auto"/>
        <w:contextualSpacing/>
        <w:jc w:val="both"/>
      </w:pPr>
      <w:r>
        <w:t>Allineate</w:t>
      </w:r>
      <w:r w:rsidRPr="009362BC">
        <w:t xml:space="preserve"> </w:t>
      </w:r>
      <w:r>
        <w:t>alle macro scelte di modello (sempre, per garantire interoperabilità dei sistemi);</w:t>
      </w:r>
    </w:p>
    <w:p w14:paraId="198FA87A" w14:textId="77777777" w:rsidR="00411D30" w:rsidRDefault="00411D30" w:rsidP="00411D30">
      <w:pPr>
        <w:pStyle w:val="Paragrafoelenco"/>
        <w:numPr>
          <w:ilvl w:val="0"/>
          <w:numId w:val="40"/>
        </w:numPr>
        <w:spacing w:before="120" w:after="120" w:line="312" w:lineRule="auto"/>
        <w:contextualSpacing/>
        <w:jc w:val="both"/>
      </w:pPr>
      <w:r>
        <w:t>Tarat</w:t>
      </w:r>
      <w:r w:rsidRPr="009362BC">
        <w:t>e con le scelte e lo Sc</w:t>
      </w:r>
      <w:r>
        <w:t xml:space="preserve">outing tecnologico; nel caso dei sistemi aziendali, se </w:t>
      </w:r>
      <w:r w:rsidRPr="009362BC">
        <w:t>ci sono già tecnologie es</w:t>
      </w:r>
      <w:r>
        <w:t xml:space="preserve">istenti, alcune specifiche (es. per </w:t>
      </w:r>
      <w:r w:rsidRPr="009362BC">
        <w:t>i sistemi di infomobilità</w:t>
      </w:r>
      <w:r>
        <w:t>,</w:t>
      </w:r>
      <w:r w:rsidRPr="009362BC">
        <w:t xml:space="preserve"> per la programmazione e gestione del servizio</w:t>
      </w:r>
      <w:r>
        <w:t>) possono essere sviluppate adattando l’architettura a quanto già presente nei sistemi delle aziende.</w:t>
      </w:r>
    </w:p>
    <w:p w14:paraId="373F0898" w14:textId="77777777" w:rsidR="00411D30" w:rsidRDefault="00411D30" w:rsidP="00411D30">
      <w:pPr>
        <w:spacing w:before="120" w:after="120" w:line="312" w:lineRule="auto"/>
        <w:jc w:val="both"/>
      </w:pPr>
    </w:p>
    <w:p w14:paraId="08397282" w14:textId="77777777" w:rsidR="00411D30" w:rsidRDefault="00411D30" w:rsidP="00411D30"/>
    <w:p w14:paraId="1EEA9D0D" w14:textId="77777777" w:rsidR="00411D30" w:rsidRDefault="00411D30" w:rsidP="00411D30"/>
    <w:p w14:paraId="2997BB90" w14:textId="77777777" w:rsidR="00411D30" w:rsidRPr="00411D30" w:rsidRDefault="00411D30" w:rsidP="00411D30"/>
    <w:p w14:paraId="3D0353DC" w14:textId="77777777" w:rsidR="00411D30" w:rsidRDefault="00411D3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3B502E0" w14:textId="77777777" w:rsidR="00411D30" w:rsidRDefault="00411D30" w:rsidP="00411D30">
      <w:pPr>
        <w:pStyle w:val="Titolo1"/>
        <w:numPr>
          <w:ilvl w:val="0"/>
          <w:numId w:val="12"/>
        </w:numPr>
      </w:pPr>
      <w:bookmarkStart w:id="13" w:name="_Toc55402559"/>
      <w:r w:rsidRPr="00334EAE">
        <w:lastRenderedPageBreak/>
        <w:t>Collaudo sistema di centro</w:t>
      </w:r>
      <w:bookmarkEnd w:id="13"/>
    </w:p>
    <w:p w14:paraId="123C310E" w14:textId="77777777" w:rsidR="00411D30" w:rsidRDefault="00411D30" w:rsidP="00411D30"/>
    <w:p w14:paraId="2A32AC38" w14:textId="77777777" w:rsidR="00784C68" w:rsidRDefault="00C004B9" w:rsidP="00C004B9">
      <w:pPr>
        <w:spacing w:before="120" w:after="120" w:line="312" w:lineRule="auto"/>
        <w:jc w:val="both"/>
      </w:pPr>
      <w:r w:rsidRPr="00C004B9">
        <w:t>Il collaudo del sistema di centro sancisce l'avvio delle attività di raccolta dei dati a livello regionale. Grazie ai dati raccolti è possibile costruire nuovi servizi/sistemi</w:t>
      </w:r>
      <w:r>
        <w:t xml:space="preserve"> </w:t>
      </w:r>
      <w:r w:rsidRPr="00C004B9">
        <w:t>(cruscotti per enti decisori, sistema antifrode regionale, gestione clienti centralizzata, rete di ricarica regionale, emissione/rinnovi smartcard di libera circolazione, ecc.)</w:t>
      </w:r>
    </w:p>
    <w:p w14:paraId="7505BAC7" w14:textId="77777777" w:rsidR="00BA15DD" w:rsidRPr="00BA15DD" w:rsidRDefault="00BA15DD" w:rsidP="00BA15DD">
      <w:pPr>
        <w:spacing w:before="120" w:after="120" w:line="312" w:lineRule="auto"/>
        <w:jc w:val="both"/>
      </w:pPr>
      <w:r w:rsidRPr="00BA15DD">
        <w:t>Il Sistema di centro opera infatti da elemento condiviso del sistema per la gestione delle informazioni comuni, utili al corretto funzionamento del sistema integrato/interoperabile.</w:t>
      </w:r>
    </w:p>
    <w:p w14:paraId="77DB6DB5" w14:textId="77777777" w:rsidR="00BA15DD" w:rsidRPr="00BA15DD" w:rsidRDefault="00BA15DD" w:rsidP="00BA15DD">
      <w:pPr>
        <w:spacing w:before="120" w:after="120" w:line="312" w:lineRule="auto"/>
        <w:jc w:val="both"/>
      </w:pPr>
      <w:r w:rsidRPr="00BA15DD">
        <w:t>Il CSR deve prevedere processi in grado di gestire ed elaborare le informazioni che giungono dai sistemi di bordo dei mezzi e dalle centrali operative delle Società di Trasporto esercenti a livello Regionale.</w:t>
      </w:r>
    </w:p>
    <w:p w14:paraId="380CBE0D" w14:textId="77777777" w:rsidR="00C004B9" w:rsidRDefault="001E5620" w:rsidP="00C004B9">
      <w:pPr>
        <w:spacing w:before="120" w:after="120" w:line="312" w:lineRule="auto"/>
        <w:jc w:val="both"/>
      </w:pPr>
      <w:r>
        <w:t>Con il collaudo, il Sistema di centro sarà in grado di (cominciare a)</w:t>
      </w:r>
      <w:r w:rsidR="00BA15DD">
        <w:t xml:space="preserve"> acquisire e gestire le informazioni sul territorio e sul servizio; in particolare:</w:t>
      </w:r>
      <w:r>
        <w:t xml:space="preserve"> </w:t>
      </w:r>
    </w:p>
    <w:p w14:paraId="5BE3D7F5" w14:textId="77777777" w:rsidR="001E5620" w:rsidRPr="00BA15DD" w:rsidRDefault="001E5620" w:rsidP="00BA15DD">
      <w:pPr>
        <w:pStyle w:val="Paragrafoelenco"/>
        <w:numPr>
          <w:ilvl w:val="0"/>
          <w:numId w:val="40"/>
        </w:numPr>
        <w:spacing w:before="120" w:after="120" w:line="312" w:lineRule="auto"/>
        <w:contextualSpacing/>
        <w:jc w:val="both"/>
      </w:pPr>
      <w:r w:rsidRPr="00BA15DD">
        <w:t>Gestire le informazioni relative al TPL Programmato nell’intera regione;</w:t>
      </w:r>
    </w:p>
    <w:p w14:paraId="4EE0A6AC" w14:textId="77777777" w:rsidR="001E5620" w:rsidRPr="00BA15DD" w:rsidRDefault="001E5620" w:rsidP="00BA15DD">
      <w:pPr>
        <w:pStyle w:val="Paragrafoelenco"/>
        <w:numPr>
          <w:ilvl w:val="0"/>
          <w:numId w:val="40"/>
        </w:numPr>
        <w:spacing w:before="120" w:after="120" w:line="312" w:lineRule="auto"/>
        <w:contextualSpacing/>
        <w:jc w:val="both"/>
      </w:pPr>
      <w:r w:rsidRPr="00BA15DD">
        <w:t>Gestire le informazioni relative al TPL erogato, acquisito tramite un collegamento diretto con i CCA;</w:t>
      </w:r>
    </w:p>
    <w:p w14:paraId="1B66F811" w14:textId="77777777" w:rsidR="001E5620" w:rsidRPr="00BA15DD" w:rsidRDefault="001E5620" w:rsidP="00BA15DD">
      <w:pPr>
        <w:pStyle w:val="Paragrafoelenco"/>
        <w:numPr>
          <w:ilvl w:val="0"/>
          <w:numId w:val="40"/>
        </w:numPr>
        <w:spacing w:before="120" w:after="120" w:line="312" w:lineRule="auto"/>
        <w:contextualSpacing/>
        <w:jc w:val="both"/>
      </w:pPr>
      <w:r w:rsidRPr="00BA15DD">
        <w:t xml:space="preserve">Analizzare e certificare il servizio erogato attraverso </w:t>
      </w:r>
    </w:p>
    <w:p w14:paraId="58476703" w14:textId="77777777" w:rsidR="001E5620" w:rsidRPr="00BA15DD" w:rsidRDefault="001E5620" w:rsidP="00BA15DD">
      <w:pPr>
        <w:pStyle w:val="Paragrafoelenco"/>
        <w:numPr>
          <w:ilvl w:val="1"/>
          <w:numId w:val="40"/>
        </w:numPr>
        <w:spacing w:before="120" w:after="120" w:line="312" w:lineRule="auto"/>
        <w:contextualSpacing/>
        <w:jc w:val="both"/>
      </w:pPr>
      <w:r w:rsidRPr="00BA15DD">
        <w:t xml:space="preserve">dati sull’offerta erogata (es. regolarità, corse perse, puntualità); </w:t>
      </w:r>
    </w:p>
    <w:p w14:paraId="4647B8D4" w14:textId="77777777" w:rsidR="001E5620" w:rsidRPr="00BA15DD" w:rsidRDefault="001E5620" w:rsidP="00BA15DD">
      <w:pPr>
        <w:pStyle w:val="Paragrafoelenco"/>
        <w:numPr>
          <w:ilvl w:val="1"/>
          <w:numId w:val="40"/>
        </w:numPr>
        <w:spacing w:before="120" w:after="120" w:line="312" w:lineRule="auto"/>
        <w:contextualSpacing/>
        <w:jc w:val="both"/>
      </w:pPr>
      <w:r w:rsidRPr="00BA15DD">
        <w:t>dati sulla domanda servita (es. validazioni titoli di viaggio);</w:t>
      </w:r>
    </w:p>
    <w:p w14:paraId="488A7595" w14:textId="77777777" w:rsidR="001E5620" w:rsidRPr="00BA15DD" w:rsidRDefault="001E5620" w:rsidP="00BA15DD">
      <w:pPr>
        <w:pStyle w:val="Paragrafoelenco"/>
        <w:numPr>
          <w:ilvl w:val="1"/>
          <w:numId w:val="40"/>
        </w:numPr>
        <w:spacing w:before="120" w:after="120" w:line="312" w:lineRule="auto"/>
        <w:contextualSpacing/>
        <w:jc w:val="both"/>
      </w:pPr>
      <w:r w:rsidRPr="00BA15DD">
        <w:t xml:space="preserve">indicatori di qualità del servizio, </w:t>
      </w:r>
    </w:p>
    <w:p w14:paraId="02CDA36F" w14:textId="77777777" w:rsidR="001E5620" w:rsidRPr="00BA15DD" w:rsidRDefault="001E5620" w:rsidP="00BA15DD">
      <w:pPr>
        <w:pStyle w:val="Paragrafoelenco"/>
        <w:numPr>
          <w:ilvl w:val="0"/>
          <w:numId w:val="40"/>
        </w:numPr>
        <w:spacing w:before="120" w:after="120" w:line="312" w:lineRule="auto"/>
        <w:contextualSpacing/>
        <w:jc w:val="both"/>
      </w:pPr>
      <w:r w:rsidRPr="00BA15DD">
        <w:t xml:space="preserve">Elaborare i dati della rete e del servizio per generare informazioni sul servizio di trasporto pubblico; </w:t>
      </w:r>
    </w:p>
    <w:p w14:paraId="260385AF" w14:textId="77777777" w:rsidR="001E5620" w:rsidRPr="00BA15DD" w:rsidRDefault="001E5620" w:rsidP="00BA15DD">
      <w:pPr>
        <w:pStyle w:val="Paragrafoelenco"/>
        <w:numPr>
          <w:ilvl w:val="0"/>
          <w:numId w:val="40"/>
        </w:numPr>
        <w:spacing w:before="120" w:after="120" w:line="312" w:lineRule="auto"/>
        <w:contextualSpacing/>
        <w:jc w:val="both"/>
      </w:pPr>
      <w:r w:rsidRPr="00BA15DD">
        <w:t>Assicurare la raccolta e la storicizzazione dei dati di esercizio (consuntivi orari delle corse effettuate, km percorsi, passaggi alle fermate, transiti sui nodi notevoli della rete di trasporto, etc.) nonché l’estrazione dei dati per le elaborazioni o esportazioni degli stessi anche al fine delle analisi tecniche;</w:t>
      </w:r>
    </w:p>
    <w:p w14:paraId="702C526E" w14:textId="77777777" w:rsidR="001E5620" w:rsidRPr="00BA15DD" w:rsidRDefault="001E5620" w:rsidP="00BA15DD">
      <w:pPr>
        <w:pStyle w:val="Paragrafoelenco"/>
        <w:numPr>
          <w:ilvl w:val="0"/>
          <w:numId w:val="40"/>
        </w:numPr>
        <w:spacing w:before="120" w:after="120" w:line="312" w:lineRule="auto"/>
        <w:contextualSpacing/>
        <w:jc w:val="both"/>
      </w:pPr>
      <w:r w:rsidRPr="00BA15DD">
        <w:t>Consentire una comprensibile sintesi dei dati raccolti con vari livelli di analisi e di aggregazione (reports, statistiche, etc.).</w:t>
      </w:r>
    </w:p>
    <w:p w14:paraId="6F633E38" w14:textId="77777777" w:rsidR="001E5620" w:rsidRPr="001616F3" w:rsidRDefault="001E5620" w:rsidP="001E5620">
      <w:pPr>
        <w:spacing w:line="360" w:lineRule="auto"/>
        <w:jc w:val="both"/>
        <w:rPr>
          <w:rFonts w:ascii="Arial" w:hAnsi="Arial" w:cs="Arial"/>
          <w:color w:val="000380"/>
          <w:sz w:val="18"/>
          <w:szCs w:val="18"/>
        </w:rPr>
      </w:pPr>
    </w:p>
    <w:p w14:paraId="4D56D8B6" w14:textId="77777777" w:rsidR="00C004B9" w:rsidRPr="00411D30" w:rsidRDefault="00C004B9" w:rsidP="00C004B9">
      <w:pPr>
        <w:spacing w:before="120" w:after="120" w:line="312" w:lineRule="auto"/>
        <w:jc w:val="both"/>
      </w:pPr>
    </w:p>
    <w:p w14:paraId="17C4AD63" w14:textId="77777777" w:rsidR="00BA15DD" w:rsidRDefault="00BA15DD">
      <w:pPr>
        <w:spacing w:after="200" w:line="276" w:lineRule="auto"/>
        <w:rPr>
          <w:rFonts w:asciiTheme="majorHAnsi" w:eastAsiaTheme="majorEastAsia" w:hAnsiTheme="majorHAnsi" w:cstheme="majorBidi"/>
          <w:b/>
          <w:bCs/>
          <w:color w:val="365F91" w:themeColor="accent1" w:themeShade="BF"/>
          <w:sz w:val="28"/>
          <w:szCs w:val="28"/>
        </w:rPr>
      </w:pPr>
      <w:r>
        <w:br w:type="page"/>
      </w:r>
    </w:p>
    <w:p w14:paraId="6F3C7EB0" w14:textId="77777777" w:rsidR="00411D30" w:rsidRDefault="00411D30" w:rsidP="00411D30">
      <w:pPr>
        <w:pStyle w:val="Titolo1"/>
        <w:numPr>
          <w:ilvl w:val="0"/>
          <w:numId w:val="12"/>
        </w:numPr>
      </w:pPr>
      <w:bookmarkStart w:id="14" w:name="_Toc55402560"/>
      <w:r w:rsidRPr="00334EAE">
        <w:lastRenderedPageBreak/>
        <w:t>Produzione documentazione tecnica di supporto</w:t>
      </w:r>
      <w:bookmarkEnd w:id="14"/>
    </w:p>
    <w:p w14:paraId="7ED509F7" w14:textId="77777777" w:rsidR="00411D30" w:rsidRDefault="00411D30" w:rsidP="00411D30"/>
    <w:p w14:paraId="4DEC3573" w14:textId="77777777" w:rsidR="00697F8F" w:rsidRDefault="00697F8F" w:rsidP="00697F8F">
      <w:pPr>
        <w:spacing w:before="120" w:after="120" w:line="312" w:lineRule="auto"/>
        <w:jc w:val="both"/>
      </w:pPr>
      <w:r>
        <w:t xml:space="preserve">Se il sistema è centralizzato, tutta la documentazione necessaria per avviare l’approvvigionamento dei sistemi di bordo e terra è sviluppata dalla struttura regionale (es. gara pubblicata da Regione Liguria). </w:t>
      </w:r>
    </w:p>
    <w:p w14:paraId="79CB6C31" w14:textId="77777777" w:rsidR="00BA15DD" w:rsidRDefault="00697F8F" w:rsidP="00697F8F">
      <w:pPr>
        <w:spacing w:before="120" w:after="120" w:line="312" w:lineRule="auto"/>
        <w:jc w:val="both"/>
      </w:pPr>
      <w:r>
        <w:t xml:space="preserve">Nel caso invece di sistemi decentrati appaltati direttamente dalle aziende (come nel caso piemontese) è comunque opportuno che la struttura regionale (o </w:t>
      </w:r>
      <w:r w:rsidRPr="00BA15DD">
        <w:t>soggetto terzo</w:t>
      </w:r>
      <w:r>
        <w:t>) fornisca u</w:t>
      </w:r>
      <w:r w:rsidR="00BA15DD" w:rsidRPr="00BA15DD">
        <w:t xml:space="preserve">n'idonea documentazione tecnica, </w:t>
      </w:r>
      <w:r>
        <w:t>che</w:t>
      </w:r>
      <w:r w:rsidR="00BA15DD" w:rsidRPr="00BA15DD">
        <w:t xml:space="preserve"> agevola il corretto dispiegamento del sistema</w:t>
      </w:r>
      <w:r>
        <w:t xml:space="preserve"> e </w:t>
      </w:r>
      <w:r w:rsidR="00BA15DD" w:rsidRPr="00BA15DD">
        <w:t xml:space="preserve">consente di gestire </w:t>
      </w:r>
      <w:r>
        <w:t xml:space="preserve">i potenziali </w:t>
      </w:r>
      <w:r w:rsidR="00BA15DD" w:rsidRPr="00BA15DD">
        <w:t xml:space="preserve">conflitti sull'utilizzo di codici relativi a TPL o </w:t>
      </w:r>
      <w:proofErr w:type="spellStart"/>
      <w:r w:rsidR="00BA15DD" w:rsidRPr="00BA15DD">
        <w:t>tiketing</w:t>
      </w:r>
      <w:proofErr w:type="spellEnd"/>
      <w:r w:rsidR="00BA15DD" w:rsidRPr="00BA15DD">
        <w:t xml:space="preserve"> </w:t>
      </w:r>
      <w:r>
        <w:t xml:space="preserve">oltre a </w:t>
      </w:r>
      <w:r w:rsidR="00BA15DD" w:rsidRPr="00BA15DD">
        <w:t>favorisce l</w:t>
      </w:r>
      <w:r>
        <w:t xml:space="preserve">’effettiva </w:t>
      </w:r>
      <w:r w:rsidR="00BA15DD" w:rsidRPr="00BA15DD">
        <w:t xml:space="preserve">interoperabilità </w:t>
      </w:r>
      <w:r>
        <w:t xml:space="preserve">di tutti i sistemi aziendali con il </w:t>
      </w:r>
      <w:r w:rsidR="00BA15DD" w:rsidRPr="00BA15DD">
        <w:t>livello regionale.</w:t>
      </w:r>
    </w:p>
    <w:p w14:paraId="0C0297D4" w14:textId="77777777" w:rsidR="00BA15DD" w:rsidRDefault="00697F8F" w:rsidP="00697F8F">
      <w:pPr>
        <w:spacing w:before="120" w:after="120" w:line="312" w:lineRule="auto"/>
        <w:jc w:val="both"/>
      </w:pPr>
      <w:r>
        <w:t>Saranno pertanto da predisporre, in questa sede:</w:t>
      </w:r>
    </w:p>
    <w:p w14:paraId="5A875597" w14:textId="77777777" w:rsidR="00BA15DD" w:rsidRDefault="00697F8F" w:rsidP="005C0525">
      <w:pPr>
        <w:pStyle w:val="Paragrafoelenco"/>
        <w:numPr>
          <w:ilvl w:val="0"/>
          <w:numId w:val="40"/>
        </w:numPr>
        <w:spacing w:before="120" w:after="120" w:line="312" w:lineRule="auto"/>
        <w:contextualSpacing/>
        <w:jc w:val="both"/>
      </w:pPr>
      <w:r>
        <w:t xml:space="preserve">Definizione </w:t>
      </w:r>
      <w:r w:rsidR="00BA15DD">
        <w:t>univoca fermate regionali</w:t>
      </w:r>
      <w:r w:rsidR="005C0525">
        <w:t xml:space="preserve"> (</w:t>
      </w:r>
      <w:r w:rsidR="005C0525" w:rsidRPr="005C0525">
        <w:t xml:space="preserve">codici </w:t>
      </w:r>
      <w:r w:rsidR="005C0525">
        <w:t xml:space="preserve">univoci </w:t>
      </w:r>
      <w:r w:rsidR="005C0525" w:rsidRPr="005C0525">
        <w:t>fermate/paline</w:t>
      </w:r>
      <w:r w:rsidR="005C0525">
        <w:t xml:space="preserve"> relative all’intero territorio regionale)</w:t>
      </w:r>
      <w:r>
        <w:t>;</w:t>
      </w:r>
    </w:p>
    <w:p w14:paraId="14EB56D4" w14:textId="77777777" w:rsidR="00BA15DD" w:rsidRDefault="00697F8F" w:rsidP="005C0525">
      <w:pPr>
        <w:pStyle w:val="Paragrafoelenco"/>
        <w:numPr>
          <w:ilvl w:val="0"/>
          <w:numId w:val="40"/>
        </w:numPr>
        <w:spacing w:before="120" w:after="120" w:line="312" w:lineRule="auto"/>
        <w:contextualSpacing/>
        <w:jc w:val="both"/>
      </w:pPr>
      <w:r>
        <w:t xml:space="preserve">Definizione </w:t>
      </w:r>
      <w:r w:rsidR="00BA15DD">
        <w:t>località tariffarie</w:t>
      </w:r>
      <w:r w:rsidR="005C0525">
        <w:t xml:space="preserve"> (</w:t>
      </w:r>
      <w:r w:rsidR="005C0525" w:rsidRPr="005C0525">
        <w:t xml:space="preserve">codici </w:t>
      </w:r>
      <w:r w:rsidR="005C0525">
        <w:t xml:space="preserve">univoci </w:t>
      </w:r>
      <w:r w:rsidR="005C0525" w:rsidRPr="005C0525">
        <w:t>sistemi tariffari</w:t>
      </w:r>
      <w:r w:rsidR="005C0525">
        <w:t>, codici località tariffarie, polimetriche tariffarie, ….)</w:t>
      </w:r>
      <w:r>
        <w:t>;</w:t>
      </w:r>
    </w:p>
    <w:p w14:paraId="236EB5BF" w14:textId="77777777" w:rsidR="00BA15DD" w:rsidRDefault="00697F8F" w:rsidP="005C0525">
      <w:pPr>
        <w:pStyle w:val="Paragrafoelenco"/>
        <w:numPr>
          <w:ilvl w:val="0"/>
          <w:numId w:val="40"/>
        </w:numPr>
        <w:spacing w:before="120" w:after="120" w:line="312" w:lineRule="auto"/>
        <w:contextualSpacing/>
        <w:jc w:val="both"/>
      </w:pPr>
      <w:r>
        <w:t xml:space="preserve">Definizione </w:t>
      </w:r>
      <w:r w:rsidR="00BA15DD">
        <w:t>titoli di viaggio regionali</w:t>
      </w:r>
      <w:r w:rsidR="005C0525">
        <w:t xml:space="preserve"> (</w:t>
      </w:r>
      <w:r w:rsidR="005C0525" w:rsidRPr="005C0525">
        <w:t xml:space="preserve">codici </w:t>
      </w:r>
      <w:r w:rsidR="005C0525">
        <w:t xml:space="preserve">univoci </w:t>
      </w:r>
      <w:r w:rsidR="005C0525" w:rsidRPr="005C0525">
        <w:t>titoli</w:t>
      </w:r>
      <w:r w:rsidR="005C0525">
        <w:t xml:space="preserve"> di viaggio)</w:t>
      </w:r>
      <w:r>
        <w:t>;</w:t>
      </w:r>
    </w:p>
    <w:p w14:paraId="693F12BD" w14:textId="77777777" w:rsidR="00BA15DD" w:rsidRDefault="00697F8F" w:rsidP="00697F8F">
      <w:pPr>
        <w:pStyle w:val="Paragrafoelenco"/>
        <w:numPr>
          <w:ilvl w:val="0"/>
          <w:numId w:val="40"/>
        </w:numPr>
        <w:spacing w:before="120" w:after="120" w:line="312" w:lineRule="auto"/>
        <w:contextualSpacing/>
        <w:jc w:val="both"/>
      </w:pPr>
      <w:r>
        <w:t xml:space="preserve">Modello </w:t>
      </w:r>
      <w:r w:rsidR="00BA15DD">
        <w:t>dati della carta BIP (Card Data Model)</w:t>
      </w:r>
      <w:r>
        <w:t>;</w:t>
      </w:r>
    </w:p>
    <w:p w14:paraId="33BEB8E6" w14:textId="77777777" w:rsidR="005C0525" w:rsidRDefault="005C0525" w:rsidP="005C0525">
      <w:pPr>
        <w:pStyle w:val="Paragrafoelenco"/>
        <w:numPr>
          <w:ilvl w:val="0"/>
          <w:numId w:val="40"/>
        </w:numPr>
        <w:spacing w:before="120" w:after="120" w:line="312" w:lineRule="auto"/>
        <w:contextualSpacing/>
        <w:jc w:val="both"/>
      </w:pPr>
      <w:r w:rsidRPr="005C0525">
        <w:t xml:space="preserve">modalità di trasmissione </w:t>
      </w:r>
      <w:r>
        <w:t xml:space="preserve">delle </w:t>
      </w:r>
      <w:r w:rsidRPr="005C0525">
        <w:t>list</w:t>
      </w:r>
      <w:r>
        <w:t>e</w:t>
      </w:r>
      <w:r w:rsidRPr="005C0525">
        <w:t xml:space="preserve"> (black</w:t>
      </w:r>
      <w:r>
        <w:t xml:space="preserve"> list – </w:t>
      </w:r>
      <w:r w:rsidRPr="005C0525">
        <w:t>white</w:t>
      </w:r>
      <w:r>
        <w:t xml:space="preserve"> list</w:t>
      </w:r>
      <w:r w:rsidRPr="005C0525">
        <w:t>)</w:t>
      </w:r>
      <w:r>
        <w:t>;</w:t>
      </w:r>
    </w:p>
    <w:p w14:paraId="36C81A09" w14:textId="77777777" w:rsidR="00BA15DD" w:rsidRPr="00411D30" w:rsidRDefault="00697F8F" w:rsidP="00697F8F">
      <w:pPr>
        <w:pStyle w:val="Paragrafoelenco"/>
        <w:numPr>
          <w:ilvl w:val="0"/>
          <w:numId w:val="40"/>
        </w:numPr>
        <w:spacing w:before="120" w:after="120" w:line="312" w:lineRule="auto"/>
        <w:contextualSpacing/>
        <w:jc w:val="both"/>
      </w:pPr>
      <w:r>
        <w:t xml:space="preserve">Note </w:t>
      </w:r>
      <w:r w:rsidR="00BA15DD">
        <w:t xml:space="preserve">tecniche a supporto dell'interoperabilità (codici azienda, codici profilo, </w:t>
      </w:r>
      <w:proofErr w:type="spellStart"/>
      <w:r w:rsidR="00BA15DD">
        <w:t>seriel</w:t>
      </w:r>
      <w:proofErr w:type="spellEnd"/>
      <w:r w:rsidR="00BA15DD">
        <w:t xml:space="preserve"> </w:t>
      </w:r>
      <w:proofErr w:type="spellStart"/>
      <w:r w:rsidR="00BA15DD">
        <w:t>number</w:t>
      </w:r>
      <w:proofErr w:type="spellEnd"/>
      <w:r w:rsidR="00BA15DD">
        <w:t>, ...)</w:t>
      </w:r>
      <w:r>
        <w:t>.</w:t>
      </w:r>
    </w:p>
    <w:p w14:paraId="359B93E0" w14:textId="77777777" w:rsidR="00697F8F" w:rsidRDefault="005C0525">
      <w:pPr>
        <w:spacing w:after="200" w:line="276" w:lineRule="auto"/>
      </w:pPr>
      <w:r>
        <w:t xml:space="preserve">Dovranno inoltre essere definite le specifiche del sistema di </w:t>
      </w:r>
      <w:r w:rsidRPr="005C0525">
        <w:t>repository</w:t>
      </w:r>
      <w:r>
        <w:t>:</w:t>
      </w:r>
    </w:p>
    <w:p w14:paraId="2C84D297" w14:textId="77777777" w:rsidR="005C0525" w:rsidRDefault="005C0525" w:rsidP="005C0525">
      <w:pPr>
        <w:pStyle w:val="Paragrafoelenco"/>
        <w:numPr>
          <w:ilvl w:val="0"/>
          <w:numId w:val="40"/>
        </w:numPr>
        <w:spacing w:before="120" w:after="120" w:line="312" w:lineRule="auto"/>
        <w:contextualSpacing/>
        <w:jc w:val="both"/>
      </w:pPr>
      <w:r w:rsidRPr="005C0525">
        <w:t>Deve essere accessibile a tutti i soggetti attori del sistema</w:t>
      </w:r>
      <w:r>
        <w:t>;</w:t>
      </w:r>
    </w:p>
    <w:p w14:paraId="7E8FB901" w14:textId="77777777" w:rsidR="005C0525" w:rsidRDefault="005C0525" w:rsidP="005C0525">
      <w:pPr>
        <w:pStyle w:val="Paragrafoelenco"/>
        <w:numPr>
          <w:ilvl w:val="0"/>
          <w:numId w:val="40"/>
        </w:numPr>
        <w:spacing w:before="120" w:after="120" w:line="312" w:lineRule="auto"/>
        <w:contextualSpacing/>
        <w:jc w:val="both"/>
      </w:pPr>
      <w:r>
        <w:t xml:space="preserve">Deve consentire accesso con </w:t>
      </w:r>
      <w:r w:rsidRPr="005C0525">
        <w:t xml:space="preserve">sistemi </w:t>
      </w:r>
      <w:r>
        <w:t xml:space="preserve">e livelli di </w:t>
      </w:r>
      <w:r w:rsidRPr="005C0525">
        <w:t>auto</w:t>
      </w:r>
      <w:r>
        <w:t>r</w:t>
      </w:r>
      <w:r w:rsidRPr="005C0525">
        <w:t>izzazione</w:t>
      </w:r>
      <w:r>
        <w:t>;</w:t>
      </w:r>
    </w:p>
    <w:p w14:paraId="6AB94682" w14:textId="77777777" w:rsidR="005C0525" w:rsidRDefault="005C0525" w:rsidP="005C0525">
      <w:pPr>
        <w:pStyle w:val="Paragrafoelenco"/>
        <w:numPr>
          <w:ilvl w:val="0"/>
          <w:numId w:val="40"/>
        </w:numPr>
        <w:spacing w:before="120" w:after="120" w:line="312" w:lineRule="auto"/>
        <w:contextualSpacing/>
        <w:jc w:val="both"/>
      </w:pPr>
      <w:r>
        <w:t xml:space="preserve">Deve raccogliere e mettere in </w:t>
      </w:r>
      <w:r w:rsidRPr="005C0525">
        <w:t>condivisi</w:t>
      </w:r>
      <w:r>
        <w:t>one</w:t>
      </w:r>
      <w:r w:rsidRPr="005C0525">
        <w:t xml:space="preserve"> tutti gli elementi essenziali del sistema</w:t>
      </w:r>
      <w:r>
        <w:t xml:space="preserve"> SBE.</w:t>
      </w:r>
    </w:p>
    <w:p w14:paraId="60D2DFD6" w14:textId="77777777" w:rsidR="00697F8F" w:rsidRDefault="00697F8F">
      <w:pPr>
        <w:spacing w:after="200" w:line="276" w:lineRule="auto"/>
        <w:rPr>
          <w:rFonts w:asciiTheme="majorHAnsi" w:eastAsiaTheme="majorEastAsia" w:hAnsiTheme="majorHAnsi" w:cstheme="majorBidi"/>
          <w:b/>
          <w:bCs/>
          <w:color w:val="365F91" w:themeColor="accent1" w:themeShade="BF"/>
          <w:sz w:val="28"/>
          <w:szCs w:val="28"/>
        </w:rPr>
      </w:pPr>
      <w:r>
        <w:br w:type="page"/>
      </w:r>
    </w:p>
    <w:p w14:paraId="14E20330" w14:textId="77777777" w:rsidR="00411D30" w:rsidRDefault="00411D30" w:rsidP="00411D30">
      <w:pPr>
        <w:pStyle w:val="Titolo1"/>
        <w:numPr>
          <w:ilvl w:val="0"/>
          <w:numId w:val="12"/>
        </w:numPr>
      </w:pPr>
      <w:bookmarkStart w:id="15" w:name="_Toc55402561"/>
      <w:r w:rsidRPr="00334EAE">
        <w:lastRenderedPageBreak/>
        <w:t>Creazione albo fornitori smartcard</w:t>
      </w:r>
      <w:bookmarkEnd w:id="15"/>
    </w:p>
    <w:p w14:paraId="3DA1183D" w14:textId="77777777" w:rsidR="00411D30" w:rsidRDefault="00411D30" w:rsidP="00B93E21">
      <w:pPr>
        <w:spacing w:before="120" w:after="120" w:line="312" w:lineRule="auto"/>
        <w:jc w:val="both"/>
      </w:pPr>
    </w:p>
    <w:p w14:paraId="682BA0CB" w14:textId="77777777" w:rsidR="00B93E21" w:rsidRDefault="00B93E21" w:rsidP="00B93E21">
      <w:pPr>
        <w:spacing w:before="120" w:after="120" w:line="312" w:lineRule="auto"/>
        <w:jc w:val="both"/>
      </w:pPr>
      <w:r>
        <w:t>Regione Piemonte e 5T hanno sviluppato e tenuto aggiornato un albo fornitori per l’approvvigionamento delle smartcard; tale Albo è messo a disposizione degli Enti riusanti.</w:t>
      </w:r>
    </w:p>
    <w:p w14:paraId="6CC47445" w14:textId="77777777" w:rsidR="00411D30" w:rsidRDefault="00B93E21" w:rsidP="00B93E21">
      <w:pPr>
        <w:spacing w:before="120" w:after="120" w:line="312" w:lineRule="auto"/>
        <w:jc w:val="both"/>
      </w:pPr>
      <w:r>
        <w:t xml:space="preserve">L’acquisizione delle carte Calypso potrà essere seguita direttamente dalla struttura regionale o, alternativamente, potrebbe essere sviluppata da ogni singolo operatore; è tuttavia utile evidenziare che </w:t>
      </w:r>
      <w:r w:rsidRPr="00B93E21">
        <w:t>un'unica gara d'appalto a livello regionale riduce i costi per l'approvvigionamento a livello di sistema e consente un controllo migliore sulle forniture, anche ai fini di controlli antifrode.</w:t>
      </w:r>
    </w:p>
    <w:p w14:paraId="47AD63D1" w14:textId="77777777" w:rsidR="00B93E21" w:rsidRDefault="00B93E21" w:rsidP="00B93E21">
      <w:pPr>
        <w:spacing w:before="120" w:after="120" w:line="312" w:lineRule="auto"/>
        <w:jc w:val="both"/>
      </w:pPr>
      <w:r>
        <w:t>In ogni caso, si sintetizzano le seguenti considerazioni:</w:t>
      </w:r>
    </w:p>
    <w:p w14:paraId="61DB205E" w14:textId="77777777" w:rsidR="00B93E21" w:rsidRDefault="00B93E21" w:rsidP="00B93E21">
      <w:pPr>
        <w:pStyle w:val="Paragrafoelenco"/>
        <w:numPr>
          <w:ilvl w:val="0"/>
          <w:numId w:val="40"/>
        </w:numPr>
        <w:spacing w:before="120" w:after="120" w:line="312" w:lineRule="auto"/>
        <w:contextualSpacing/>
        <w:jc w:val="both"/>
      </w:pPr>
      <w:r w:rsidRPr="00B93E21">
        <w:t xml:space="preserve">L'albo è necessario; </w:t>
      </w:r>
      <w:r>
        <w:t xml:space="preserve">ogni regione e ogni operatore </w:t>
      </w:r>
      <w:r w:rsidRPr="00B93E21">
        <w:t xml:space="preserve">può costituirlo </w:t>
      </w:r>
      <w:r>
        <w:t xml:space="preserve">e mantenerlo singolarmente; </w:t>
      </w:r>
    </w:p>
    <w:p w14:paraId="2E758F04" w14:textId="77777777" w:rsidR="00B93E21" w:rsidRDefault="00B93E21" w:rsidP="00B93E21">
      <w:pPr>
        <w:pStyle w:val="Paragrafoelenco"/>
        <w:numPr>
          <w:ilvl w:val="0"/>
          <w:numId w:val="40"/>
        </w:numPr>
        <w:spacing w:before="120" w:after="120" w:line="312" w:lineRule="auto"/>
        <w:contextualSpacing/>
        <w:jc w:val="both"/>
      </w:pPr>
      <w:r w:rsidRPr="00B93E21">
        <w:t>5T mette a disposizione</w:t>
      </w:r>
      <w:r>
        <w:t xml:space="preserve"> il proprio albo fornitori, sviluppato nel corso degli anni e costantemente aggiornato;</w:t>
      </w:r>
    </w:p>
    <w:p w14:paraId="6EFC5043" w14:textId="77777777" w:rsidR="00B93E21" w:rsidRDefault="00B93E21" w:rsidP="00B93E21">
      <w:pPr>
        <w:pStyle w:val="Paragrafoelenco"/>
        <w:numPr>
          <w:ilvl w:val="0"/>
          <w:numId w:val="40"/>
        </w:numPr>
        <w:spacing w:before="120" w:after="120" w:line="312" w:lineRule="auto"/>
        <w:contextualSpacing/>
        <w:jc w:val="both"/>
      </w:pPr>
      <w:r w:rsidRPr="00B93E21">
        <w:t>È opportuno</w:t>
      </w:r>
      <w:r>
        <w:t>/preferibile</w:t>
      </w:r>
      <w:r w:rsidRPr="00B93E21">
        <w:t xml:space="preserve"> che </w:t>
      </w:r>
      <w:r>
        <w:t>albo fornitori</w:t>
      </w:r>
      <w:r w:rsidRPr="00B93E21">
        <w:t xml:space="preserve"> </w:t>
      </w:r>
      <w:r>
        <w:t xml:space="preserve">per le carte Calypso </w:t>
      </w:r>
      <w:r w:rsidRPr="00B93E21">
        <w:t>sia centralizzato</w:t>
      </w:r>
      <w:r>
        <w:t xml:space="preserve">, </w:t>
      </w:r>
      <w:r w:rsidRPr="00B93E21">
        <w:t>univoco per le diverse regioni</w:t>
      </w:r>
      <w:r>
        <w:t xml:space="preserve"> e, a regime, unico </w:t>
      </w:r>
      <w:r w:rsidRPr="00B93E21">
        <w:t>a livello nazionale.</w:t>
      </w:r>
    </w:p>
    <w:p w14:paraId="60A002F0" w14:textId="77777777" w:rsidR="00B93E21" w:rsidRDefault="00B93E21" w:rsidP="00B93E21">
      <w:pPr>
        <w:spacing w:before="120" w:after="120" w:line="312" w:lineRule="auto"/>
        <w:contextualSpacing/>
        <w:jc w:val="both"/>
      </w:pPr>
      <w:r>
        <w:t xml:space="preserve">Tali considerazioni derivano dai seguenti elementi oggettivi: </w:t>
      </w:r>
    </w:p>
    <w:p w14:paraId="759DA0E7" w14:textId="77777777" w:rsidR="00B93E21" w:rsidRDefault="00B93E21" w:rsidP="00B93E21">
      <w:pPr>
        <w:pStyle w:val="Paragrafoelenco"/>
        <w:numPr>
          <w:ilvl w:val="0"/>
          <w:numId w:val="40"/>
        </w:numPr>
        <w:spacing w:before="120" w:after="120" w:line="312" w:lineRule="auto"/>
        <w:contextualSpacing/>
        <w:jc w:val="both"/>
      </w:pPr>
      <w:r w:rsidRPr="00B93E21">
        <w:t xml:space="preserve">Il numero di fornitori è abbastanza ridotto (meno di 10 fornitori di cui </w:t>
      </w:r>
      <w:r>
        <w:t xml:space="preserve">solo </w:t>
      </w:r>
      <w:r w:rsidRPr="00B93E21">
        <w:t xml:space="preserve">alcuni </w:t>
      </w:r>
      <w:r>
        <w:t xml:space="preserve">operano </w:t>
      </w:r>
      <w:r w:rsidRPr="00B93E21">
        <w:t>a livello mondiale)</w:t>
      </w:r>
      <w:r w:rsidR="007F78DD">
        <w:t>;</w:t>
      </w:r>
    </w:p>
    <w:p w14:paraId="3B32B774" w14:textId="77777777" w:rsidR="007F78DD" w:rsidRDefault="007F78DD" w:rsidP="007F78DD">
      <w:pPr>
        <w:pStyle w:val="Paragrafoelenco"/>
        <w:numPr>
          <w:ilvl w:val="0"/>
          <w:numId w:val="40"/>
        </w:numPr>
        <w:spacing w:before="120" w:after="120" w:line="312" w:lineRule="auto"/>
        <w:contextualSpacing/>
        <w:jc w:val="both"/>
      </w:pPr>
      <w:r>
        <w:t xml:space="preserve">Le attività di costituzione e manutenzione dell’Albo sono standardizzate; l’albo condiviso è pertanto un elemento di efficienza del sistema almeno per ottimizzare la gestione </w:t>
      </w:r>
      <w:r w:rsidRPr="007F78DD">
        <w:t>amministrativa</w:t>
      </w:r>
      <w:r>
        <w:t xml:space="preserve"> (es. anagrafiche fornitori) e, soprattutto, </w:t>
      </w:r>
      <w:r w:rsidRPr="007F78DD">
        <w:t>i test e le prove fisiche sull</w:t>
      </w:r>
      <w:r>
        <w:t>e</w:t>
      </w:r>
      <w:r w:rsidRPr="007F78DD">
        <w:t xml:space="preserve"> cart</w:t>
      </w:r>
      <w:r>
        <w:t>e.</w:t>
      </w:r>
    </w:p>
    <w:p w14:paraId="23B4A898" w14:textId="77777777" w:rsidR="007F78DD" w:rsidRDefault="007F78DD" w:rsidP="007F78DD">
      <w:pPr>
        <w:spacing w:before="120" w:after="120" w:line="312" w:lineRule="auto"/>
        <w:contextualSpacing/>
        <w:jc w:val="both"/>
      </w:pPr>
      <w:r>
        <w:t xml:space="preserve">Tutta </w:t>
      </w:r>
      <w:r w:rsidRPr="007F78DD">
        <w:t xml:space="preserve">la documentazione </w:t>
      </w:r>
      <w:r>
        <w:t xml:space="preserve">utile alla condivisione dell’Albo fornitori </w:t>
      </w:r>
      <w:r w:rsidRPr="007F78DD">
        <w:t>è compresa nel KIT (modalità di richiesta di iscrizione all'albo fornitori</w:t>
      </w:r>
      <w:r>
        <w:t>). Le carte sono omogenee con la sola differenza di</w:t>
      </w:r>
    </w:p>
    <w:p w14:paraId="64B4A5AF" w14:textId="77777777" w:rsidR="007F78DD" w:rsidRDefault="007F78DD" w:rsidP="007F78DD">
      <w:pPr>
        <w:pStyle w:val="Paragrafoelenco"/>
        <w:numPr>
          <w:ilvl w:val="0"/>
          <w:numId w:val="40"/>
        </w:numPr>
        <w:spacing w:before="120" w:after="120" w:line="312" w:lineRule="auto"/>
        <w:contextualSpacing/>
        <w:jc w:val="both"/>
      </w:pPr>
      <w:r>
        <w:t>Colori e grafica carta;</w:t>
      </w:r>
    </w:p>
    <w:p w14:paraId="01451BF2" w14:textId="77777777" w:rsidR="007F78DD" w:rsidRDefault="007F78DD" w:rsidP="007F78DD">
      <w:pPr>
        <w:pStyle w:val="Paragrafoelenco"/>
        <w:numPr>
          <w:ilvl w:val="0"/>
          <w:numId w:val="40"/>
        </w:numPr>
        <w:spacing w:before="120" w:after="120" w:line="312" w:lineRule="auto"/>
        <w:contextualSpacing/>
        <w:jc w:val="both"/>
      </w:pPr>
      <w:r>
        <w:t>Nome carta (es. BIP, BIC, BIT, BIL);</w:t>
      </w:r>
    </w:p>
    <w:p w14:paraId="534DBF92" w14:textId="77777777" w:rsidR="007F78DD" w:rsidRDefault="007F78DD" w:rsidP="007F78DD">
      <w:pPr>
        <w:pStyle w:val="Paragrafoelenco"/>
        <w:numPr>
          <w:ilvl w:val="0"/>
          <w:numId w:val="40"/>
        </w:numPr>
        <w:spacing w:before="120" w:after="120" w:line="312" w:lineRule="auto"/>
        <w:contextualSpacing/>
        <w:jc w:val="both"/>
      </w:pPr>
      <w:r w:rsidRPr="007F78DD">
        <w:t>Cart data model relativa alle specifiche necessità</w:t>
      </w:r>
      <w:r>
        <w:t xml:space="preserve"> del singolo SBE.</w:t>
      </w:r>
    </w:p>
    <w:p w14:paraId="68BB27C5" w14:textId="77777777" w:rsidR="007F78DD" w:rsidRPr="00411D30" w:rsidRDefault="007F78DD" w:rsidP="007F78DD">
      <w:pPr>
        <w:spacing w:before="120" w:after="120" w:line="312" w:lineRule="auto"/>
        <w:contextualSpacing/>
        <w:jc w:val="both"/>
      </w:pPr>
    </w:p>
    <w:p w14:paraId="6EF18CCD" w14:textId="77777777" w:rsidR="007F78DD" w:rsidRDefault="007F78DD">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3B38551" w14:textId="77777777" w:rsidR="00411D30" w:rsidRDefault="00411D30" w:rsidP="00411D30">
      <w:pPr>
        <w:pStyle w:val="Titolo1"/>
        <w:numPr>
          <w:ilvl w:val="0"/>
          <w:numId w:val="12"/>
        </w:numPr>
      </w:pPr>
      <w:bookmarkStart w:id="16" w:name="_Toc55402562"/>
      <w:r w:rsidRPr="00334EAE">
        <w:lastRenderedPageBreak/>
        <w:t>Avvio procedure di gara per l'approvvigionamento di sistemi di TPL</w:t>
      </w:r>
      <w:r w:rsidR="008F0C61">
        <w:t xml:space="preserve"> e di SBE</w:t>
      </w:r>
      <w:r w:rsidRPr="00334EAE">
        <w:t>, secondo i capitolati definiti</w:t>
      </w:r>
      <w:bookmarkEnd w:id="16"/>
    </w:p>
    <w:p w14:paraId="590E3D2E" w14:textId="77777777" w:rsidR="008F0C61" w:rsidRDefault="00384842" w:rsidP="00384842">
      <w:pPr>
        <w:spacing w:before="120" w:after="120" w:line="312" w:lineRule="auto"/>
        <w:jc w:val="both"/>
      </w:pPr>
      <w:r>
        <w:t>Quest</w:t>
      </w:r>
      <w:r w:rsidR="008F0C61">
        <w:t>’</w:t>
      </w:r>
      <w:r>
        <w:t xml:space="preserve">attività è relativa all’appalto per </w:t>
      </w:r>
    </w:p>
    <w:p w14:paraId="124DF5DD" w14:textId="77777777" w:rsidR="008F0C61" w:rsidRDefault="008F0C61" w:rsidP="008F0C61">
      <w:pPr>
        <w:pStyle w:val="Paragrafoelenco"/>
        <w:numPr>
          <w:ilvl w:val="0"/>
          <w:numId w:val="44"/>
        </w:numPr>
        <w:spacing w:before="120" w:after="120" w:line="312" w:lineRule="auto"/>
        <w:jc w:val="both"/>
      </w:pPr>
      <w:r>
        <w:t>Sistemi dell’operatore di trasporto pubblico locale:</w:t>
      </w:r>
      <w:r w:rsidR="00384842">
        <w:t xml:space="preserve"> </w:t>
      </w:r>
      <w:r w:rsidR="00384842" w:rsidRPr="00384842">
        <w:t>AVM</w:t>
      </w:r>
      <w:r>
        <w:t>,</w:t>
      </w:r>
      <w:r w:rsidR="00384842" w:rsidRPr="00384842">
        <w:t xml:space="preserve"> </w:t>
      </w:r>
      <w:r w:rsidR="00384842">
        <w:t>componenti hardware e software dei CCA (Centri di Controllo Aziendale)</w:t>
      </w:r>
      <w:r>
        <w:t>;</w:t>
      </w:r>
    </w:p>
    <w:p w14:paraId="53DDE531" w14:textId="77777777" w:rsidR="008F0C61" w:rsidRDefault="008F0C61" w:rsidP="00384842">
      <w:pPr>
        <w:pStyle w:val="Paragrafoelenco"/>
        <w:numPr>
          <w:ilvl w:val="0"/>
          <w:numId w:val="44"/>
        </w:numPr>
        <w:spacing w:before="120" w:after="120" w:line="312" w:lineRule="auto"/>
        <w:jc w:val="both"/>
      </w:pPr>
      <w:r>
        <w:t xml:space="preserve">Per i sistemi direttamente collegati al sistema di bigliettazione elettronica: </w:t>
      </w:r>
      <w:proofErr w:type="spellStart"/>
      <w:r>
        <w:t>Validatori</w:t>
      </w:r>
      <w:proofErr w:type="spellEnd"/>
      <w:r>
        <w:t>; Sistemi di biglietteria; Consolle autista (parte SBE).</w:t>
      </w:r>
    </w:p>
    <w:p w14:paraId="02AE74B4" w14:textId="77777777" w:rsidR="00384842" w:rsidRDefault="00384842" w:rsidP="00384842">
      <w:pPr>
        <w:spacing w:before="120" w:after="120" w:line="312" w:lineRule="auto"/>
        <w:jc w:val="both"/>
      </w:pPr>
      <w:r>
        <w:t>L’appalto potrà essere pubblicato direttamente dalla struttura regionale (come nel caso di Regione Liguria) o, alternativamente, potrebbe essere sviluppato da ogni singolo operatore (come nel caso piemontese); in questo secondo caso, è comunque importante</w:t>
      </w:r>
      <w:r w:rsidRPr="00384842">
        <w:t xml:space="preserve"> </w:t>
      </w:r>
      <w:r>
        <w:t xml:space="preserve">che </w:t>
      </w:r>
      <w:r w:rsidRPr="00384842">
        <w:t xml:space="preserve">prima dell'avvio </w:t>
      </w:r>
      <w:r>
        <w:t xml:space="preserve">della gara, la struttura regionale effettui idonee </w:t>
      </w:r>
      <w:r w:rsidRPr="00384842">
        <w:t>verifiche sulla compatibilità dei capitolati tecnici alle specifiche</w:t>
      </w:r>
      <w:r>
        <w:t xml:space="preserve"> dei sistemi centrali (opportuno che </w:t>
      </w:r>
      <w:r w:rsidRPr="00384842">
        <w:t xml:space="preserve">ogni progetto esecutivo </w:t>
      </w:r>
      <w:r>
        <w:t xml:space="preserve">sia </w:t>
      </w:r>
      <w:r w:rsidRPr="00384842">
        <w:t>validato d</w:t>
      </w:r>
      <w:r>
        <w:t>all'ente centrale per verificarne</w:t>
      </w:r>
      <w:r w:rsidRPr="00384842">
        <w:t xml:space="preserve"> ex ante</w:t>
      </w:r>
      <w:r>
        <w:t xml:space="preserve"> </w:t>
      </w:r>
      <w:r w:rsidRPr="00384842">
        <w:t>la compatibilità con il sistema centrale</w:t>
      </w:r>
      <w:r>
        <w:t>).</w:t>
      </w:r>
    </w:p>
    <w:p w14:paraId="79BFC014" w14:textId="77777777" w:rsidR="00384842" w:rsidRDefault="00384842" w:rsidP="00384842">
      <w:pPr>
        <w:spacing w:before="120" w:after="120" w:line="312" w:lineRule="auto"/>
        <w:jc w:val="both"/>
      </w:pPr>
      <w:r>
        <w:t>Si ricorda che</w:t>
      </w:r>
    </w:p>
    <w:p w14:paraId="4C38C34B" w14:textId="77777777" w:rsidR="00384842" w:rsidRDefault="00384842" w:rsidP="00066287">
      <w:pPr>
        <w:pStyle w:val="Paragrafoelenco"/>
        <w:numPr>
          <w:ilvl w:val="0"/>
          <w:numId w:val="42"/>
        </w:numPr>
        <w:spacing w:before="120" w:after="120" w:line="312" w:lineRule="auto"/>
        <w:jc w:val="both"/>
      </w:pPr>
      <w:r w:rsidRPr="00384842">
        <w:t xml:space="preserve">Nel </w:t>
      </w:r>
      <w:r>
        <w:t>progetto esecutivo deve essere inserito</w:t>
      </w:r>
      <w:r w:rsidRPr="00384842">
        <w:t xml:space="preserve"> l'elenco </w:t>
      </w:r>
      <w:r w:rsidR="00066287">
        <w:t xml:space="preserve">completo </w:t>
      </w:r>
      <w:r w:rsidRPr="00384842">
        <w:t>del materi</w:t>
      </w:r>
      <w:r>
        <w:t xml:space="preserve">ale </w:t>
      </w:r>
      <w:r w:rsidRPr="00384842">
        <w:t>in appalto e le relative specifiche</w:t>
      </w:r>
      <w:r>
        <w:t>;</w:t>
      </w:r>
      <w:r w:rsidR="00066287">
        <w:t xml:space="preserve"> </w:t>
      </w:r>
    </w:p>
    <w:p w14:paraId="38A8E0C0" w14:textId="77777777" w:rsidR="00384842" w:rsidRDefault="00384842" w:rsidP="00384842">
      <w:pPr>
        <w:pStyle w:val="Paragrafoelenco"/>
        <w:numPr>
          <w:ilvl w:val="0"/>
          <w:numId w:val="42"/>
        </w:numPr>
        <w:spacing w:before="120" w:after="120" w:line="312" w:lineRule="auto"/>
        <w:jc w:val="both"/>
      </w:pPr>
      <w:r w:rsidRPr="00384842">
        <w:t xml:space="preserve">Nella </w:t>
      </w:r>
      <w:r>
        <w:t>predisposizione del</w:t>
      </w:r>
      <w:r w:rsidRPr="00384842">
        <w:t xml:space="preserve"> progetto esecutivo è </w:t>
      </w:r>
      <w:r w:rsidR="00D45AF4">
        <w:t>sempre</w:t>
      </w:r>
      <w:r w:rsidRPr="00384842">
        <w:t xml:space="preserve"> opportuno che ci sia un confronto con il soggetto centrale</w:t>
      </w:r>
      <w:r w:rsidR="00D45AF4">
        <w:t>.</w:t>
      </w:r>
    </w:p>
    <w:p w14:paraId="41C2EAAF" w14:textId="77777777" w:rsidR="00066287" w:rsidRDefault="00066287" w:rsidP="00D45AF4">
      <w:pPr>
        <w:spacing w:before="120" w:after="120" w:line="312" w:lineRule="auto"/>
        <w:jc w:val="both"/>
      </w:pPr>
      <w:r>
        <w:t xml:space="preserve">È utile rilevare che </w:t>
      </w:r>
      <w:r w:rsidRPr="00066287">
        <w:t>se ci sono già presenti sistemi nelle aziende</w:t>
      </w:r>
      <w:r>
        <w:t xml:space="preserve"> è necessario verificare che </w:t>
      </w:r>
      <w:r w:rsidRPr="00066287">
        <w:t>il sistema esistente sia in grado di dialogare con i protocolli BIPEX</w:t>
      </w:r>
      <w:r>
        <w:t xml:space="preserve">; </w:t>
      </w:r>
    </w:p>
    <w:p w14:paraId="6DB2199B" w14:textId="77777777" w:rsidR="00066287" w:rsidRDefault="00066287" w:rsidP="00066287">
      <w:pPr>
        <w:pStyle w:val="Paragrafoelenco"/>
        <w:numPr>
          <w:ilvl w:val="0"/>
          <w:numId w:val="45"/>
        </w:numPr>
        <w:spacing w:before="120" w:after="120" w:line="312" w:lineRule="auto"/>
        <w:jc w:val="both"/>
      </w:pPr>
      <w:r>
        <w:t xml:space="preserve">In caso positivo, costituirà oggetto dell’appalto solo </w:t>
      </w:r>
      <w:r w:rsidRPr="00066287">
        <w:t>quello che manca rispetto all'obiettivo</w:t>
      </w:r>
      <w:r>
        <w:t xml:space="preserve">. </w:t>
      </w:r>
    </w:p>
    <w:p w14:paraId="648D4DEF" w14:textId="77777777" w:rsidR="00066287" w:rsidRDefault="00066287" w:rsidP="00066287">
      <w:pPr>
        <w:pStyle w:val="Paragrafoelenco"/>
        <w:numPr>
          <w:ilvl w:val="0"/>
          <w:numId w:val="45"/>
        </w:numPr>
        <w:spacing w:before="120" w:after="120" w:line="312" w:lineRule="auto"/>
        <w:jc w:val="both"/>
      </w:pPr>
      <w:r w:rsidRPr="00066287">
        <w:t xml:space="preserve">Nel caso siano presenti sistemi non </w:t>
      </w:r>
      <w:r>
        <w:t xml:space="preserve">perfettamente </w:t>
      </w:r>
      <w:r w:rsidRPr="00066287">
        <w:t xml:space="preserve">compatibili, </w:t>
      </w:r>
      <w:r>
        <w:t xml:space="preserve">è possibile verificare se sia sufficiente integrarli </w:t>
      </w:r>
      <w:r w:rsidRPr="00066287">
        <w:t xml:space="preserve">con moduli per dialogare </w:t>
      </w:r>
      <w:r>
        <w:t>con i sistemi di centro.</w:t>
      </w:r>
    </w:p>
    <w:p w14:paraId="1BF3C921" w14:textId="77777777" w:rsidR="00D45AF4" w:rsidRDefault="00D45AF4" w:rsidP="00D45AF4">
      <w:pPr>
        <w:spacing w:before="120" w:after="120" w:line="312" w:lineRule="auto"/>
        <w:jc w:val="both"/>
      </w:pPr>
      <w:r>
        <w:t>La scelta delle tecnologie non è necessariamente rigida e, nel caso di pluralità di gare (es. una per ogni operatore) può rappresentare un’</w:t>
      </w:r>
      <w:r w:rsidRPr="00D45AF4">
        <w:t xml:space="preserve">opportunità </w:t>
      </w:r>
      <w:r>
        <w:t xml:space="preserve">di confronto e tra le diverse tecnologie esistenti finalizzata al miglioramento progressivo del sistema. </w:t>
      </w:r>
    </w:p>
    <w:p w14:paraId="7277C1C4" w14:textId="77777777" w:rsidR="00D45AF4" w:rsidRDefault="00D45AF4" w:rsidP="00D45AF4">
      <w:pPr>
        <w:spacing w:before="120" w:after="120" w:line="312" w:lineRule="auto"/>
        <w:jc w:val="both"/>
      </w:pPr>
      <w:r>
        <w:t xml:space="preserve">Le tecnologie, infatti, </w:t>
      </w:r>
      <w:r w:rsidRPr="00D45AF4">
        <w:t>possono essere diverse; l'importante è che tutte le tecnologie riescano a dialogare con il protocollo centrale</w:t>
      </w:r>
      <w:r>
        <w:t xml:space="preserve">; a tal fine, è sempre preferibile che nel corso dell’implementazione dei sistemi, siano previsti </w:t>
      </w:r>
      <w:r w:rsidRPr="00D45AF4">
        <w:rPr>
          <w:b/>
        </w:rPr>
        <w:t>step intermedi di verifiche e validazione</w:t>
      </w:r>
      <w:r>
        <w:t xml:space="preserve"> dei sistemi di comunicazione e interfacciamento tra sistemi aziendali e sistema centrale (per evitare che gli eventuali problemi siano rilevati solo in fase di </w:t>
      </w:r>
      <w:r w:rsidRPr="00D45AF4">
        <w:t>collaudo</w:t>
      </w:r>
      <w:r>
        <w:t xml:space="preserve"> </w:t>
      </w:r>
      <w:r w:rsidRPr="00D45AF4">
        <w:t>definitivo</w:t>
      </w:r>
      <w:r>
        <w:t>)</w:t>
      </w:r>
      <w:r w:rsidR="008F0C61">
        <w:t>.</w:t>
      </w:r>
    </w:p>
    <w:p w14:paraId="775160AE" w14:textId="77777777" w:rsidR="00411D30" w:rsidRDefault="00411D30" w:rsidP="008F0C61">
      <w:pPr>
        <w:spacing w:before="120" w:after="120" w:line="312" w:lineRule="auto"/>
        <w:jc w:val="both"/>
      </w:pPr>
    </w:p>
    <w:p w14:paraId="07F6E362" w14:textId="77777777" w:rsidR="00D45AF4" w:rsidRDefault="00D45AF4">
      <w:pPr>
        <w:spacing w:after="200" w:line="276" w:lineRule="auto"/>
        <w:rPr>
          <w:rFonts w:asciiTheme="majorHAnsi" w:eastAsiaTheme="majorEastAsia" w:hAnsiTheme="majorHAnsi" w:cstheme="majorBidi"/>
          <w:b/>
          <w:bCs/>
          <w:color w:val="365F91" w:themeColor="accent1" w:themeShade="BF"/>
          <w:sz w:val="28"/>
          <w:szCs w:val="28"/>
        </w:rPr>
      </w:pPr>
      <w:r>
        <w:br w:type="page"/>
      </w:r>
    </w:p>
    <w:p w14:paraId="257DD6EF" w14:textId="77777777" w:rsidR="00411D30" w:rsidRDefault="003C3E4E" w:rsidP="00411D30">
      <w:pPr>
        <w:pStyle w:val="Titolo1"/>
        <w:numPr>
          <w:ilvl w:val="0"/>
          <w:numId w:val="12"/>
        </w:numPr>
      </w:pPr>
      <w:bookmarkStart w:id="17" w:name="_Toc55402563"/>
      <w:r>
        <w:lastRenderedPageBreak/>
        <w:t xml:space="preserve">Implementazione e </w:t>
      </w:r>
      <w:r w:rsidRPr="00334EAE">
        <w:t xml:space="preserve">collaudo </w:t>
      </w:r>
      <w:r w:rsidR="00066287">
        <w:t>sistemi aziendali (</w:t>
      </w:r>
      <w:r w:rsidR="00411D30" w:rsidRPr="00334EAE">
        <w:t xml:space="preserve">TPL </w:t>
      </w:r>
      <w:r w:rsidR="00066287">
        <w:t>e SBE)</w:t>
      </w:r>
      <w:bookmarkEnd w:id="17"/>
      <w:r w:rsidR="00066287">
        <w:t xml:space="preserve"> </w:t>
      </w:r>
    </w:p>
    <w:p w14:paraId="67AB485E" w14:textId="77777777" w:rsidR="00411D30" w:rsidRDefault="00411D30" w:rsidP="00411D30"/>
    <w:p w14:paraId="31042B2C" w14:textId="77777777" w:rsidR="00066287" w:rsidRDefault="00066287" w:rsidP="00066287">
      <w:pPr>
        <w:spacing w:before="120" w:after="120" w:line="312" w:lineRule="auto"/>
        <w:jc w:val="both"/>
      </w:pPr>
      <w:r>
        <w:t xml:space="preserve">In fase di gara e di successiva implementazione dei sistemi aziendali il Centro regionale </w:t>
      </w:r>
      <w:r w:rsidRPr="00066287">
        <w:t>supporta</w:t>
      </w:r>
      <w:r w:rsidR="003C3E4E">
        <w:t>/può supportare le aziende</w:t>
      </w:r>
    </w:p>
    <w:p w14:paraId="07F8F57A" w14:textId="77777777" w:rsidR="003C3E4E" w:rsidRDefault="003C3E4E" w:rsidP="003C3E4E">
      <w:pPr>
        <w:pStyle w:val="Paragrafoelenco"/>
        <w:numPr>
          <w:ilvl w:val="0"/>
          <w:numId w:val="46"/>
        </w:numPr>
        <w:spacing w:before="120" w:after="120" w:line="312" w:lineRule="auto"/>
        <w:jc w:val="both"/>
      </w:pPr>
      <w:r>
        <w:t>Nella valutazione tecniche delle offerte (e, soprattutto, delle funzionalità dei dimostratori, se richiesti);</w:t>
      </w:r>
    </w:p>
    <w:p w14:paraId="74EE0F86" w14:textId="77777777" w:rsidR="00066287" w:rsidRDefault="003C3E4E" w:rsidP="003C3E4E">
      <w:pPr>
        <w:pStyle w:val="Paragrafoelenco"/>
        <w:numPr>
          <w:ilvl w:val="0"/>
          <w:numId w:val="46"/>
        </w:numPr>
        <w:spacing w:before="120" w:after="120" w:line="312" w:lineRule="auto"/>
        <w:jc w:val="both"/>
      </w:pPr>
      <w:r>
        <w:t>Verifica di conformità nell’acquisizione de</w:t>
      </w:r>
      <w:r w:rsidR="00066287" w:rsidRPr="00066287">
        <w:t xml:space="preserve">i flussi </w:t>
      </w:r>
      <w:r>
        <w:t xml:space="preserve">dati </w:t>
      </w:r>
      <w:r w:rsidR="00066287" w:rsidRPr="00066287">
        <w:t>(servizio programmato e consuntivato)</w:t>
      </w:r>
      <w:r>
        <w:t>;</w:t>
      </w:r>
    </w:p>
    <w:p w14:paraId="6BD68F73" w14:textId="77777777" w:rsidR="003C3E4E" w:rsidRDefault="003C3E4E" w:rsidP="003C3E4E">
      <w:pPr>
        <w:pStyle w:val="Paragrafoelenco"/>
        <w:numPr>
          <w:ilvl w:val="0"/>
          <w:numId w:val="46"/>
        </w:numPr>
        <w:spacing w:before="120" w:after="120" w:line="312" w:lineRule="auto"/>
        <w:jc w:val="both"/>
      </w:pPr>
      <w:r>
        <w:t xml:space="preserve">Verifiche </w:t>
      </w:r>
      <w:r w:rsidRPr="00066287">
        <w:t xml:space="preserve">intermedie sulle singole componenti della parte SBE e </w:t>
      </w:r>
      <w:r>
        <w:t xml:space="preserve">sui </w:t>
      </w:r>
      <w:r w:rsidRPr="00066287">
        <w:t>flussi informativi</w:t>
      </w:r>
      <w:r>
        <w:t>.</w:t>
      </w:r>
    </w:p>
    <w:p w14:paraId="214A0DB7" w14:textId="77777777" w:rsidR="00411D30" w:rsidRDefault="003C3E4E" w:rsidP="003C3E4E">
      <w:pPr>
        <w:spacing w:before="120" w:after="120" w:line="312" w:lineRule="auto"/>
        <w:jc w:val="both"/>
      </w:pPr>
      <w:r>
        <w:t>In sintesi, anche in caso di sistema appaltato dalle singole aziende, è opportuna una costante dialettica con il centro servizi regionale per verificarne progressivamente la conformità dei singoli componenti e dei singoli flussi informativi.</w:t>
      </w:r>
    </w:p>
    <w:p w14:paraId="30FCDE5A" w14:textId="77777777" w:rsidR="003C3E4E" w:rsidRDefault="003C3E4E" w:rsidP="003C3E4E">
      <w:pPr>
        <w:spacing w:before="120" w:after="120" w:line="312" w:lineRule="auto"/>
        <w:jc w:val="both"/>
      </w:pPr>
    </w:p>
    <w:p w14:paraId="6FEAF75D" w14:textId="77777777" w:rsidR="003C3E4E" w:rsidRDefault="00265D5E" w:rsidP="003C3E4E">
      <w:pPr>
        <w:spacing w:before="120" w:after="120" w:line="312" w:lineRule="auto"/>
        <w:jc w:val="both"/>
      </w:pPr>
      <w:r>
        <w:t xml:space="preserve">Il centro servizi regionale di norma collauda la conformità delle trasmissioni dei flussi informativi; tale </w:t>
      </w:r>
      <w:r w:rsidR="003C3E4E" w:rsidRPr="003C3E4E">
        <w:t>collaudo consente di verificare la corretta implementazione del sistema dal punto di vista dell'interoperabilità regionale.</w:t>
      </w:r>
      <w:r>
        <w:t xml:space="preserve"> Al termine del collaudo viene redatto un </w:t>
      </w:r>
      <w:r w:rsidR="003C3E4E" w:rsidRPr="003C3E4E">
        <w:t>Verbale di collaudo (</w:t>
      </w:r>
      <w:r>
        <w:t>nel sistema piemontese tale verbale, rendeva accessibile il cofinanziamento regionale</w:t>
      </w:r>
      <w:r w:rsidR="003C3E4E" w:rsidRPr="003C3E4E">
        <w:t>)</w:t>
      </w:r>
      <w:r>
        <w:t>.</w:t>
      </w:r>
    </w:p>
    <w:p w14:paraId="24208E5E" w14:textId="77777777" w:rsidR="00411D30" w:rsidRPr="00411D30" w:rsidRDefault="00411D30" w:rsidP="00411D30">
      <w:pPr>
        <w:pStyle w:val="Titolo1"/>
        <w:numPr>
          <w:ilvl w:val="0"/>
          <w:numId w:val="12"/>
        </w:numPr>
      </w:pPr>
      <w:bookmarkStart w:id="18" w:name="_Toc55402564"/>
      <w:r w:rsidRPr="00334EAE">
        <w:t>Collaudo del sistema da parte delle aziende di TPL</w:t>
      </w:r>
      <w:bookmarkEnd w:id="18"/>
    </w:p>
    <w:p w14:paraId="10026F10" w14:textId="77777777" w:rsidR="00411D30" w:rsidRPr="00265D5E" w:rsidRDefault="00265D5E" w:rsidP="00265D5E">
      <w:pPr>
        <w:spacing w:before="120" w:after="120" w:line="312" w:lineRule="auto"/>
        <w:jc w:val="both"/>
      </w:pPr>
      <w:r w:rsidRPr="00265D5E">
        <w:t xml:space="preserve">Una volta </w:t>
      </w:r>
      <w:r>
        <w:t xml:space="preserve">ricevuto il </w:t>
      </w:r>
      <w:r w:rsidRPr="00265D5E">
        <w:t xml:space="preserve">collaudo </w:t>
      </w:r>
      <w:r>
        <w:t>(positivo) del</w:t>
      </w:r>
      <w:r w:rsidRPr="00265D5E">
        <w:t xml:space="preserve"> sistema da parte del</w:t>
      </w:r>
      <w:r>
        <w:t xml:space="preserve"> centro servizi regionale</w:t>
      </w:r>
      <w:r w:rsidRPr="00265D5E">
        <w:t xml:space="preserve"> e</w:t>
      </w:r>
      <w:r>
        <w:t>, quindi,</w:t>
      </w:r>
      <w:r w:rsidRPr="00265D5E">
        <w:t xml:space="preserve"> </w:t>
      </w:r>
      <w:r>
        <w:t xml:space="preserve">verificata l’’interoperabilità con i Sistemi di centro, </w:t>
      </w:r>
      <w:r w:rsidRPr="00265D5E">
        <w:t xml:space="preserve">la società di TPL </w:t>
      </w:r>
      <w:r>
        <w:t>procede</w:t>
      </w:r>
      <w:r w:rsidRPr="00265D5E">
        <w:t xml:space="preserve"> con il collaudo finale del</w:t>
      </w:r>
      <w:r>
        <w:t>l’intero</w:t>
      </w:r>
      <w:r w:rsidRPr="00265D5E">
        <w:t xml:space="preserve"> sistema.</w:t>
      </w:r>
    </w:p>
    <w:p w14:paraId="486B7428" w14:textId="77777777" w:rsidR="00411D30" w:rsidRPr="00265D5E" w:rsidRDefault="00411D30" w:rsidP="00265D5E">
      <w:pPr>
        <w:spacing w:before="120" w:after="120" w:line="312" w:lineRule="auto"/>
        <w:jc w:val="both"/>
      </w:pPr>
    </w:p>
    <w:p w14:paraId="5D53F6F9" w14:textId="77777777" w:rsidR="00411D30" w:rsidRDefault="00411D30" w:rsidP="00FD5EE2">
      <w:pPr>
        <w:jc w:val="both"/>
        <w:rPr>
          <w:rFonts w:asciiTheme="minorHAnsi" w:hAnsiTheme="minorHAnsi" w:cs="Albertus MT Lt"/>
          <w:highlight w:val="yellow"/>
        </w:rPr>
      </w:pPr>
    </w:p>
    <w:p w14:paraId="7936A37E" w14:textId="77777777" w:rsidR="00F344B8" w:rsidRDefault="00F344B8" w:rsidP="00FD5EE2">
      <w:pPr>
        <w:jc w:val="both"/>
        <w:rPr>
          <w:rFonts w:asciiTheme="minorHAnsi" w:hAnsiTheme="minorHAnsi" w:cs="Albertus MT Lt"/>
          <w:highlight w:val="yellow"/>
        </w:rPr>
      </w:pPr>
    </w:p>
    <w:p w14:paraId="402B0E56" w14:textId="77777777" w:rsidR="00F344B8" w:rsidRDefault="00F344B8" w:rsidP="00FD5EE2">
      <w:pPr>
        <w:jc w:val="both"/>
        <w:rPr>
          <w:rFonts w:asciiTheme="minorHAnsi" w:hAnsiTheme="minorHAnsi" w:cs="Albertus MT Lt"/>
          <w:highlight w:val="yellow"/>
        </w:rPr>
        <w:sectPr w:rsidR="00F344B8" w:rsidSect="000223A5">
          <w:headerReference w:type="default" r:id="rId8"/>
          <w:footerReference w:type="default" r:id="rId9"/>
          <w:pgSz w:w="11906" w:h="16838"/>
          <w:pgMar w:top="1417" w:right="1134" w:bottom="1134" w:left="1134" w:header="708" w:footer="708" w:gutter="0"/>
          <w:cols w:space="708"/>
          <w:docGrid w:linePitch="360"/>
        </w:sectPr>
      </w:pPr>
    </w:p>
    <w:p w14:paraId="4ED1D2EE" w14:textId="77777777" w:rsidR="008D6659" w:rsidRPr="00411D30" w:rsidRDefault="008D6659" w:rsidP="008D6659">
      <w:pPr>
        <w:pStyle w:val="Titolo1"/>
        <w:numPr>
          <w:ilvl w:val="0"/>
          <w:numId w:val="12"/>
        </w:numPr>
      </w:pPr>
      <w:bookmarkStart w:id="19" w:name="_Toc55402565"/>
      <w:r>
        <w:lastRenderedPageBreak/>
        <w:t>WORKFLOW</w:t>
      </w:r>
      <w:bookmarkEnd w:id="19"/>
    </w:p>
    <w:p w14:paraId="6295DE8F" w14:textId="5167D884" w:rsidR="008D6659" w:rsidRPr="008D6659" w:rsidRDefault="0067657D" w:rsidP="00FD5EE2">
      <w:pPr>
        <w:jc w:val="both"/>
        <w:rPr>
          <w:rFonts w:asciiTheme="minorHAnsi" w:hAnsiTheme="minorHAnsi" w:cs="Albertus MT Lt"/>
        </w:rPr>
      </w:pPr>
      <w:r w:rsidRPr="0067657D">
        <w:drawing>
          <wp:inline distT="0" distB="0" distL="0" distR="0" wp14:anchorId="206C7A06" wp14:editId="59AFE35F">
            <wp:extent cx="9072245" cy="4697730"/>
            <wp:effectExtent l="0" t="0" r="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72245" cy="4697730"/>
                    </a:xfrm>
                    <a:prstGeom prst="rect">
                      <a:avLst/>
                    </a:prstGeom>
                    <a:noFill/>
                    <a:ln>
                      <a:noFill/>
                    </a:ln>
                  </pic:spPr>
                </pic:pic>
              </a:graphicData>
            </a:graphic>
          </wp:inline>
        </w:drawing>
      </w:r>
    </w:p>
    <w:p w14:paraId="2A87F595" w14:textId="336F30F9" w:rsidR="008D6659" w:rsidRPr="008D6659" w:rsidRDefault="008D6659" w:rsidP="00FD5EE2">
      <w:pPr>
        <w:jc w:val="both"/>
        <w:rPr>
          <w:rFonts w:asciiTheme="minorHAnsi" w:hAnsiTheme="minorHAnsi" w:cs="Albertus MT Lt"/>
        </w:rPr>
      </w:pPr>
    </w:p>
    <w:p w14:paraId="3CE5229B" w14:textId="0E5D08AD" w:rsidR="008D6659" w:rsidRPr="008D6659" w:rsidRDefault="0067657D" w:rsidP="00FD5EE2">
      <w:pPr>
        <w:jc w:val="both"/>
        <w:rPr>
          <w:rFonts w:asciiTheme="minorHAnsi" w:hAnsiTheme="minorHAnsi" w:cs="Albertus MT Lt"/>
        </w:rPr>
      </w:pPr>
      <w:r w:rsidRPr="0067657D">
        <w:lastRenderedPageBreak/>
        <w:drawing>
          <wp:inline distT="0" distB="0" distL="0" distR="0" wp14:anchorId="48C7592A" wp14:editId="7E7CC49D">
            <wp:extent cx="9072245" cy="51117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72245" cy="5111750"/>
                    </a:xfrm>
                    <a:prstGeom prst="rect">
                      <a:avLst/>
                    </a:prstGeom>
                    <a:noFill/>
                    <a:ln>
                      <a:noFill/>
                    </a:ln>
                  </pic:spPr>
                </pic:pic>
              </a:graphicData>
            </a:graphic>
          </wp:inline>
        </w:drawing>
      </w:r>
    </w:p>
    <w:p w14:paraId="3D6D671B" w14:textId="138FC2E2" w:rsidR="008D6659" w:rsidRPr="00B71135" w:rsidRDefault="008D6659">
      <w:pPr>
        <w:spacing w:after="200" w:line="276" w:lineRule="auto"/>
        <w:rPr>
          <w:rFonts w:asciiTheme="minorHAnsi" w:hAnsiTheme="minorHAnsi" w:cs="Albertus MT Lt"/>
        </w:rPr>
      </w:pPr>
      <w:r w:rsidRPr="00B71135">
        <w:rPr>
          <w:rFonts w:asciiTheme="minorHAnsi" w:hAnsiTheme="minorHAnsi" w:cs="Albertus MT Lt"/>
        </w:rPr>
        <w:br w:type="page"/>
      </w:r>
    </w:p>
    <w:p w14:paraId="291945A3" w14:textId="0E855F7A" w:rsidR="008D6659" w:rsidRDefault="0067657D" w:rsidP="00FD5EE2">
      <w:pPr>
        <w:jc w:val="both"/>
        <w:rPr>
          <w:rFonts w:asciiTheme="minorHAnsi" w:hAnsiTheme="minorHAnsi" w:cs="Albertus MT Lt"/>
        </w:rPr>
      </w:pPr>
      <w:r w:rsidRPr="0067657D">
        <w:lastRenderedPageBreak/>
        <w:drawing>
          <wp:inline distT="0" distB="0" distL="0" distR="0" wp14:anchorId="2717FD88" wp14:editId="2C32BCE7">
            <wp:extent cx="9072245" cy="455993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72245" cy="4559935"/>
                    </a:xfrm>
                    <a:prstGeom prst="rect">
                      <a:avLst/>
                    </a:prstGeom>
                    <a:noFill/>
                    <a:ln>
                      <a:noFill/>
                    </a:ln>
                  </pic:spPr>
                </pic:pic>
              </a:graphicData>
            </a:graphic>
          </wp:inline>
        </w:drawing>
      </w:r>
    </w:p>
    <w:p w14:paraId="499134FD" w14:textId="77777777" w:rsidR="005358B8" w:rsidRDefault="005358B8" w:rsidP="00FD5EE2">
      <w:pPr>
        <w:jc w:val="both"/>
        <w:rPr>
          <w:rFonts w:asciiTheme="minorHAnsi" w:hAnsiTheme="minorHAnsi" w:cs="Albertus MT Lt"/>
        </w:rPr>
      </w:pPr>
    </w:p>
    <w:p w14:paraId="62AA9F48" w14:textId="77777777" w:rsidR="005358B8" w:rsidRDefault="005358B8" w:rsidP="00FD5EE2">
      <w:pPr>
        <w:jc w:val="both"/>
        <w:rPr>
          <w:rFonts w:asciiTheme="minorHAnsi" w:hAnsiTheme="minorHAnsi" w:cs="Albertus MT Lt"/>
        </w:rPr>
      </w:pPr>
    </w:p>
    <w:p w14:paraId="46AD7109" w14:textId="77777777" w:rsidR="005358B8" w:rsidRDefault="005358B8" w:rsidP="00FD5EE2">
      <w:pPr>
        <w:jc w:val="both"/>
        <w:rPr>
          <w:rFonts w:asciiTheme="minorHAnsi" w:hAnsiTheme="minorHAnsi" w:cs="Albertus MT Lt"/>
        </w:rPr>
      </w:pPr>
    </w:p>
    <w:p w14:paraId="06D644FC" w14:textId="77777777" w:rsidR="005358B8" w:rsidRDefault="005358B8" w:rsidP="00FD5EE2">
      <w:pPr>
        <w:jc w:val="both"/>
        <w:rPr>
          <w:rFonts w:asciiTheme="minorHAnsi" w:hAnsiTheme="minorHAnsi" w:cs="Albertus MT Lt"/>
        </w:rPr>
      </w:pPr>
    </w:p>
    <w:p w14:paraId="65211B70" w14:textId="77777777" w:rsidR="005358B8" w:rsidRDefault="005358B8" w:rsidP="00FD5EE2">
      <w:pPr>
        <w:jc w:val="both"/>
        <w:rPr>
          <w:rFonts w:asciiTheme="minorHAnsi" w:hAnsiTheme="minorHAnsi" w:cs="Albertus MT Lt"/>
        </w:rPr>
      </w:pPr>
    </w:p>
    <w:p w14:paraId="422671C0" w14:textId="77777777" w:rsidR="005358B8" w:rsidRPr="008D6659" w:rsidRDefault="005358B8" w:rsidP="00FD5EE2">
      <w:pPr>
        <w:jc w:val="both"/>
        <w:rPr>
          <w:rFonts w:asciiTheme="minorHAnsi" w:hAnsiTheme="minorHAnsi" w:cs="Albertus MT Lt"/>
        </w:rPr>
      </w:pPr>
      <w:r>
        <w:rPr>
          <w:noProof/>
        </w:rPr>
        <w:lastRenderedPageBreak/>
        <w:drawing>
          <wp:inline distT="0" distB="0" distL="0" distR="0" wp14:anchorId="67CF2D3F" wp14:editId="1207C3B9">
            <wp:extent cx="9072245" cy="6248420"/>
            <wp:effectExtent l="0" t="0" r="0" b="0"/>
            <wp:docPr id="2" name="Immagine 2" descr="https://documents.lucid.app/documents/17f1cc9c-25f5-4182-898e-39665bdb57c5/pages/0_0?a=1589&amp;x=-50&amp;y=18&amp;w=1980&amp;h=1364&amp;store=1&amp;accept=image%2F*&amp;auth=LCA%203c014c2aab87b0579dd8ccaa5245c0fe8022760d-ts%3D1603126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app/documents/17f1cc9c-25f5-4182-898e-39665bdb57c5/pages/0_0?a=1589&amp;x=-50&amp;y=18&amp;w=1980&amp;h=1364&amp;store=1&amp;accept=image%2F*&amp;auth=LCA%203c014c2aab87b0579dd8ccaa5245c0fe8022760d-ts%3D160312606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72245" cy="6248420"/>
                    </a:xfrm>
                    <a:prstGeom prst="rect">
                      <a:avLst/>
                    </a:prstGeom>
                    <a:noFill/>
                    <a:ln>
                      <a:noFill/>
                    </a:ln>
                  </pic:spPr>
                </pic:pic>
              </a:graphicData>
            </a:graphic>
          </wp:inline>
        </w:drawing>
      </w:r>
    </w:p>
    <w:sectPr w:rsidR="005358B8" w:rsidRPr="008D6659" w:rsidSect="00F344B8">
      <w:pgSz w:w="16838" w:h="11906" w:orient="landscape"/>
      <w:pgMar w:top="1134" w:right="1417"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A8B93F" w14:textId="77777777" w:rsidR="00C540F1" w:rsidRDefault="00C540F1" w:rsidP="007F2065">
      <w:r>
        <w:separator/>
      </w:r>
    </w:p>
  </w:endnote>
  <w:endnote w:type="continuationSeparator" w:id="0">
    <w:p w14:paraId="0A3C6FD5" w14:textId="77777777" w:rsidR="00C540F1" w:rsidRDefault="00C540F1" w:rsidP="007F2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onotype Sorts">
    <w:altName w:val="Times New Roman"/>
    <w:charset w:val="00"/>
    <w:family w:val="auto"/>
    <w:pitch w:val="default"/>
    <w:sig w:usb0="00000003" w:usb1="00000000" w:usb2="00000000" w:usb3="00000000" w:csb0="00000001" w:csb1="00000000"/>
  </w:font>
  <w:font w:name="Albertus MT Lt">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18973"/>
      <w:docPartObj>
        <w:docPartGallery w:val="Page Numbers (Bottom of Page)"/>
        <w:docPartUnique/>
      </w:docPartObj>
    </w:sdtPr>
    <w:sdtEndPr/>
    <w:sdtContent>
      <w:p w14:paraId="0828B31F" w14:textId="77777777" w:rsidR="00C540F1" w:rsidRDefault="00C540F1">
        <w:pPr>
          <w:pStyle w:val="Pidipagina"/>
          <w:jc w:val="right"/>
        </w:pPr>
        <w:r w:rsidRPr="007F2065">
          <w:rPr>
            <w:rFonts w:asciiTheme="minorHAnsi" w:hAnsiTheme="minorHAnsi" w:cstheme="minorHAnsi"/>
          </w:rPr>
          <w:fldChar w:fldCharType="begin"/>
        </w:r>
        <w:r w:rsidRPr="007F2065">
          <w:rPr>
            <w:rFonts w:asciiTheme="minorHAnsi" w:hAnsiTheme="minorHAnsi" w:cstheme="minorHAnsi"/>
          </w:rPr>
          <w:instrText xml:space="preserve"> PAGE   \* MERGEFORMAT </w:instrText>
        </w:r>
        <w:r w:rsidRPr="007F2065">
          <w:rPr>
            <w:rFonts w:asciiTheme="minorHAnsi" w:hAnsiTheme="minorHAnsi" w:cstheme="minorHAnsi"/>
          </w:rPr>
          <w:fldChar w:fldCharType="separate"/>
        </w:r>
        <w:r w:rsidR="00394764">
          <w:rPr>
            <w:rFonts w:asciiTheme="minorHAnsi" w:hAnsiTheme="minorHAnsi" w:cstheme="minorHAnsi"/>
            <w:noProof/>
          </w:rPr>
          <w:t>5</w:t>
        </w:r>
        <w:r w:rsidRPr="007F2065">
          <w:rPr>
            <w:rFonts w:asciiTheme="minorHAnsi" w:hAnsiTheme="minorHAnsi" w:cstheme="minorHAnsi"/>
          </w:rPr>
          <w:fldChar w:fldCharType="end"/>
        </w:r>
      </w:p>
    </w:sdtContent>
  </w:sdt>
  <w:p w14:paraId="1C6C61FD" w14:textId="77777777" w:rsidR="00C540F1" w:rsidRDefault="00C540F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C5105" w14:textId="77777777" w:rsidR="00C540F1" w:rsidRDefault="00C540F1" w:rsidP="007F2065">
      <w:r>
        <w:separator/>
      </w:r>
    </w:p>
  </w:footnote>
  <w:footnote w:type="continuationSeparator" w:id="0">
    <w:p w14:paraId="52D484D0" w14:textId="77777777" w:rsidR="00C540F1" w:rsidRDefault="00C540F1" w:rsidP="007F20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BC580" w14:textId="77777777" w:rsidR="00C540F1" w:rsidRDefault="00C540F1" w:rsidP="007F2065">
    <w:pPr>
      <w:pStyle w:val="Intestazione"/>
      <w:jc w:val="center"/>
    </w:pPr>
    <w:r w:rsidRPr="007F2065">
      <w:rPr>
        <w:noProof/>
      </w:rPr>
      <w:drawing>
        <wp:inline distT="0" distB="0" distL="0" distR="0" wp14:anchorId="36CF2860" wp14:editId="444CC012">
          <wp:extent cx="790575" cy="535036"/>
          <wp:effectExtent l="0" t="0" r="0" b="0"/>
          <wp:docPr id="37" name="Immagine 37" descr="Descrizione: stemma comu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Descrizione: stemma comun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3325" cy="536897"/>
                  </a:xfrm>
                  <a:prstGeom prst="rect">
                    <a:avLst/>
                  </a:prstGeom>
                  <a:noFill/>
                  <a:ln>
                    <a:noFill/>
                  </a:ln>
                </pic:spPr>
              </pic:pic>
            </a:graphicData>
          </a:graphic>
        </wp:inline>
      </w:drawing>
    </w:r>
    <w:r w:rsidRPr="007F2065">
      <w:rPr>
        <w:noProof/>
      </w:rPr>
      <w:drawing>
        <wp:inline distT="0" distB="0" distL="0" distR="0" wp14:anchorId="4F713A2B" wp14:editId="45D17656">
          <wp:extent cx="4943475" cy="564968"/>
          <wp:effectExtent l="0" t="0" r="0" b="6985"/>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2">
                    <a:extLst>
                      <a:ext uri="{28A0092B-C50C-407E-A947-70E740481C1C}">
                        <a14:useLocalDpi xmlns:a14="http://schemas.microsoft.com/office/drawing/2010/main" val="0"/>
                      </a:ext>
                    </a:extLst>
                  </a:blip>
                  <a:srcRect t="5574" b="66774"/>
                  <a:stretch>
                    <a:fillRect/>
                  </a:stretch>
                </pic:blipFill>
                <pic:spPr bwMode="auto">
                  <a:xfrm>
                    <a:off x="0" y="0"/>
                    <a:ext cx="5175782" cy="591517"/>
                  </a:xfrm>
                  <a:prstGeom prst="rect">
                    <a:avLst/>
                  </a:prstGeom>
                  <a:noFill/>
                  <a:ln>
                    <a:noFill/>
                  </a:ln>
                </pic:spPr>
              </pic:pic>
            </a:graphicData>
          </a:graphic>
        </wp:inline>
      </w:drawing>
    </w:r>
  </w:p>
  <w:p w14:paraId="114475C0" w14:textId="77777777" w:rsidR="00C540F1" w:rsidRDefault="00C540F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3A8"/>
    <w:multiLevelType w:val="hybridMultilevel"/>
    <w:tmpl w:val="AB8A43F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1F2A07"/>
    <w:multiLevelType w:val="hybridMultilevel"/>
    <w:tmpl w:val="EFDEABF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7F76A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B64E49"/>
    <w:multiLevelType w:val="hybridMultilevel"/>
    <w:tmpl w:val="0102062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BB001C7"/>
    <w:multiLevelType w:val="hybridMultilevel"/>
    <w:tmpl w:val="9B6E4A0E"/>
    <w:lvl w:ilvl="0" w:tplc="D8C0CAF0">
      <w:start w:val="1"/>
      <w:numFmt w:val="bullet"/>
      <w:lvlText w:val="–"/>
      <w:lvlJc w:val="left"/>
      <w:pPr>
        <w:ind w:left="720" w:hanging="360"/>
      </w:pPr>
      <w:rPr>
        <w:rFonts w:ascii="Arial" w:hAnsi="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C2A6984"/>
    <w:multiLevelType w:val="hybridMultilevel"/>
    <w:tmpl w:val="BD8C295A"/>
    <w:lvl w:ilvl="0" w:tplc="04100005">
      <w:start w:val="1"/>
      <w:numFmt w:val="bullet"/>
      <w:lvlText w:val=""/>
      <w:lvlJc w:val="left"/>
      <w:pPr>
        <w:tabs>
          <w:tab w:val="num" w:pos="1440"/>
        </w:tabs>
        <w:ind w:left="1440" w:hanging="360"/>
      </w:pPr>
      <w:rPr>
        <w:rFonts w:ascii="Wingdings" w:hAnsi="Wingdings" w:hint="default"/>
      </w:rPr>
    </w:lvl>
    <w:lvl w:ilvl="1" w:tplc="A81EFE3E">
      <w:start w:val="1"/>
      <w:numFmt w:val="bullet"/>
      <w:lvlText w:val=""/>
      <w:lvlJc w:val="left"/>
      <w:pPr>
        <w:tabs>
          <w:tab w:val="num" w:pos="1440"/>
        </w:tabs>
        <w:ind w:left="1440" w:hanging="360"/>
      </w:pPr>
      <w:rPr>
        <w:rFonts w:ascii="Wingdings" w:hAnsi="Wingdings" w:hint="default"/>
        <w:sz w:val="18"/>
        <w:szCs w:val="18"/>
      </w:rPr>
    </w:lvl>
    <w:lvl w:ilvl="2" w:tplc="4B30E9E8">
      <w:numFmt w:val="bullet"/>
      <w:lvlText w:val="-"/>
      <w:lvlJc w:val="left"/>
      <w:pPr>
        <w:tabs>
          <w:tab w:val="num" w:pos="2160"/>
        </w:tabs>
        <w:ind w:left="2160" w:hanging="360"/>
      </w:pPr>
      <w:rPr>
        <w:rFonts w:ascii="Garamond" w:eastAsia="Monotype Sorts" w:hAnsi="Garamond" w:cs="Courier New"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6B260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CBD5EE2"/>
    <w:multiLevelType w:val="hybridMultilevel"/>
    <w:tmpl w:val="B060C49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1146513"/>
    <w:multiLevelType w:val="hybridMultilevel"/>
    <w:tmpl w:val="19983B74"/>
    <w:lvl w:ilvl="0" w:tplc="BB80A436">
      <w:start w:val="1"/>
      <w:numFmt w:val="bullet"/>
      <w:lvlText w:val="-"/>
      <w:lvlJc w:val="left"/>
      <w:pPr>
        <w:ind w:left="720" w:hanging="360"/>
      </w:pPr>
      <w:rPr>
        <w:rFonts w:ascii="Albertus MT Lt" w:eastAsiaTheme="minorEastAsia" w:hAnsi="Albertus MT Lt" w:cs="Albertus MT L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3350C71"/>
    <w:multiLevelType w:val="hybridMultilevel"/>
    <w:tmpl w:val="E2E879D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3FC62AA"/>
    <w:multiLevelType w:val="hybridMultilevel"/>
    <w:tmpl w:val="A86CD0F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77D4501"/>
    <w:multiLevelType w:val="hybridMultilevel"/>
    <w:tmpl w:val="F7D2D9D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F466D90"/>
    <w:multiLevelType w:val="hybridMultilevel"/>
    <w:tmpl w:val="1B620060"/>
    <w:lvl w:ilvl="0" w:tplc="4BAEE404">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18B06EE"/>
    <w:multiLevelType w:val="hybridMultilevel"/>
    <w:tmpl w:val="350205E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52A05C7"/>
    <w:multiLevelType w:val="hybridMultilevel"/>
    <w:tmpl w:val="7E087F0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56C516E"/>
    <w:multiLevelType w:val="hybridMultilevel"/>
    <w:tmpl w:val="7E087F0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D08366C"/>
    <w:multiLevelType w:val="hybridMultilevel"/>
    <w:tmpl w:val="04E4E5D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D3B606D"/>
    <w:multiLevelType w:val="hybridMultilevel"/>
    <w:tmpl w:val="1A94E714"/>
    <w:lvl w:ilvl="0" w:tplc="24563F4A">
      <w:start w:val="5"/>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EA07F2B"/>
    <w:multiLevelType w:val="hybridMultilevel"/>
    <w:tmpl w:val="EE0034B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2FD57BD"/>
    <w:multiLevelType w:val="hybridMultilevel"/>
    <w:tmpl w:val="6F8CC3A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7F0376F"/>
    <w:multiLevelType w:val="hybridMultilevel"/>
    <w:tmpl w:val="95D0CBBE"/>
    <w:lvl w:ilvl="0" w:tplc="D8C0CAF0">
      <w:start w:val="1"/>
      <w:numFmt w:val="bullet"/>
      <w:lvlText w:val="–"/>
      <w:lvlJc w:val="left"/>
      <w:pPr>
        <w:ind w:left="720" w:hanging="360"/>
      </w:pPr>
      <w:rPr>
        <w:rFonts w:ascii="Arial" w:hAnsi="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88C2476"/>
    <w:multiLevelType w:val="hybridMultilevel"/>
    <w:tmpl w:val="0EAC3702"/>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2" w15:restartNumberingAfterBreak="0">
    <w:nsid w:val="3E4C2BA3"/>
    <w:multiLevelType w:val="hybridMultilevel"/>
    <w:tmpl w:val="7C4254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28C2A55"/>
    <w:multiLevelType w:val="hybridMultilevel"/>
    <w:tmpl w:val="6192B05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2D52D82"/>
    <w:multiLevelType w:val="hybridMultilevel"/>
    <w:tmpl w:val="341A3F06"/>
    <w:lvl w:ilvl="0" w:tplc="D8C0CAF0">
      <w:start w:val="1"/>
      <w:numFmt w:val="bullet"/>
      <w:lvlText w:val="–"/>
      <w:lvlJc w:val="left"/>
      <w:pPr>
        <w:ind w:left="720" w:hanging="360"/>
      </w:pPr>
      <w:rPr>
        <w:rFonts w:ascii="Arial" w:hAnsi="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92E2606"/>
    <w:multiLevelType w:val="hybridMultilevel"/>
    <w:tmpl w:val="2DDE01FC"/>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C592CE3"/>
    <w:multiLevelType w:val="hybridMultilevel"/>
    <w:tmpl w:val="6C0A5304"/>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F762EF0"/>
    <w:multiLevelType w:val="hybridMultilevel"/>
    <w:tmpl w:val="C226AE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C172277"/>
    <w:multiLevelType w:val="hybridMultilevel"/>
    <w:tmpl w:val="AAAE827C"/>
    <w:lvl w:ilvl="0" w:tplc="D8C0CAF0">
      <w:start w:val="1"/>
      <w:numFmt w:val="bullet"/>
      <w:lvlText w:val="–"/>
      <w:lvlJc w:val="left"/>
      <w:pPr>
        <w:ind w:left="720" w:hanging="360"/>
      </w:pPr>
      <w:rPr>
        <w:rFonts w:ascii="Arial" w:hAnsi="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F742ABC"/>
    <w:multiLevelType w:val="hybridMultilevel"/>
    <w:tmpl w:val="369A3D9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1B8207D"/>
    <w:multiLevelType w:val="hybridMultilevel"/>
    <w:tmpl w:val="3D38088C"/>
    <w:lvl w:ilvl="0" w:tplc="D8C0CAF0">
      <w:start w:val="1"/>
      <w:numFmt w:val="bullet"/>
      <w:lvlText w:val="–"/>
      <w:lvlJc w:val="left"/>
      <w:pPr>
        <w:ind w:left="720" w:hanging="360"/>
      </w:pPr>
      <w:rPr>
        <w:rFonts w:ascii="Arial" w:hAnsi="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2453A9A"/>
    <w:multiLevelType w:val="hybridMultilevel"/>
    <w:tmpl w:val="7640DF28"/>
    <w:lvl w:ilvl="0" w:tplc="99527528">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3225BDE"/>
    <w:multiLevelType w:val="hybridMultilevel"/>
    <w:tmpl w:val="56A0AFFA"/>
    <w:lvl w:ilvl="0" w:tplc="623C2DDC">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42351C0"/>
    <w:multiLevelType w:val="hybridMultilevel"/>
    <w:tmpl w:val="102CB5F8"/>
    <w:lvl w:ilvl="0" w:tplc="4BAEE404">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4711B4E"/>
    <w:multiLevelType w:val="hybridMultilevel"/>
    <w:tmpl w:val="8806CEB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6F93BCF"/>
    <w:multiLevelType w:val="hybridMultilevel"/>
    <w:tmpl w:val="88B628DC"/>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6" w15:restartNumberingAfterBreak="0">
    <w:nsid w:val="69BC296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ABB5AB7"/>
    <w:multiLevelType w:val="hybridMultilevel"/>
    <w:tmpl w:val="0EBA650A"/>
    <w:lvl w:ilvl="0" w:tplc="CA280CEC">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BD75688"/>
    <w:multiLevelType w:val="hybridMultilevel"/>
    <w:tmpl w:val="E36C2B9E"/>
    <w:lvl w:ilvl="0" w:tplc="D8C0CAF0">
      <w:start w:val="1"/>
      <w:numFmt w:val="bullet"/>
      <w:lvlText w:val="–"/>
      <w:lvlJc w:val="left"/>
      <w:pPr>
        <w:ind w:left="720" w:hanging="360"/>
      </w:pPr>
      <w:rPr>
        <w:rFonts w:ascii="Arial" w:hAnsi="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CF00804"/>
    <w:multiLevelType w:val="hybridMultilevel"/>
    <w:tmpl w:val="60AE77DC"/>
    <w:lvl w:ilvl="0" w:tplc="D8C0CAF0">
      <w:start w:val="1"/>
      <w:numFmt w:val="bullet"/>
      <w:lvlText w:val="–"/>
      <w:lvlJc w:val="left"/>
      <w:pPr>
        <w:ind w:left="720" w:hanging="360"/>
      </w:pPr>
      <w:rPr>
        <w:rFonts w:ascii="Arial" w:hAnsi="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6EA344DE"/>
    <w:multiLevelType w:val="hybridMultilevel"/>
    <w:tmpl w:val="5E8C8F3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1" w15:restartNumberingAfterBreak="0">
    <w:nsid w:val="72C66D93"/>
    <w:multiLevelType w:val="hybridMultilevel"/>
    <w:tmpl w:val="C69A75E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3332C00"/>
    <w:multiLevelType w:val="hybridMultilevel"/>
    <w:tmpl w:val="871A52B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3764BF9"/>
    <w:multiLevelType w:val="hybridMultilevel"/>
    <w:tmpl w:val="BC7A425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A8A4806"/>
    <w:multiLevelType w:val="hybridMultilevel"/>
    <w:tmpl w:val="E202E18A"/>
    <w:lvl w:ilvl="0" w:tplc="36047F58">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E0A219E"/>
    <w:multiLevelType w:val="hybridMultilevel"/>
    <w:tmpl w:val="BF328D3C"/>
    <w:lvl w:ilvl="0" w:tplc="F7783E76">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num w:numId="1">
    <w:abstractNumId w:val="27"/>
  </w:num>
  <w:num w:numId="2">
    <w:abstractNumId w:val="45"/>
  </w:num>
  <w:num w:numId="3">
    <w:abstractNumId w:val="8"/>
  </w:num>
  <w:num w:numId="4">
    <w:abstractNumId w:val="40"/>
  </w:num>
  <w:num w:numId="5">
    <w:abstractNumId w:val="44"/>
  </w:num>
  <w:num w:numId="6">
    <w:abstractNumId w:val="31"/>
  </w:num>
  <w:num w:numId="7">
    <w:abstractNumId w:val="20"/>
  </w:num>
  <w:num w:numId="8">
    <w:abstractNumId w:val="37"/>
  </w:num>
  <w:num w:numId="9">
    <w:abstractNumId w:val="24"/>
  </w:num>
  <w:num w:numId="10">
    <w:abstractNumId w:val="30"/>
  </w:num>
  <w:num w:numId="11">
    <w:abstractNumId w:val="28"/>
  </w:num>
  <w:num w:numId="12">
    <w:abstractNumId w:val="6"/>
  </w:num>
  <w:num w:numId="13">
    <w:abstractNumId w:val="38"/>
  </w:num>
  <w:num w:numId="14">
    <w:abstractNumId w:val="39"/>
  </w:num>
  <w:num w:numId="15">
    <w:abstractNumId w:val="33"/>
  </w:num>
  <w:num w:numId="16">
    <w:abstractNumId w:val="12"/>
  </w:num>
  <w:num w:numId="17">
    <w:abstractNumId w:val="35"/>
  </w:num>
  <w:num w:numId="18">
    <w:abstractNumId w:val="15"/>
  </w:num>
  <w:num w:numId="19">
    <w:abstractNumId w:val="4"/>
  </w:num>
  <w:num w:numId="20">
    <w:abstractNumId w:val="21"/>
  </w:num>
  <w:num w:numId="21">
    <w:abstractNumId w:val="14"/>
  </w:num>
  <w:num w:numId="22">
    <w:abstractNumId w:val="32"/>
  </w:num>
  <w:num w:numId="23">
    <w:abstractNumId w:val="17"/>
  </w:num>
  <w:num w:numId="24">
    <w:abstractNumId w:val="25"/>
  </w:num>
  <w:num w:numId="25">
    <w:abstractNumId w:val="0"/>
  </w:num>
  <w:num w:numId="26">
    <w:abstractNumId w:val="36"/>
  </w:num>
  <w:num w:numId="27">
    <w:abstractNumId w:val="5"/>
  </w:num>
  <w:num w:numId="28">
    <w:abstractNumId w:val="23"/>
  </w:num>
  <w:num w:numId="29">
    <w:abstractNumId w:val="2"/>
  </w:num>
  <w:num w:numId="30">
    <w:abstractNumId w:val="29"/>
  </w:num>
  <w:num w:numId="31">
    <w:abstractNumId w:val="34"/>
  </w:num>
  <w:num w:numId="32">
    <w:abstractNumId w:val="42"/>
  </w:num>
  <w:num w:numId="33">
    <w:abstractNumId w:val="18"/>
  </w:num>
  <w:num w:numId="34">
    <w:abstractNumId w:val="1"/>
  </w:num>
  <w:num w:numId="35">
    <w:abstractNumId w:val="7"/>
  </w:num>
  <w:num w:numId="36">
    <w:abstractNumId w:val="41"/>
  </w:num>
  <w:num w:numId="37">
    <w:abstractNumId w:val="10"/>
  </w:num>
  <w:num w:numId="38">
    <w:abstractNumId w:val="11"/>
  </w:num>
  <w:num w:numId="39">
    <w:abstractNumId w:val="19"/>
  </w:num>
  <w:num w:numId="40">
    <w:abstractNumId w:val="26"/>
  </w:num>
  <w:num w:numId="41">
    <w:abstractNumId w:val="22"/>
  </w:num>
  <w:num w:numId="42">
    <w:abstractNumId w:val="9"/>
  </w:num>
  <w:num w:numId="43">
    <w:abstractNumId w:val="16"/>
  </w:num>
  <w:num w:numId="44">
    <w:abstractNumId w:val="13"/>
  </w:num>
  <w:num w:numId="45">
    <w:abstractNumId w:val="3"/>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EE2"/>
    <w:rsid w:val="0000113D"/>
    <w:rsid w:val="0001359F"/>
    <w:rsid w:val="000173A3"/>
    <w:rsid w:val="000223A5"/>
    <w:rsid w:val="00023715"/>
    <w:rsid w:val="000372CF"/>
    <w:rsid w:val="00041D28"/>
    <w:rsid w:val="00066287"/>
    <w:rsid w:val="000722BA"/>
    <w:rsid w:val="000759E8"/>
    <w:rsid w:val="00097066"/>
    <w:rsid w:val="000A21B3"/>
    <w:rsid w:val="000C227C"/>
    <w:rsid w:val="000D0CF8"/>
    <w:rsid w:val="000D113B"/>
    <w:rsid w:val="000E60BD"/>
    <w:rsid w:val="001125DD"/>
    <w:rsid w:val="0011302B"/>
    <w:rsid w:val="00117599"/>
    <w:rsid w:val="00166071"/>
    <w:rsid w:val="00166705"/>
    <w:rsid w:val="00171719"/>
    <w:rsid w:val="0017274B"/>
    <w:rsid w:val="00185739"/>
    <w:rsid w:val="001A0274"/>
    <w:rsid w:val="001A298C"/>
    <w:rsid w:val="001B6020"/>
    <w:rsid w:val="001C35AD"/>
    <w:rsid w:val="001C55D9"/>
    <w:rsid w:val="001D64CE"/>
    <w:rsid w:val="001E5620"/>
    <w:rsid w:val="001F512F"/>
    <w:rsid w:val="00202FBC"/>
    <w:rsid w:val="002107B7"/>
    <w:rsid w:val="002208B6"/>
    <w:rsid w:val="0022229B"/>
    <w:rsid w:val="00231B33"/>
    <w:rsid w:val="00231D4F"/>
    <w:rsid w:val="00233FFE"/>
    <w:rsid w:val="002403BE"/>
    <w:rsid w:val="00250D65"/>
    <w:rsid w:val="00265D5E"/>
    <w:rsid w:val="0026609F"/>
    <w:rsid w:val="00283894"/>
    <w:rsid w:val="00287C6E"/>
    <w:rsid w:val="0029048F"/>
    <w:rsid w:val="00295F10"/>
    <w:rsid w:val="002B4902"/>
    <w:rsid w:val="002B4BE9"/>
    <w:rsid w:val="002E7CCC"/>
    <w:rsid w:val="003146C2"/>
    <w:rsid w:val="003208C9"/>
    <w:rsid w:val="00321203"/>
    <w:rsid w:val="0033226C"/>
    <w:rsid w:val="003325D1"/>
    <w:rsid w:val="00357309"/>
    <w:rsid w:val="00366810"/>
    <w:rsid w:val="0037591B"/>
    <w:rsid w:val="00380144"/>
    <w:rsid w:val="00381E6A"/>
    <w:rsid w:val="00384842"/>
    <w:rsid w:val="003917C4"/>
    <w:rsid w:val="00394764"/>
    <w:rsid w:val="003C393D"/>
    <w:rsid w:val="003C3E4E"/>
    <w:rsid w:val="003C5065"/>
    <w:rsid w:val="003F296E"/>
    <w:rsid w:val="003F389A"/>
    <w:rsid w:val="00404A35"/>
    <w:rsid w:val="00411D30"/>
    <w:rsid w:val="00420214"/>
    <w:rsid w:val="004428EA"/>
    <w:rsid w:val="00453426"/>
    <w:rsid w:val="004573EF"/>
    <w:rsid w:val="00461644"/>
    <w:rsid w:val="00484EF7"/>
    <w:rsid w:val="00494382"/>
    <w:rsid w:val="004C5D34"/>
    <w:rsid w:val="004C6DC2"/>
    <w:rsid w:val="004D5A24"/>
    <w:rsid w:val="00510271"/>
    <w:rsid w:val="00515BF9"/>
    <w:rsid w:val="00521266"/>
    <w:rsid w:val="00534ED0"/>
    <w:rsid w:val="005358B8"/>
    <w:rsid w:val="005418D8"/>
    <w:rsid w:val="00541EF7"/>
    <w:rsid w:val="00542013"/>
    <w:rsid w:val="00550A23"/>
    <w:rsid w:val="0058299E"/>
    <w:rsid w:val="005A44BF"/>
    <w:rsid w:val="005C0525"/>
    <w:rsid w:val="005E254F"/>
    <w:rsid w:val="006040A4"/>
    <w:rsid w:val="006071EF"/>
    <w:rsid w:val="0061153D"/>
    <w:rsid w:val="00626739"/>
    <w:rsid w:val="006348C7"/>
    <w:rsid w:val="0067388B"/>
    <w:rsid w:val="0067657D"/>
    <w:rsid w:val="00677983"/>
    <w:rsid w:val="00683304"/>
    <w:rsid w:val="006910A7"/>
    <w:rsid w:val="00691469"/>
    <w:rsid w:val="00697F8F"/>
    <w:rsid w:val="006A6A38"/>
    <w:rsid w:val="006C6A89"/>
    <w:rsid w:val="006C72B2"/>
    <w:rsid w:val="006F2D88"/>
    <w:rsid w:val="007031E6"/>
    <w:rsid w:val="00725D56"/>
    <w:rsid w:val="007329C5"/>
    <w:rsid w:val="0074228C"/>
    <w:rsid w:val="0077193C"/>
    <w:rsid w:val="00781600"/>
    <w:rsid w:val="00784C68"/>
    <w:rsid w:val="00787120"/>
    <w:rsid w:val="00794F3F"/>
    <w:rsid w:val="007A62A9"/>
    <w:rsid w:val="007A73F0"/>
    <w:rsid w:val="007B5EA6"/>
    <w:rsid w:val="007D21DB"/>
    <w:rsid w:val="007F03DC"/>
    <w:rsid w:val="007F2065"/>
    <w:rsid w:val="007F6B6D"/>
    <w:rsid w:val="007F78DD"/>
    <w:rsid w:val="0082171D"/>
    <w:rsid w:val="008234BB"/>
    <w:rsid w:val="00823DEE"/>
    <w:rsid w:val="008330A6"/>
    <w:rsid w:val="00846803"/>
    <w:rsid w:val="00870AE0"/>
    <w:rsid w:val="00883D43"/>
    <w:rsid w:val="0088680B"/>
    <w:rsid w:val="008A636E"/>
    <w:rsid w:val="008A6939"/>
    <w:rsid w:val="008B143F"/>
    <w:rsid w:val="008B2D6D"/>
    <w:rsid w:val="008B673D"/>
    <w:rsid w:val="008C2FA8"/>
    <w:rsid w:val="008C7ED1"/>
    <w:rsid w:val="008D6659"/>
    <w:rsid w:val="008E4B02"/>
    <w:rsid w:val="008F0C61"/>
    <w:rsid w:val="008F3D67"/>
    <w:rsid w:val="0091610B"/>
    <w:rsid w:val="009261B0"/>
    <w:rsid w:val="009305FD"/>
    <w:rsid w:val="00936B50"/>
    <w:rsid w:val="00963FAD"/>
    <w:rsid w:val="00971C79"/>
    <w:rsid w:val="00990EE1"/>
    <w:rsid w:val="009A1900"/>
    <w:rsid w:val="009B6AAE"/>
    <w:rsid w:val="009C03B6"/>
    <w:rsid w:val="009F5D0A"/>
    <w:rsid w:val="00A01FB0"/>
    <w:rsid w:val="00A131DC"/>
    <w:rsid w:val="00A713BD"/>
    <w:rsid w:val="00A803C7"/>
    <w:rsid w:val="00A9221E"/>
    <w:rsid w:val="00AB39E0"/>
    <w:rsid w:val="00AE70FB"/>
    <w:rsid w:val="00AE744C"/>
    <w:rsid w:val="00AF1AA0"/>
    <w:rsid w:val="00B16243"/>
    <w:rsid w:val="00B223E3"/>
    <w:rsid w:val="00B25E2E"/>
    <w:rsid w:val="00B34EA0"/>
    <w:rsid w:val="00B35AD8"/>
    <w:rsid w:val="00B60BAE"/>
    <w:rsid w:val="00B65D01"/>
    <w:rsid w:val="00B71135"/>
    <w:rsid w:val="00B7402C"/>
    <w:rsid w:val="00B93E21"/>
    <w:rsid w:val="00BA15DD"/>
    <w:rsid w:val="00BA45D8"/>
    <w:rsid w:val="00BB3BA5"/>
    <w:rsid w:val="00BC6C32"/>
    <w:rsid w:val="00BD3C61"/>
    <w:rsid w:val="00BD7F9B"/>
    <w:rsid w:val="00BF2B75"/>
    <w:rsid w:val="00BF3417"/>
    <w:rsid w:val="00C004B9"/>
    <w:rsid w:val="00C04758"/>
    <w:rsid w:val="00C45E65"/>
    <w:rsid w:val="00C47B7B"/>
    <w:rsid w:val="00C540F1"/>
    <w:rsid w:val="00C61E27"/>
    <w:rsid w:val="00C72C21"/>
    <w:rsid w:val="00C73CBA"/>
    <w:rsid w:val="00CA7014"/>
    <w:rsid w:val="00CB1031"/>
    <w:rsid w:val="00CC0E30"/>
    <w:rsid w:val="00CD0AC1"/>
    <w:rsid w:val="00CD2C9D"/>
    <w:rsid w:val="00CF0D95"/>
    <w:rsid w:val="00D03262"/>
    <w:rsid w:val="00D2661D"/>
    <w:rsid w:val="00D31146"/>
    <w:rsid w:val="00D3385B"/>
    <w:rsid w:val="00D346B3"/>
    <w:rsid w:val="00D36D75"/>
    <w:rsid w:val="00D45AF4"/>
    <w:rsid w:val="00D4796A"/>
    <w:rsid w:val="00D7308F"/>
    <w:rsid w:val="00D935CA"/>
    <w:rsid w:val="00DB1227"/>
    <w:rsid w:val="00DC56CE"/>
    <w:rsid w:val="00DD30A6"/>
    <w:rsid w:val="00DD5398"/>
    <w:rsid w:val="00DE0332"/>
    <w:rsid w:val="00DE739B"/>
    <w:rsid w:val="00DE7F2C"/>
    <w:rsid w:val="00E003DC"/>
    <w:rsid w:val="00E03D0B"/>
    <w:rsid w:val="00E1476A"/>
    <w:rsid w:val="00E26651"/>
    <w:rsid w:val="00E5021B"/>
    <w:rsid w:val="00E50BAE"/>
    <w:rsid w:val="00E601EC"/>
    <w:rsid w:val="00E626D6"/>
    <w:rsid w:val="00E6496E"/>
    <w:rsid w:val="00E91BD2"/>
    <w:rsid w:val="00EA6113"/>
    <w:rsid w:val="00EC734B"/>
    <w:rsid w:val="00F0339C"/>
    <w:rsid w:val="00F07116"/>
    <w:rsid w:val="00F103AF"/>
    <w:rsid w:val="00F215A8"/>
    <w:rsid w:val="00F266D0"/>
    <w:rsid w:val="00F31F88"/>
    <w:rsid w:val="00F344B8"/>
    <w:rsid w:val="00F40A0B"/>
    <w:rsid w:val="00F41C6F"/>
    <w:rsid w:val="00F514AE"/>
    <w:rsid w:val="00F6044B"/>
    <w:rsid w:val="00F87195"/>
    <w:rsid w:val="00F90D05"/>
    <w:rsid w:val="00F94DB3"/>
    <w:rsid w:val="00F97325"/>
    <w:rsid w:val="00FB003E"/>
    <w:rsid w:val="00FB508C"/>
    <w:rsid w:val="00FB7267"/>
    <w:rsid w:val="00FC30D7"/>
    <w:rsid w:val="00FD5EE2"/>
    <w:rsid w:val="00FE0645"/>
    <w:rsid w:val="00FF0893"/>
    <w:rsid w:val="00FF4564"/>
    <w:rsid w:val="00FF47E6"/>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5926039"/>
  <w15:docId w15:val="{19D7DDEC-9D1E-462F-8CB3-18AA973C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D5EE2"/>
    <w:pPr>
      <w:spacing w:after="0" w:line="240" w:lineRule="auto"/>
    </w:pPr>
    <w:rPr>
      <w:rFonts w:ascii="Times New Roman" w:eastAsiaTheme="minorEastAsia" w:hAnsi="Times New Roman"/>
      <w:sz w:val="24"/>
      <w:szCs w:val="24"/>
      <w:lang w:eastAsia="it-IT"/>
    </w:rPr>
  </w:style>
  <w:style w:type="paragraph" w:styleId="Titolo1">
    <w:name w:val="heading 1"/>
    <w:basedOn w:val="Normale"/>
    <w:next w:val="Normale"/>
    <w:link w:val="Titolo1Carattere"/>
    <w:uiPriority w:val="9"/>
    <w:qFormat/>
    <w:rsid w:val="001B602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3F296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99"/>
    <w:qFormat/>
    <w:rsid w:val="00FD5EE2"/>
    <w:pPr>
      <w:ind w:left="720"/>
    </w:pPr>
    <w:rPr>
      <w:rFonts w:cs="Times New Roman"/>
    </w:rPr>
  </w:style>
  <w:style w:type="table" w:styleId="Grigliatabella">
    <w:name w:val="Table Grid"/>
    <w:basedOn w:val="Tabellanormale"/>
    <w:uiPriority w:val="59"/>
    <w:rsid w:val="002838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gliamedia3-Colore5">
    <w:name w:val="Medium Grid 3 Accent 5"/>
    <w:basedOn w:val="Tabellanormale"/>
    <w:uiPriority w:val="69"/>
    <w:rsid w:val="0028389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Titolo1Carattere">
    <w:name w:val="Titolo 1 Carattere"/>
    <w:basedOn w:val="Carpredefinitoparagrafo"/>
    <w:link w:val="Titolo1"/>
    <w:uiPriority w:val="9"/>
    <w:rsid w:val="001B6020"/>
    <w:rPr>
      <w:rFonts w:asciiTheme="majorHAnsi" w:eastAsiaTheme="majorEastAsia" w:hAnsiTheme="majorHAnsi" w:cstheme="majorBidi"/>
      <w:b/>
      <w:bCs/>
      <w:color w:val="365F91" w:themeColor="accent1" w:themeShade="BF"/>
      <w:sz w:val="28"/>
      <w:szCs w:val="28"/>
      <w:lang w:eastAsia="it-IT"/>
    </w:rPr>
  </w:style>
  <w:style w:type="paragraph" w:styleId="Titolosommario">
    <w:name w:val="TOC Heading"/>
    <w:basedOn w:val="Titolo1"/>
    <w:next w:val="Normale"/>
    <w:uiPriority w:val="39"/>
    <w:semiHidden/>
    <w:unhideWhenUsed/>
    <w:qFormat/>
    <w:rsid w:val="001B6020"/>
    <w:pPr>
      <w:spacing w:line="276" w:lineRule="auto"/>
      <w:outlineLvl w:val="9"/>
    </w:pPr>
    <w:rPr>
      <w:lang w:eastAsia="en-US"/>
    </w:rPr>
  </w:style>
  <w:style w:type="paragraph" w:styleId="Sommario1">
    <w:name w:val="toc 1"/>
    <w:basedOn w:val="Normale"/>
    <w:next w:val="Normale"/>
    <w:autoRedefine/>
    <w:uiPriority w:val="39"/>
    <w:unhideWhenUsed/>
    <w:rsid w:val="001C55D9"/>
    <w:pPr>
      <w:tabs>
        <w:tab w:val="left" w:pos="440"/>
        <w:tab w:val="right" w:leader="dot" w:pos="9628"/>
      </w:tabs>
      <w:spacing w:after="100"/>
    </w:pPr>
  </w:style>
  <w:style w:type="character" w:styleId="Collegamentoipertestuale">
    <w:name w:val="Hyperlink"/>
    <w:basedOn w:val="Carpredefinitoparagrafo"/>
    <w:uiPriority w:val="99"/>
    <w:unhideWhenUsed/>
    <w:rsid w:val="001B6020"/>
    <w:rPr>
      <w:color w:val="0000FF" w:themeColor="hyperlink"/>
      <w:u w:val="single"/>
    </w:rPr>
  </w:style>
  <w:style w:type="paragraph" w:styleId="Testofumetto">
    <w:name w:val="Balloon Text"/>
    <w:basedOn w:val="Normale"/>
    <w:link w:val="TestofumettoCarattere"/>
    <w:uiPriority w:val="99"/>
    <w:semiHidden/>
    <w:unhideWhenUsed/>
    <w:rsid w:val="001B6020"/>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B6020"/>
    <w:rPr>
      <w:rFonts w:ascii="Tahoma" w:eastAsiaTheme="minorEastAsia" w:hAnsi="Tahoma" w:cs="Tahoma"/>
      <w:sz w:val="16"/>
      <w:szCs w:val="16"/>
      <w:lang w:eastAsia="it-IT"/>
    </w:rPr>
  </w:style>
  <w:style w:type="paragraph" w:styleId="Intestazione">
    <w:name w:val="header"/>
    <w:basedOn w:val="Normale"/>
    <w:link w:val="IntestazioneCarattere"/>
    <w:uiPriority w:val="99"/>
    <w:unhideWhenUsed/>
    <w:rsid w:val="007F2065"/>
    <w:pPr>
      <w:tabs>
        <w:tab w:val="center" w:pos="4819"/>
        <w:tab w:val="right" w:pos="9638"/>
      </w:tabs>
    </w:pPr>
  </w:style>
  <w:style w:type="character" w:customStyle="1" w:styleId="IntestazioneCarattere">
    <w:name w:val="Intestazione Carattere"/>
    <w:basedOn w:val="Carpredefinitoparagrafo"/>
    <w:link w:val="Intestazione"/>
    <w:uiPriority w:val="99"/>
    <w:rsid w:val="007F2065"/>
    <w:rPr>
      <w:rFonts w:ascii="Times New Roman" w:eastAsiaTheme="minorEastAsia" w:hAnsi="Times New Roman"/>
      <w:sz w:val="24"/>
      <w:szCs w:val="24"/>
      <w:lang w:eastAsia="it-IT"/>
    </w:rPr>
  </w:style>
  <w:style w:type="paragraph" w:styleId="Pidipagina">
    <w:name w:val="footer"/>
    <w:basedOn w:val="Normale"/>
    <w:link w:val="PidipaginaCarattere"/>
    <w:uiPriority w:val="99"/>
    <w:unhideWhenUsed/>
    <w:rsid w:val="007F2065"/>
    <w:pPr>
      <w:tabs>
        <w:tab w:val="center" w:pos="4819"/>
        <w:tab w:val="right" w:pos="9638"/>
      </w:tabs>
    </w:pPr>
  </w:style>
  <w:style w:type="character" w:customStyle="1" w:styleId="PidipaginaCarattere">
    <w:name w:val="Piè di pagina Carattere"/>
    <w:basedOn w:val="Carpredefinitoparagrafo"/>
    <w:link w:val="Pidipagina"/>
    <w:uiPriority w:val="99"/>
    <w:rsid w:val="007F2065"/>
    <w:rPr>
      <w:rFonts w:ascii="Times New Roman" w:eastAsiaTheme="minorEastAsia" w:hAnsi="Times New Roman"/>
      <w:sz w:val="24"/>
      <w:szCs w:val="24"/>
      <w:lang w:eastAsia="it-IT"/>
    </w:rPr>
  </w:style>
  <w:style w:type="character" w:customStyle="1" w:styleId="Titolo2Carattere">
    <w:name w:val="Titolo 2 Carattere"/>
    <w:basedOn w:val="Carpredefinitoparagrafo"/>
    <w:link w:val="Titolo2"/>
    <w:uiPriority w:val="9"/>
    <w:rsid w:val="003F296E"/>
    <w:rPr>
      <w:rFonts w:asciiTheme="majorHAnsi" w:eastAsiaTheme="majorEastAsia" w:hAnsiTheme="majorHAnsi" w:cstheme="majorBidi"/>
      <w:b/>
      <w:bCs/>
      <w:color w:val="4F81BD" w:themeColor="accent1"/>
      <w:sz w:val="26"/>
      <w:szCs w:val="26"/>
      <w:lang w:eastAsia="it-IT"/>
    </w:rPr>
  </w:style>
  <w:style w:type="paragraph" w:styleId="Sommario2">
    <w:name w:val="toc 2"/>
    <w:basedOn w:val="Normale"/>
    <w:next w:val="Normale"/>
    <w:autoRedefine/>
    <w:uiPriority w:val="39"/>
    <w:unhideWhenUsed/>
    <w:rsid w:val="00366810"/>
    <w:pPr>
      <w:spacing w:after="100"/>
      <w:ind w:left="240"/>
    </w:pPr>
  </w:style>
  <w:style w:type="character" w:styleId="Rimandocommento">
    <w:name w:val="annotation reference"/>
    <w:basedOn w:val="Carpredefinitoparagrafo"/>
    <w:uiPriority w:val="99"/>
    <w:rsid w:val="0033226C"/>
    <w:rPr>
      <w:sz w:val="16"/>
      <w:szCs w:val="16"/>
    </w:rPr>
  </w:style>
  <w:style w:type="paragraph" w:styleId="Testocommento">
    <w:name w:val="annotation text"/>
    <w:basedOn w:val="Normale"/>
    <w:link w:val="TestocommentoCarattere1"/>
    <w:uiPriority w:val="99"/>
    <w:rsid w:val="0033226C"/>
    <w:rPr>
      <w:rFonts w:cs="Times New Roman"/>
      <w:sz w:val="20"/>
      <w:szCs w:val="20"/>
    </w:rPr>
  </w:style>
  <w:style w:type="character" w:customStyle="1" w:styleId="TestocommentoCarattere">
    <w:name w:val="Testo commento Carattere"/>
    <w:basedOn w:val="Carpredefinitoparagrafo"/>
    <w:uiPriority w:val="99"/>
    <w:semiHidden/>
    <w:rsid w:val="0033226C"/>
    <w:rPr>
      <w:rFonts w:ascii="Times New Roman" w:eastAsiaTheme="minorEastAsia" w:hAnsi="Times New Roman"/>
      <w:sz w:val="20"/>
      <w:szCs w:val="20"/>
      <w:lang w:eastAsia="it-IT"/>
    </w:rPr>
  </w:style>
  <w:style w:type="character" w:customStyle="1" w:styleId="TestocommentoCarattere1">
    <w:name w:val="Testo commento Carattere1"/>
    <w:basedOn w:val="Carpredefinitoparagrafo"/>
    <w:link w:val="Testocommento"/>
    <w:uiPriority w:val="99"/>
    <w:rsid w:val="0033226C"/>
    <w:rPr>
      <w:rFonts w:ascii="Times New Roman" w:eastAsiaTheme="minorEastAsia" w:hAnsi="Times New Roman" w:cs="Times New Roman"/>
      <w:sz w:val="20"/>
      <w:szCs w:val="20"/>
      <w:lang w:eastAsia="it-IT"/>
    </w:rPr>
  </w:style>
  <w:style w:type="paragraph" w:styleId="Titolo">
    <w:name w:val="Title"/>
    <w:basedOn w:val="Normale"/>
    <w:next w:val="Normale"/>
    <w:link w:val="TitoloCarattere"/>
    <w:uiPriority w:val="10"/>
    <w:qFormat/>
    <w:rsid w:val="006779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677983"/>
    <w:rPr>
      <w:rFonts w:asciiTheme="majorHAnsi" w:eastAsiaTheme="majorEastAsia" w:hAnsiTheme="majorHAnsi" w:cstheme="majorBidi"/>
      <w:color w:val="17365D" w:themeColor="text2" w:themeShade="BF"/>
      <w:spacing w:val="5"/>
      <w:kern w:val="28"/>
      <w:sz w:val="52"/>
      <w:szCs w:val="52"/>
      <w:lang w:eastAsia="it-IT"/>
    </w:rPr>
  </w:style>
  <w:style w:type="paragraph" w:styleId="Soggettocommento">
    <w:name w:val="annotation subject"/>
    <w:basedOn w:val="Testocommento"/>
    <w:next w:val="Testocommento"/>
    <w:link w:val="SoggettocommentoCarattere"/>
    <w:uiPriority w:val="99"/>
    <w:semiHidden/>
    <w:unhideWhenUsed/>
    <w:rsid w:val="00FC30D7"/>
    <w:rPr>
      <w:rFonts w:cstheme="minorBidi"/>
      <w:b/>
      <w:bCs/>
    </w:rPr>
  </w:style>
  <w:style w:type="character" w:customStyle="1" w:styleId="SoggettocommentoCarattere">
    <w:name w:val="Soggetto commento Carattere"/>
    <w:basedOn w:val="TestocommentoCarattere1"/>
    <w:link w:val="Soggettocommento"/>
    <w:uiPriority w:val="99"/>
    <w:semiHidden/>
    <w:rsid w:val="00FC30D7"/>
    <w:rPr>
      <w:rFonts w:ascii="Times New Roman" w:eastAsiaTheme="minorEastAsia" w:hAnsi="Times New Roman" w:cs="Times New Roman"/>
      <w:b/>
      <w:bCs/>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4211734">
      <w:bodyDiv w:val="1"/>
      <w:marLeft w:val="0"/>
      <w:marRight w:val="0"/>
      <w:marTop w:val="0"/>
      <w:marBottom w:val="0"/>
      <w:divBdr>
        <w:top w:val="none" w:sz="0" w:space="0" w:color="auto"/>
        <w:left w:val="none" w:sz="0" w:space="0" w:color="auto"/>
        <w:bottom w:val="none" w:sz="0" w:space="0" w:color="auto"/>
        <w:right w:val="none" w:sz="0" w:space="0" w:color="auto"/>
      </w:divBdr>
    </w:div>
    <w:div w:id="1592735095">
      <w:bodyDiv w:val="1"/>
      <w:marLeft w:val="0"/>
      <w:marRight w:val="0"/>
      <w:marTop w:val="0"/>
      <w:marBottom w:val="0"/>
      <w:divBdr>
        <w:top w:val="none" w:sz="0" w:space="0" w:color="auto"/>
        <w:left w:val="none" w:sz="0" w:space="0" w:color="auto"/>
        <w:bottom w:val="none" w:sz="0" w:space="0" w:color="auto"/>
        <w:right w:val="none" w:sz="0" w:space="0" w:color="auto"/>
      </w:divBdr>
    </w:div>
    <w:div w:id="169209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AEB86-92DC-4994-93F6-EABF37B34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24</Pages>
  <Words>4641</Words>
  <Characters>26456</Characters>
  <Application>Microsoft Office Word</Application>
  <DocSecurity>0</DocSecurity>
  <Lines>220</Lines>
  <Paragraphs>62</Paragraphs>
  <ScaleCrop>false</ScaleCrop>
  <HeadingPairs>
    <vt:vector size="2" baseType="variant">
      <vt:variant>
        <vt:lpstr>Titolo</vt:lpstr>
      </vt:variant>
      <vt:variant>
        <vt:i4>1</vt:i4>
      </vt:variant>
    </vt:vector>
  </HeadingPairs>
  <TitlesOfParts>
    <vt:vector size="1" baseType="lpstr">
      <vt:lpstr/>
    </vt:vector>
  </TitlesOfParts>
  <Company>Administrator</Company>
  <LinksUpToDate>false</LinksUpToDate>
  <CharactersWithSpaces>31035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Armando Leoni</cp:lastModifiedBy>
  <cp:revision>5</cp:revision>
  <cp:lastPrinted>2019-09-30T14:52:00Z</cp:lastPrinted>
  <dcterms:created xsi:type="dcterms:W3CDTF">2020-10-19T17:39:00Z</dcterms:created>
  <dcterms:modified xsi:type="dcterms:W3CDTF">2020-11-04T16:15:00Z</dcterms:modified>
</cp:coreProperties>
</file>