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E1A12" w:rsidRDefault="00000000">
      <w:pPr>
        <w:pStyle w:val="Titolo"/>
        <w:rPr>
          <w:rFonts w:ascii="Calibri" w:eastAsia="Calibri" w:hAnsi="Calibri" w:cs="Calibri"/>
        </w:rPr>
      </w:pPr>
      <w:r>
        <w:rPr>
          <w:rFonts w:ascii="Calibri" w:eastAsia="Calibri" w:hAnsi="Calibri" w:cs="Calibri"/>
          <w:noProof/>
        </w:rPr>
        <w:drawing>
          <wp:inline distT="0" distB="0" distL="0" distR="0">
            <wp:extent cx="6120130" cy="821499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120130" cy="8214995"/>
                    </a:xfrm>
                    <a:prstGeom prst="rect">
                      <a:avLst/>
                    </a:prstGeom>
                    <a:ln/>
                  </pic:spPr>
                </pic:pic>
              </a:graphicData>
            </a:graphic>
          </wp:inline>
        </w:drawing>
      </w:r>
    </w:p>
    <w:p w14:paraId="00000002" w14:textId="77777777" w:rsidR="003E1A12" w:rsidRDefault="003E1A12">
      <w:pPr>
        <w:pStyle w:val="Titolo"/>
      </w:pPr>
    </w:p>
    <w:p w14:paraId="00000003" w14:textId="77777777" w:rsidR="003E1A12" w:rsidRDefault="003E1A12">
      <w:pPr>
        <w:pStyle w:val="Titolo"/>
      </w:pPr>
    </w:p>
    <w:p w14:paraId="00000004" w14:textId="77777777" w:rsidR="003E1A12" w:rsidRDefault="00000000">
      <w:pPr>
        <w:pStyle w:val="Titolo"/>
        <w:ind w:left="567"/>
        <w:jc w:val="left"/>
        <w:rPr>
          <w:b/>
          <w:color w:val="2F5496"/>
          <w:sz w:val="48"/>
          <w:szCs w:val="48"/>
        </w:rPr>
      </w:pPr>
      <w:bookmarkStart w:id="0" w:name="_heading=h.1lk8w3kqfijs" w:colFirst="0" w:colLast="0"/>
      <w:bookmarkEnd w:id="0"/>
      <w:r>
        <w:rPr>
          <w:b/>
          <w:color w:val="2F5496"/>
          <w:sz w:val="48"/>
          <w:szCs w:val="48"/>
        </w:rPr>
        <w:t>Riuso VBG/SUAPE 3.0</w:t>
      </w:r>
    </w:p>
    <w:p w14:paraId="00000005" w14:textId="77777777" w:rsidR="003E1A12" w:rsidRDefault="00000000">
      <w:pPr>
        <w:ind w:left="567"/>
        <w:jc w:val="left"/>
        <w:rPr>
          <w:rFonts w:ascii="Calibri" w:hAnsi="Calibri"/>
          <w:b/>
          <w:color w:val="2F5496"/>
          <w:sz w:val="38"/>
          <w:szCs w:val="38"/>
        </w:rPr>
      </w:pPr>
      <w:r>
        <w:rPr>
          <w:rFonts w:ascii="Calibri" w:hAnsi="Calibri"/>
          <w:b/>
          <w:color w:val="2F5496"/>
          <w:sz w:val="38"/>
          <w:szCs w:val="38"/>
        </w:rPr>
        <w:t>KIT di riuso Fase A - Ricerca e selezione della soluzione</w:t>
      </w:r>
    </w:p>
    <w:p w14:paraId="00000006" w14:textId="77777777" w:rsidR="003E1A12" w:rsidRDefault="00000000">
      <w:pPr>
        <w:ind w:left="567"/>
        <w:jc w:val="left"/>
        <w:rPr>
          <w:rFonts w:ascii="Calibri" w:hAnsi="Calibri"/>
          <w:b/>
          <w:color w:val="2F5496"/>
          <w:sz w:val="36"/>
          <w:szCs w:val="36"/>
          <w:u w:val="single"/>
        </w:rPr>
      </w:pPr>
      <w:r>
        <w:rPr>
          <w:rFonts w:ascii="Calibri" w:hAnsi="Calibri"/>
          <w:b/>
          <w:color w:val="2F5496"/>
          <w:sz w:val="36"/>
          <w:szCs w:val="36"/>
          <w:u w:val="single"/>
        </w:rPr>
        <w:t>A2. Strumenti organizzativi</w:t>
      </w:r>
    </w:p>
    <w:p w14:paraId="00000007" w14:textId="77777777" w:rsidR="003E1A12" w:rsidRDefault="00000000">
      <w:pPr>
        <w:ind w:left="567"/>
        <w:jc w:val="left"/>
        <w:rPr>
          <w:rFonts w:ascii="Calibri" w:hAnsi="Calibri"/>
          <w:b/>
          <w:color w:val="2F5496"/>
          <w:sz w:val="28"/>
          <w:szCs w:val="28"/>
        </w:rPr>
      </w:pPr>
      <w:r>
        <w:rPr>
          <w:rFonts w:ascii="Calibri" w:hAnsi="Calibri"/>
          <w:b/>
          <w:color w:val="2F5496"/>
          <w:sz w:val="28"/>
          <w:szCs w:val="28"/>
        </w:rPr>
        <w:t>A2.1 Fattori organizzativi di successo</w:t>
      </w:r>
    </w:p>
    <w:p w14:paraId="00000008" w14:textId="77777777" w:rsidR="003E1A12" w:rsidRDefault="00000000">
      <w:pPr>
        <w:ind w:left="567"/>
        <w:jc w:val="left"/>
        <w:rPr>
          <w:rFonts w:ascii="Calibri" w:hAnsi="Calibri"/>
          <w:b/>
          <w:color w:val="2F5496"/>
          <w:sz w:val="28"/>
          <w:szCs w:val="28"/>
        </w:rPr>
      </w:pPr>
      <w:r>
        <w:rPr>
          <w:rFonts w:ascii="Calibri" w:hAnsi="Calibri"/>
          <w:b/>
          <w:color w:val="2F5496"/>
          <w:sz w:val="28"/>
          <w:szCs w:val="28"/>
        </w:rPr>
        <w:t>A2.2 Check list di autovalutazione dei fattori organizzativi</w:t>
      </w:r>
    </w:p>
    <w:p w14:paraId="00000009" w14:textId="77777777" w:rsidR="003E1A12" w:rsidRDefault="003E1A12">
      <w:pPr>
        <w:ind w:left="567"/>
        <w:jc w:val="left"/>
        <w:rPr>
          <w:rFonts w:ascii="Calibri" w:hAnsi="Calibri"/>
          <w:b/>
          <w:color w:val="2F5496"/>
          <w:sz w:val="40"/>
          <w:szCs w:val="40"/>
        </w:rPr>
      </w:pPr>
    </w:p>
    <w:p w14:paraId="0000000A" w14:textId="77777777" w:rsidR="003E1A12" w:rsidRDefault="003E1A12">
      <w:pPr>
        <w:ind w:left="567"/>
        <w:jc w:val="left"/>
        <w:rPr>
          <w:rFonts w:ascii="Calibri" w:hAnsi="Calibri"/>
          <w:b/>
          <w:color w:val="2F5496"/>
          <w:sz w:val="40"/>
          <w:szCs w:val="40"/>
        </w:rPr>
      </w:pPr>
    </w:p>
    <w:p w14:paraId="0000000B" w14:textId="77777777" w:rsidR="003E1A12" w:rsidRDefault="00000000">
      <w:pPr>
        <w:ind w:left="567"/>
        <w:rPr>
          <w:rFonts w:ascii="Calibri" w:hAnsi="Calibri"/>
        </w:rPr>
      </w:pPr>
      <w:r>
        <w:rPr>
          <w:rFonts w:ascii="Calibri" w:hAnsi="Calibri"/>
        </w:rPr>
        <w:t>Versione: 1.0</w:t>
      </w:r>
    </w:p>
    <w:p w14:paraId="0000000C" w14:textId="77777777" w:rsidR="003E1A12" w:rsidRDefault="00000000">
      <w:pPr>
        <w:rPr>
          <w:rFonts w:ascii="Calibri" w:hAnsi="Calibri"/>
        </w:rPr>
      </w:pPr>
      <w:r>
        <w:br w:type="page"/>
      </w:r>
    </w:p>
    <w:p w14:paraId="0000000D" w14:textId="77777777" w:rsidR="003E1A12" w:rsidRDefault="003E1A12">
      <w:pPr>
        <w:pStyle w:val="Titolo1"/>
      </w:pPr>
    </w:p>
    <w:p w14:paraId="0000000E" w14:textId="77777777" w:rsidR="003E1A12" w:rsidRDefault="00000000">
      <w:pPr>
        <w:keepNext/>
        <w:keepLines/>
        <w:pBdr>
          <w:top w:val="nil"/>
          <w:left w:val="nil"/>
          <w:bottom w:val="nil"/>
          <w:right w:val="nil"/>
          <w:between w:val="nil"/>
        </w:pBdr>
        <w:spacing w:before="480" w:after="240" w:line="276" w:lineRule="auto"/>
        <w:jc w:val="left"/>
        <w:rPr>
          <w:rFonts w:ascii="Calibri" w:hAnsi="Calibri"/>
          <w:color w:val="2F5496"/>
          <w:sz w:val="28"/>
          <w:szCs w:val="28"/>
        </w:rPr>
      </w:pPr>
      <w:r>
        <w:rPr>
          <w:rFonts w:ascii="Calibri" w:hAnsi="Calibri"/>
          <w:color w:val="2F5496"/>
          <w:sz w:val="28"/>
          <w:szCs w:val="28"/>
        </w:rPr>
        <w:t>Sommario</w:t>
      </w:r>
    </w:p>
    <w:sdt>
      <w:sdtPr>
        <w:id w:val="-573124260"/>
        <w:docPartObj>
          <w:docPartGallery w:val="Table of Contents"/>
          <w:docPartUnique/>
        </w:docPartObj>
      </w:sdtPr>
      <w:sdtEndPr>
        <w:rPr>
          <w:rFonts w:asciiTheme="majorHAnsi" w:hAnsiTheme="majorHAnsi" w:cs="Calibri"/>
          <w:b w:val="0"/>
          <w:bCs w:val="0"/>
          <w:i w:val="0"/>
          <w:iCs w:val="0"/>
          <w:sz w:val="22"/>
          <w:szCs w:val="22"/>
        </w:rPr>
      </w:sdtEndPr>
      <w:sdtContent>
        <w:p w14:paraId="0A80E2C6" w14:textId="45018DF3" w:rsidR="00BC46FE"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871231" w:history="1">
            <w:r w:rsidR="00BC46FE" w:rsidRPr="00686D7B">
              <w:rPr>
                <w:rStyle w:val="Collegamentoipertestuale"/>
                <w:rFonts w:ascii="Calibri" w:hAnsi="Calibri" w:cs="Calibri"/>
                <w:noProof/>
              </w:rPr>
              <w:t>Premessa</w:t>
            </w:r>
            <w:r w:rsidR="00BC46FE">
              <w:rPr>
                <w:noProof/>
                <w:webHidden/>
              </w:rPr>
              <w:tab/>
            </w:r>
            <w:r w:rsidR="00BC46FE">
              <w:rPr>
                <w:noProof/>
                <w:webHidden/>
              </w:rPr>
              <w:fldChar w:fldCharType="begin"/>
            </w:r>
            <w:r w:rsidR="00BC46FE">
              <w:rPr>
                <w:noProof/>
                <w:webHidden/>
              </w:rPr>
              <w:instrText xml:space="preserve"> PAGEREF _Toc117871231 \h </w:instrText>
            </w:r>
            <w:r w:rsidR="00BC46FE">
              <w:rPr>
                <w:noProof/>
                <w:webHidden/>
              </w:rPr>
            </w:r>
            <w:r w:rsidR="00BC46FE">
              <w:rPr>
                <w:noProof/>
                <w:webHidden/>
              </w:rPr>
              <w:fldChar w:fldCharType="separate"/>
            </w:r>
            <w:r w:rsidR="00D165A1">
              <w:rPr>
                <w:noProof/>
                <w:webHidden/>
              </w:rPr>
              <w:t>3</w:t>
            </w:r>
            <w:r w:rsidR="00BC46FE">
              <w:rPr>
                <w:noProof/>
                <w:webHidden/>
              </w:rPr>
              <w:fldChar w:fldCharType="end"/>
            </w:r>
          </w:hyperlink>
        </w:p>
        <w:p w14:paraId="0D887BCE" w14:textId="6AAD0347" w:rsidR="00BC46FE" w:rsidRDefault="00BC46FE">
          <w:pPr>
            <w:pStyle w:val="Sommario2"/>
            <w:tabs>
              <w:tab w:val="left" w:pos="600"/>
              <w:tab w:val="right" w:pos="9628"/>
            </w:tabs>
            <w:rPr>
              <w:rFonts w:eastAsiaTheme="minorEastAsia" w:cstheme="minorBidi"/>
              <w:b w:val="0"/>
              <w:bCs w:val="0"/>
              <w:noProof/>
            </w:rPr>
          </w:pPr>
          <w:hyperlink w:anchor="_Toc117871232" w:history="1">
            <w:r w:rsidRPr="00686D7B">
              <w:rPr>
                <w:rStyle w:val="Collegamentoipertestuale"/>
                <w:rFonts w:ascii="Calibri" w:hAnsi="Calibri" w:cs="Calibri"/>
                <w:noProof/>
              </w:rPr>
              <w:t>1.</w:t>
            </w:r>
            <w:r>
              <w:rPr>
                <w:rFonts w:eastAsiaTheme="minorEastAsia" w:cstheme="minorBidi"/>
                <w:b w:val="0"/>
                <w:bCs w:val="0"/>
                <w:noProof/>
              </w:rPr>
              <w:tab/>
            </w:r>
            <w:r w:rsidRPr="00686D7B">
              <w:rPr>
                <w:rStyle w:val="Collegamentoipertestuale"/>
                <w:rFonts w:ascii="Calibri" w:hAnsi="Calibri" w:cs="Calibri"/>
                <w:noProof/>
              </w:rPr>
              <w:t>Fattori organizzativi abilitanti e ostacolanti</w:t>
            </w:r>
            <w:r>
              <w:rPr>
                <w:noProof/>
                <w:webHidden/>
              </w:rPr>
              <w:tab/>
            </w:r>
            <w:r>
              <w:rPr>
                <w:noProof/>
                <w:webHidden/>
              </w:rPr>
              <w:fldChar w:fldCharType="begin"/>
            </w:r>
            <w:r>
              <w:rPr>
                <w:noProof/>
                <w:webHidden/>
              </w:rPr>
              <w:instrText xml:space="preserve"> PAGEREF _Toc117871232 \h </w:instrText>
            </w:r>
            <w:r>
              <w:rPr>
                <w:noProof/>
                <w:webHidden/>
              </w:rPr>
            </w:r>
            <w:r>
              <w:rPr>
                <w:noProof/>
                <w:webHidden/>
              </w:rPr>
              <w:fldChar w:fldCharType="separate"/>
            </w:r>
            <w:r w:rsidR="00D165A1">
              <w:rPr>
                <w:noProof/>
                <w:webHidden/>
              </w:rPr>
              <w:t>3</w:t>
            </w:r>
            <w:r>
              <w:rPr>
                <w:noProof/>
                <w:webHidden/>
              </w:rPr>
              <w:fldChar w:fldCharType="end"/>
            </w:r>
          </w:hyperlink>
        </w:p>
        <w:p w14:paraId="48025851" w14:textId="2BE1DEA7" w:rsidR="00BC46FE" w:rsidRDefault="00BC46FE">
          <w:pPr>
            <w:pStyle w:val="Sommario3"/>
            <w:tabs>
              <w:tab w:val="left" w:pos="1000"/>
              <w:tab w:val="right" w:pos="9628"/>
            </w:tabs>
            <w:rPr>
              <w:rFonts w:eastAsiaTheme="minorEastAsia" w:cstheme="minorBidi"/>
              <w:noProof/>
              <w:szCs w:val="22"/>
            </w:rPr>
          </w:pPr>
          <w:hyperlink w:anchor="_Toc117871233" w:history="1">
            <w:r w:rsidRPr="00686D7B">
              <w:rPr>
                <w:rStyle w:val="Collegamentoipertestuale"/>
                <w:rFonts w:ascii="Calibri" w:hAnsi="Calibri" w:cs="Calibri"/>
                <w:noProof/>
              </w:rPr>
              <w:t>1.1.</w:t>
            </w:r>
            <w:r>
              <w:rPr>
                <w:rFonts w:eastAsiaTheme="minorEastAsia" w:cstheme="minorBidi"/>
                <w:noProof/>
                <w:szCs w:val="22"/>
              </w:rPr>
              <w:tab/>
            </w:r>
            <w:r w:rsidRPr="00686D7B">
              <w:rPr>
                <w:rStyle w:val="Collegamentoipertestuale"/>
                <w:rFonts w:ascii="Calibri" w:hAnsi="Calibri" w:cs="Calibri"/>
                <w:noProof/>
              </w:rPr>
              <w:t>Fattori organizzativi individuati per l’esperienza</w:t>
            </w:r>
            <w:r>
              <w:rPr>
                <w:noProof/>
                <w:webHidden/>
              </w:rPr>
              <w:tab/>
            </w:r>
            <w:r>
              <w:rPr>
                <w:noProof/>
                <w:webHidden/>
              </w:rPr>
              <w:fldChar w:fldCharType="begin"/>
            </w:r>
            <w:r>
              <w:rPr>
                <w:noProof/>
                <w:webHidden/>
              </w:rPr>
              <w:instrText xml:space="preserve"> PAGEREF _Toc117871233 \h </w:instrText>
            </w:r>
            <w:r>
              <w:rPr>
                <w:noProof/>
                <w:webHidden/>
              </w:rPr>
            </w:r>
            <w:r>
              <w:rPr>
                <w:noProof/>
                <w:webHidden/>
              </w:rPr>
              <w:fldChar w:fldCharType="separate"/>
            </w:r>
            <w:r w:rsidR="00D165A1">
              <w:rPr>
                <w:noProof/>
                <w:webHidden/>
              </w:rPr>
              <w:t>3</w:t>
            </w:r>
            <w:r>
              <w:rPr>
                <w:noProof/>
                <w:webHidden/>
              </w:rPr>
              <w:fldChar w:fldCharType="end"/>
            </w:r>
          </w:hyperlink>
        </w:p>
        <w:p w14:paraId="1D02E409" w14:textId="69A0119A" w:rsidR="00BC46FE" w:rsidRDefault="00BC46FE">
          <w:pPr>
            <w:pStyle w:val="Sommario3"/>
            <w:tabs>
              <w:tab w:val="left" w:pos="1000"/>
              <w:tab w:val="right" w:pos="9628"/>
            </w:tabs>
            <w:rPr>
              <w:rFonts w:eastAsiaTheme="minorEastAsia" w:cstheme="minorBidi"/>
              <w:noProof/>
              <w:szCs w:val="22"/>
            </w:rPr>
          </w:pPr>
          <w:hyperlink w:anchor="_Toc117871234" w:history="1">
            <w:r w:rsidRPr="00686D7B">
              <w:rPr>
                <w:rStyle w:val="Collegamentoipertestuale"/>
                <w:rFonts w:ascii="Calibri" w:hAnsi="Calibri" w:cs="Calibri"/>
                <w:noProof/>
              </w:rPr>
              <w:t>1.2.</w:t>
            </w:r>
            <w:r>
              <w:rPr>
                <w:rFonts w:eastAsiaTheme="minorEastAsia" w:cstheme="minorBidi"/>
                <w:noProof/>
                <w:szCs w:val="22"/>
              </w:rPr>
              <w:tab/>
            </w:r>
            <w:r w:rsidRPr="00686D7B">
              <w:rPr>
                <w:rStyle w:val="Collegamentoipertestuale"/>
                <w:rFonts w:ascii="Calibri" w:hAnsi="Calibri" w:cs="Calibri"/>
                <w:noProof/>
              </w:rPr>
              <w:t>Impatto dei fattori sul Processo di riuso</w:t>
            </w:r>
            <w:r>
              <w:rPr>
                <w:noProof/>
                <w:webHidden/>
              </w:rPr>
              <w:tab/>
            </w:r>
            <w:r>
              <w:rPr>
                <w:noProof/>
                <w:webHidden/>
              </w:rPr>
              <w:fldChar w:fldCharType="begin"/>
            </w:r>
            <w:r>
              <w:rPr>
                <w:noProof/>
                <w:webHidden/>
              </w:rPr>
              <w:instrText xml:space="preserve"> PAGEREF _Toc117871234 \h </w:instrText>
            </w:r>
            <w:r>
              <w:rPr>
                <w:noProof/>
                <w:webHidden/>
              </w:rPr>
            </w:r>
            <w:r>
              <w:rPr>
                <w:noProof/>
                <w:webHidden/>
              </w:rPr>
              <w:fldChar w:fldCharType="separate"/>
            </w:r>
            <w:r w:rsidR="00D165A1">
              <w:rPr>
                <w:noProof/>
                <w:webHidden/>
              </w:rPr>
              <w:t>3</w:t>
            </w:r>
            <w:r>
              <w:rPr>
                <w:noProof/>
                <w:webHidden/>
              </w:rPr>
              <w:fldChar w:fldCharType="end"/>
            </w:r>
          </w:hyperlink>
        </w:p>
        <w:p w14:paraId="12F2E11F" w14:textId="1915E65F" w:rsidR="00BC46FE" w:rsidRDefault="00BC46FE">
          <w:pPr>
            <w:pStyle w:val="Sommario2"/>
            <w:tabs>
              <w:tab w:val="left" w:pos="600"/>
              <w:tab w:val="right" w:pos="9628"/>
            </w:tabs>
            <w:rPr>
              <w:rFonts w:eastAsiaTheme="minorEastAsia" w:cstheme="minorBidi"/>
              <w:b w:val="0"/>
              <w:bCs w:val="0"/>
              <w:noProof/>
            </w:rPr>
          </w:pPr>
          <w:hyperlink w:anchor="_Toc117871235" w:history="1">
            <w:r w:rsidRPr="00686D7B">
              <w:rPr>
                <w:rStyle w:val="Collegamentoipertestuale"/>
                <w:rFonts w:ascii="Calibri" w:hAnsi="Calibri" w:cs="Calibri"/>
                <w:noProof/>
              </w:rPr>
              <w:t>2.</w:t>
            </w:r>
            <w:r>
              <w:rPr>
                <w:rFonts w:eastAsiaTheme="minorEastAsia" w:cstheme="minorBidi"/>
                <w:b w:val="0"/>
                <w:bCs w:val="0"/>
                <w:noProof/>
              </w:rPr>
              <w:tab/>
            </w:r>
            <w:r w:rsidRPr="00686D7B">
              <w:rPr>
                <w:rStyle w:val="Collegamentoipertestuale"/>
                <w:rFonts w:ascii="Calibri" w:hAnsi="Calibri" w:cs="Calibri"/>
                <w:noProof/>
              </w:rPr>
              <w:t>Check list di autovalutazione dei fattori organizzativi</w:t>
            </w:r>
            <w:r>
              <w:rPr>
                <w:noProof/>
                <w:webHidden/>
              </w:rPr>
              <w:tab/>
            </w:r>
            <w:r>
              <w:rPr>
                <w:noProof/>
                <w:webHidden/>
              </w:rPr>
              <w:fldChar w:fldCharType="begin"/>
            </w:r>
            <w:r>
              <w:rPr>
                <w:noProof/>
                <w:webHidden/>
              </w:rPr>
              <w:instrText xml:space="preserve"> PAGEREF _Toc117871235 \h </w:instrText>
            </w:r>
            <w:r>
              <w:rPr>
                <w:noProof/>
                <w:webHidden/>
              </w:rPr>
            </w:r>
            <w:r>
              <w:rPr>
                <w:noProof/>
                <w:webHidden/>
              </w:rPr>
              <w:fldChar w:fldCharType="separate"/>
            </w:r>
            <w:r w:rsidR="00D165A1">
              <w:rPr>
                <w:noProof/>
                <w:webHidden/>
              </w:rPr>
              <w:t>3</w:t>
            </w:r>
            <w:r>
              <w:rPr>
                <w:noProof/>
                <w:webHidden/>
              </w:rPr>
              <w:fldChar w:fldCharType="end"/>
            </w:r>
          </w:hyperlink>
        </w:p>
        <w:p w14:paraId="00000014" w14:textId="0AB3306A" w:rsidR="003E1A12" w:rsidRDefault="00000000">
          <w:r>
            <w:fldChar w:fldCharType="end"/>
          </w:r>
        </w:p>
      </w:sdtContent>
    </w:sdt>
    <w:p w14:paraId="00000015" w14:textId="77777777" w:rsidR="003E1A12" w:rsidRDefault="00000000">
      <w:r>
        <w:br w:type="page"/>
      </w:r>
    </w:p>
    <w:p w14:paraId="00000016" w14:textId="77777777" w:rsidR="003E1A12" w:rsidRDefault="00000000">
      <w:pPr>
        <w:pStyle w:val="Titolo1"/>
        <w:rPr>
          <w:rFonts w:ascii="Calibri" w:eastAsia="Calibri" w:hAnsi="Calibri" w:cs="Calibri"/>
        </w:rPr>
      </w:pPr>
      <w:bookmarkStart w:id="1" w:name="_Toc117871231"/>
      <w:r>
        <w:rPr>
          <w:rFonts w:ascii="Calibri" w:eastAsia="Calibri" w:hAnsi="Calibri" w:cs="Calibri"/>
        </w:rPr>
        <w:lastRenderedPageBreak/>
        <w:t>Premessa</w:t>
      </w:r>
      <w:bookmarkEnd w:id="1"/>
    </w:p>
    <w:p w14:paraId="00000017" w14:textId="77777777" w:rsidR="003E1A12" w:rsidRDefault="00000000">
      <w:pPr>
        <w:rPr>
          <w:rFonts w:ascii="Calibri" w:hAnsi="Calibri"/>
        </w:rPr>
      </w:pPr>
      <w:bookmarkStart w:id="2" w:name="_heading=h.30j0zll" w:colFirst="0" w:colLast="0"/>
      <w:bookmarkEnd w:id="2"/>
      <w:r>
        <w:rPr>
          <w:rFonts w:ascii="Calibri" w:hAnsi="Calibri"/>
        </w:rPr>
        <w:t>Il presente documento raccoglie gli strumenti organizzativi del kit di riuso per la fase A – Ricerca e selezione della soluzione. Essi, come previsto dall’Avviso OCPA2020</w:t>
      </w:r>
      <w:r>
        <w:rPr>
          <w:rFonts w:ascii="Calibri" w:hAnsi="Calibri"/>
          <w:vertAlign w:val="superscript"/>
        </w:rPr>
        <w:footnoteReference w:id="1"/>
      </w:r>
      <w:r>
        <w:rPr>
          <w:rFonts w:ascii="Calibri" w:hAnsi="Calibri"/>
        </w:rPr>
        <w:t>, hanno lo scopo di fornire al riusante un modo per valutare i fattori relativi interni ed esterni alla propria realtà che possono influenzare, positivamente o negativamente, il trasferimento e l’adozione della soluzione.</w:t>
      </w:r>
    </w:p>
    <w:p w14:paraId="00000018" w14:textId="77777777" w:rsidR="003E1A12" w:rsidRDefault="00000000">
      <w:pPr>
        <w:pStyle w:val="Titolo2"/>
        <w:numPr>
          <w:ilvl w:val="0"/>
          <w:numId w:val="2"/>
        </w:numPr>
        <w:rPr>
          <w:rFonts w:ascii="Calibri" w:hAnsi="Calibri" w:cs="Calibri"/>
        </w:rPr>
      </w:pPr>
      <w:bookmarkStart w:id="4" w:name="_Toc117871232"/>
      <w:r>
        <w:rPr>
          <w:rFonts w:ascii="Calibri" w:hAnsi="Calibri" w:cs="Calibri"/>
        </w:rPr>
        <w:t>Fattori organizzativi abilitanti e ostacolanti</w:t>
      </w:r>
      <w:bookmarkEnd w:id="4"/>
    </w:p>
    <w:p w14:paraId="00000019" w14:textId="77777777" w:rsidR="003E1A12" w:rsidRDefault="00000000">
      <w:pPr>
        <w:rPr>
          <w:rFonts w:ascii="Calibri" w:hAnsi="Calibri"/>
        </w:rPr>
      </w:pPr>
      <w:r>
        <w:rPr>
          <w:rFonts w:ascii="Calibri" w:hAnsi="Calibri"/>
        </w:rPr>
        <w:t xml:space="preserve">Utile, al riguardo, è sicuramente l’esperienza delle Amministrazioni che, avendo in precedenza adottato la soluzione, hanno individuato e descritto sia i fattori che hanno maggiormente contribuito al successo nell’adozione del riuso, sia quelli ostacolanti. </w:t>
      </w:r>
    </w:p>
    <w:p w14:paraId="0000001A" w14:textId="77777777" w:rsidR="003E1A12" w:rsidRDefault="00000000">
      <w:pPr>
        <w:pStyle w:val="Titolo3"/>
        <w:numPr>
          <w:ilvl w:val="1"/>
          <w:numId w:val="2"/>
        </w:numPr>
        <w:rPr>
          <w:rFonts w:ascii="Calibri" w:hAnsi="Calibri" w:cs="Calibri"/>
        </w:rPr>
      </w:pPr>
      <w:bookmarkStart w:id="5" w:name="_Toc117871233"/>
      <w:r>
        <w:rPr>
          <w:rFonts w:ascii="Calibri" w:hAnsi="Calibri" w:cs="Calibri"/>
        </w:rPr>
        <w:t>Fattori organizzativi individuati per l’esperienza</w:t>
      </w:r>
      <w:bookmarkEnd w:id="5"/>
    </w:p>
    <w:p w14:paraId="0000001B" w14:textId="77777777" w:rsidR="003E1A12" w:rsidRDefault="00000000">
      <w:pPr>
        <w:pBdr>
          <w:top w:val="nil"/>
          <w:left w:val="nil"/>
          <w:bottom w:val="nil"/>
          <w:right w:val="nil"/>
          <w:between w:val="nil"/>
        </w:pBdr>
        <w:rPr>
          <w:rFonts w:ascii="Calibri" w:hAnsi="Calibri"/>
          <w:i/>
          <w:color w:val="000000"/>
          <w:sz w:val="20"/>
          <w:szCs w:val="20"/>
        </w:rPr>
      </w:pPr>
      <w:r>
        <w:rPr>
          <w:i/>
          <w:sz w:val="20"/>
          <w:szCs w:val="20"/>
        </w:rPr>
        <w:t>Si rimanda in allegato al prospetto A2R</w:t>
      </w:r>
    </w:p>
    <w:p w14:paraId="0000001C" w14:textId="77777777" w:rsidR="003E1A12" w:rsidRDefault="00000000">
      <w:pPr>
        <w:pStyle w:val="Titolo3"/>
        <w:numPr>
          <w:ilvl w:val="1"/>
          <w:numId w:val="2"/>
        </w:numPr>
        <w:rPr>
          <w:rFonts w:ascii="Calibri" w:hAnsi="Calibri" w:cs="Calibri"/>
        </w:rPr>
      </w:pPr>
      <w:bookmarkStart w:id="6" w:name="_Toc117871234"/>
      <w:r>
        <w:rPr>
          <w:rFonts w:ascii="Calibri" w:hAnsi="Calibri" w:cs="Calibri"/>
        </w:rPr>
        <w:t>Impatto dei fattori sul Processo di riuso</w:t>
      </w:r>
      <w:bookmarkEnd w:id="6"/>
    </w:p>
    <w:p w14:paraId="0000001D" w14:textId="77777777" w:rsidR="003E1A12" w:rsidRDefault="00000000">
      <w:pPr>
        <w:pBdr>
          <w:top w:val="nil"/>
          <w:left w:val="nil"/>
          <w:bottom w:val="nil"/>
          <w:right w:val="nil"/>
          <w:between w:val="nil"/>
        </w:pBdr>
        <w:spacing w:after="0"/>
        <w:rPr>
          <w:rFonts w:ascii="Calibri" w:hAnsi="Calibri"/>
          <w:color w:val="000000"/>
        </w:rPr>
      </w:pPr>
      <w:r>
        <w:rPr>
          <w:rFonts w:ascii="Calibri" w:hAnsi="Calibri"/>
          <w:color w:val="000000"/>
        </w:rPr>
        <w:t>Per la redazione della presente sezione dedicata agli impatti e alle strategie adottate, a uso e supporto del Riusante, il Cedente potrà utilizzare la seguente tabella riepilogativa, evidenziando come i fattori impattino sul processo di riuso, in termini qualitativi e, ove possibile e applicabile, in termini quantitativi (impatti sulla soddisfazione dell’utenza; impatti sull’efficienza dei processi; diminuzione dei tempi o dei costi di progetto, etc.). Questa tabella, riportata eventualmente nell’allegato A2R – Fattori organizzativi Enti Riusanti, può essere utilizzata dal Riusante come tool di autovalutazione, consentendo di valutare la fattibilità del progetto di riuso calato nel contesto della propria realtà.</w:t>
      </w:r>
    </w:p>
    <w:p w14:paraId="0000001E" w14:textId="77777777" w:rsidR="003E1A12" w:rsidRDefault="00000000">
      <w:pPr>
        <w:pBdr>
          <w:top w:val="nil"/>
          <w:left w:val="nil"/>
          <w:bottom w:val="nil"/>
          <w:right w:val="nil"/>
          <w:between w:val="nil"/>
        </w:pBdr>
        <w:spacing w:after="0"/>
        <w:rPr>
          <w:rFonts w:ascii="Calibri" w:hAnsi="Calibri"/>
          <w:color w:val="000000"/>
        </w:rPr>
      </w:pPr>
      <w:r>
        <w:rPr>
          <w:rFonts w:ascii="Calibri" w:hAnsi="Calibri"/>
          <w:color w:val="000000"/>
        </w:rPr>
        <w:t>Per i fattori che costituiscono una potenziale fonte di rallentamento o rischio di fallimento nell’adozione della soluzione, potranno essere forniti suggerimenti o strategie per superarli o almeno compensarli.</w:t>
      </w:r>
    </w:p>
    <w:p w14:paraId="0000001F" w14:textId="719961C5" w:rsidR="003E1A12" w:rsidRDefault="00000000">
      <w:pPr>
        <w:pBdr>
          <w:top w:val="nil"/>
          <w:left w:val="nil"/>
          <w:bottom w:val="nil"/>
          <w:right w:val="nil"/>
          <w:between w:val="nil"/>
        </w:pBdr>
        <w:spacing w:after="0"/>
        <w:rPr>
          <w:rFonts w:ascii="Calibri" w:hAnsi="Calibri"/>
          <w:color w:val="000000"/>
        </w:rPr>
      </w:pPr>
      <w:r>
        <w:rPr>
          <w:rFonts w:ascii="Calibri" w:hAnsi="Calibri"/>
          <w:color w:val="000000"/>
        </w:rPr>
        <w:t>La tabella, se trattata attraverso il documento A2R, dovrebbe essere gestita dal Cedente in modo dinamico. Si consiglia, al riguardo, una documentazione che il Cedente potrà fornire ad hoc al Riusante, eventualmente anche solo utilizzando gli stessi documenti A2 e A2R. Ricevendo, così, gli stessi compilati, al fine di aggiornare e incrementare, se del caso, i propri documenti nel KIT come Cedente.</w:t>
      </w:r>
    </w:p>
    <w:p w14:paraId="2448C4A5" w14:textId="77777777" w:rsidR="000A2748" w:rsidRDefault="000A2748">
      <w:pPr>
        <w:pBdr>
          <w:top w:val="nil"/>
          <w:left w:val="nil"/>
          <w:bottom w:val="nil"/>
          <w:right w:val="nil"/>
          <w:between w:val="nil"/>
        </w:pBdr>
        <w:spacing w:after="0"/>
        <w:rPr>
          <w:rFonts w:ascii="Calibri" w:hAnsi="Calibri"/>
          <w:color w:val="000000"/>
        </w:rPr>
      </w:pPr>
    </w:p>
    <w:p w14:paraId="00000020" w14:textId="77777777" w:rsidR="003E1A12" w:rsidRPr="000A2748" w:rsidRDefault="00000000">
      <w:pPr>
        <w:pBdr>
          <w:top w:val="nil"/>
          <w:left w:val="nil"/>
          <w:bottom w:val="nil"/>
          <w:right w:val="nil"/>
          <w:between w:val="nil"/>
        </w:pBdr>
      </w:pPr>
      <w:r>
        <w:t>Si rimanda all’</w:t>
      </w:r>
      <w:r w:rsidRPr="000A2748">
        <w:t>Allegato A2R è presente nel KIT con dei dati esemplificativi presi da contesti di riusi analizzati.</w:t>
      </w:r>
    </w:p>
    <w:p w14:paraId="00000021" w14:textId="77777777" w:rsidR="003E1A12" w:rsidRDefault="003E1A12">
      <w:pPr>
        <w:pBdr>
          <w:top w:val="nil"/>
          <w:left w:val="nil"/>
          <w:bottom w:val="nil"/>
          <w:right w:val="nil"/>
          <w:between w:val="nil"/>
        </w:pBdr>
        <w:ind w:left="720"/>
        <w:rPr>
          <w:rFonts w:ascii="Calibri" w:hAnsi="Calibri"/>
          <w:color w:val="000000"/>
        </w:rPr>
      </w:pPr>
    </w:p>
    <w:bookmarkStart w:id="7" w:name="_Toc117871235"/>
    <w:p w14:paraId="00000022" w14:textId="76A97603" w:rsidR="003E1A12" w:rsidRDefault="00000000">
      <w:pPr>
        <w:pStyle w:val="Titolo2"/>
        <w:numPr>
          <w:ilvl w:val="0"/>
          <w:numId w:val="2"/>
        </w:numPr>
        <w:ind w:left="357" w:hanging="357"/>
        <w:rPr>
          <w:rFonts w:ascii="Calibri" w:hAnsi="Calibri" w:cs="Calibri"/>
        </w:rPr>
      </w:pPr>
      <w:sdt>
        <w:sdtPr>
          <w:tag w:val="goog_rdk_0"/>
          <w:id w:val="804581618"/>
        </w:sdtPr>
        <w:sdtContent/>
      </w:sdt>
      <w:sdt>
        <w:sdtPr>
          <w:tag w:val="goog_rdk_1"/>
          <w:id w:val="-604495443"/>
          <w:showingPlcHdr/>
        </w:sdtPr>
        <w:sdtContent>
          <w:r w:rsidR="00BC46FE">
            <w:t xml:space="preserve">     </w:t>
          </w:r>
        </w:sdtContent>
      </w:sdt>
      <w:r>
        <w:rPr>
          <w:rFonts w:ascii="Calibri" w:hAnsi="Calibri" w:cs="Calibri"/>
        </w:rPr>
        <w:t>Check list di autovalutazione dei fattori organizzativi</w:t>
      </w:r>
      <w:bookmarkEnd w:id="7"/>
    </w:p>
    <w:p w14:paraId="00000023" w14:textId="77777777" w:rsidR="003E1A12" w:rsidRDefault="00000000">
      <w:pPr>
        <w:rPr>
          <w:rFonts w:ascii="Calibri" w:hAnsi="Calibri"/>
        </w:rPr>
      </w:pPr>
      <w:r>
        <w:rPr>
          <w:rFonts w:ascii="Calibri" w:hAnsi="Calibri"/>
        </w:rPr>
        <w:t>La check list di autovalutazione consiste in una serie di domande per l’Ente riusante, atte a verificare la propria situazione di contesto in relazione ai fattori precedentemente esposti, e così autovalutare le probabilità di successo di riuso della soluzione.</w:t>
      </w:r>
    </w:p>
    <w:p w14:paraId="00000024" w14:textId="77777777" w:rsidR="003E1A12" w:rsidRDefault="00000000">
      <w:pPr>
        <w:rPr>
          <w:rFonts w:ascii="Calibri" w:hAnsi="Calibri"/>
          <w:i/>
          <w:sz w:val="20"/>
          <w:szCs w:val="20"/>
        </w:rPr>
      </w:pPr>
      <w:r>
        <w:rPr>
          <w:rFonts w:ascii="Calibri" w:hAnsi="Calibri"/>
          <w:i/>
          <w:sz w:val="20"/>
          <w:szCs w:val="20"/>
        </w:rPr>
        <w:t>(A supporto si veda quanto riportato nel documento A2 – Strumenti organizzativi del KIT - set esempi).</w:t>
      </w:r>
    </w:p>
    <w:p w14:paraId="17BAA165" w14:textId="54B81C15" w:rsidR="00BC46FE" w:rsidRPr="00BC46FE" w:rsidRDefault="00BC46FE" w:rsidP="00BC46FE">
      <w:pPr>
        <w:pStyle w:val="Paragrafoelenco"/>
        <w:numPr>
          <w:ilvl w:val="0"/>
          <w:numId w:val="4"/>
        </w:numPr>
        <w:rPr>
          <w:b/>
          <w:bCs/>
        </w:rPr>
      </w:pPr>
      <w:r w:rsidRPr="00BC46FE">
        <w:rPr>
          <w:b/>
          <w:bCs/>
        </w:rPr>
        <w:t xml:space="preserve">L’ente intende attivare il servizio per entrambi gli ambiti di Edilizia e Attività Produttive?     </w:t>
      </w:r>
    </w:p>
    <w:p w14:paraId="4251EB0D" w14:textId="351B9DDD" w:rsidR="00BC46FE" w:rsidRPr="00BC46FE" w:rsidRDefault="00BC46FE" w:rsidP="00BC46FE">
      <w:pPr>
        <w:pBdr>
          <w:top w:val="nil"/>
          <w:left w:val="nil"/>
          <w:bottom w:val="nil"/>
          <w:right w:val="nil"/>
          <w:between w:val="nil"/>
        </w:pBdr>
        <w:ind w:left="720"/>
        <w:rPr>
          <w:rFonts w:cstheme="majorHAnsi"/>
          <w:color w:val="000000"/>
        </w:rPr>
      </w:pPr>
      <w:r w:rsidRPr="00BC46FE">
        <w:rPr>
          <w:rFonts w:cstheme="majorHAnsi"/>
          <w:color w:val="000000"/>
        </w:rPr>
        <w:lastRenderedPageBreak/>
        <w:t xml:space="preserve">Commento:     </w:t>
      </w:r>
    </w:p>
    <w:p w14:paraId="4D12822C" w14:textId="5BB32664" w:rsidR="00BC46FE" w:rsidRPr="00BC46FE" w:rsidRDefault="00BC46FE" w:rsidP="00BC46FE">
      <w:pPr>
        <w:pBdr>
          <w:top w:val="nil"/>
          <w:left w:val="nil"/>
          <w:bottom w:val="nil"/>
          <w:right w:val="nil"/>
          <w:between w:val="nil"/>
        </w:pBdr>
        <w:ind w:left="720"/>
        <w:rPr>
          <w:rFonts w:cstheme="majorHAnsi"/>
          <w:color w:val="000000"/>
        </w:rPr>
      </w:pPr>
      <w:r w:rsidRPr="00BC46FE">
        <w:rPr>
          <w:rFonts w:cstheme="majorHAnsi"/>
          <w:color w:val="000000"/>
        </w:rPr>
        <w:t>In fase di avvio l’ente deve valutare internamente l’opportunità di coinvolgere tutti gli uffici attivando i moduli relativi la gestione digitalizzata sia dell’Edilizia che delle Attività Produttive.</w:t>
      </w:r>
    </w:p>
    <w:p w14:paraId="5ED3F76C" w14:textId="31909D52" w:rsidR="00BC46FE" w:rsidRPr="00BC46FE" w:rsidRDefault="00BC46FE" w:rsidP="00BC46FE">
      <w:pPr>
        <w:pStyle w:val="Paragrafoelenco"/>
        <w:numPr>
          <w:ilvl w:val="0"/>
          <w:numId w:val="4"/>
        </w:numPr>
        <w:rPr>
          <w:b/>
          <w:bCs/>
        </w:rPr>
      </w:pPr>
      <w:r w:rsidRPr="00BC46FE">
        <w:rPr>
          <w:b/>
          <w:bCs/>
        </w:rPr>
        <w:t>L’Ente ha una propria struttura organizzativa adatta all’erogazione del servizio SUAPE con ruoli e responsabilità definiti?</w:t>
      </w:r>
    </w:p>
    <w:p w14:paraId="0000002A" w14:textId="78741426" w:rsidR="003E1A12" w:rsidRDefault="00000000" w:rsidP="00BC46FE">
      <w:pPr>
        <w:ind w:left="720"/>
        <w:rPr>
          <w:rFonts w:cstheme="majorHAnsi"/>
        </w:rPr>
      </w:pPr>
      <w:r w:rsidRPr="00BC46FE">
        <w:rPr>
          <w:rFonts w:cstheme="majorHAnsi"/>
        </w:rPr>
        <w:t>Commento:</w:t>
      </w:r>
    </w:p>
    <w:p w14:paraId="381FD089" w14:textId="77777777" w:rsidR="00BC46FE" w:rsidRPr="00BC46FE" w:rsidRDefault="00BC46FE" w:rsidP="00BC46FE">
      <w:pPr>
        <w:ind w:left="720"/>
        <w:rPr>
          <w:rFonts w:cstheme="majorHAnsi"/>
        </w:rPr>
      </w:pPr>
      <w:r w:rsidRPr="00BC46FE">
        <w:rPr>
          <w:rFonts w:cstheme="majorHAnsi"/>
        </w:rPr>
        <w:t>L’Ente dovrà rivedere la propria organizzazione interna al fine di gestire al meglio il procedimento amministrativo in modalità digitale secondo le logiche implementate nel sistema SUAPE.</w:t>
      </w:r>
    </w:p>
    <w:p w14:paraId="378FE625" w14:textId="0D46715E" w:rsidR="00BC46FE" w:rsidRPr="00BC46FE" w:rsidRDefault="00BC46FE" w:rsidP="00BC46FE">
      <w:pPr>
        <w:pStyle w:val="Paragrafoelenco"/>
        <w:numPr>
          <w:ilvl w:val="0"/>
          <w:numId w:val="4"/>
        </w:numPr>
        <w:rPr>
          <w:rFonts w:cstheme="majorHAnsi"/>
          <w:b/>
          <w:bCs/>
        </w:rPr>
      </w:pPr>
      <w:r w:rsidRPr="00BC46FE">
        <w:rPr>
          <w:rFonts w:cstheme="majorHAnsi"/>
          <w:b/>
          <w:bCs/>
        </w:rPr>
        <w:t>L’Ente ha coinvolto gli Ordini Professionali, Collegi e Associazione di categoria per condividere il percorso di digitalizzazione del servizio SUAPE?</w:t>
      </w:r>
    </w:p>
    <w:p w14:paraId="505306ED" w14:textId="77777777" w:rsidR="00BC46FE" w:rsidRDefault="00BC46FE" w:rsidP="00BC46FE">
      <w:pPr>
        <w:ind w:left="720"/>
        <w:rPr>
          <w:rFonts w:cstheme="majorHAnsi"/>
        </w:rPr>
      </w:pPr>
      <w:r w:rsidRPr="00BC46FE">
        <w:rPr>
          <w:rFonts w:cstheme="majorHAnsi"/>
        </w:rPr>
        <w:t>Commento:</w:t>
      </w:r>
    </w:p>
    <w:p w14:paraId="1835EA05" w14:textId="255C2F33" w:rsidR="00BC46FE" w:rsidRPr="00BC46FE" w:rsidRDefault="00BC46FE" w:rsidP="00BC46FE">
      <w:pPr>
        <w:ind w:left="720"/>
        <w:rPr>
          <w:rFonts w:cstheme="majorHAnsi"/>
        </w:rPr>
      </w:pPr>
      <w:proofErr w:type="gramStart"/>
      <w:r>
        <w:rPr>
          <w:rFonts w:cstheme="majorHAnsi"/>
        </w:rPr>
        <w:t>E’</w:t>
      </w:r>
      <w:proofErr w:type="gramEnd"/>
      <w:r>
        <w:rPr>
          <w:rFonts w:cstheme="majorHAnsi"/>
        </w:rPr>
        <w:t xml:space="preserve"> </w:t>
      </w:r>
      <w:r w:rsidRPr="00BC46FE">
        <w:rPr>
          <w:rFonts w:cstheme="majorHAnsi"/>
        </w:rPr>
        <w:t>necessario che l’Ente coinvolga i stakeholders al fine di condividere il percorso di digitalizzazione dei servizi.</w:t>
      </w:r>
    </w:p>
    <w:sectPr w:rsidR="00BC46FE" w:rsidRPr="00BC46FE">
      <w:headerReference w:type="default" r:id="rId9"/>
      <w:footerReference w:type="default" r:id="rId10"/>
      <w:pgSz w:w="11906" w:h="16838"/>
      <w:pgMar w:top="1935" w:right="1134" w:bottom="1850" w:left="1134" w:header="567" w:footer="71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A2224" w14:textId="77777777" w:rsidR="00F25CED" w:rsidRDefault="00F25CED">
      <w:pPr>
        <w:spacing w:after="0" w:line="240" w:lineRule="auto"/>
      </w:pPr>
      <w:r>
        <w:separator/>
      </w:r>
    </w:p>
  </w:endnote>
  <w:endnote w:type="continuationSeparator" w:id="0">
    <w:p w14:paraId="044D91DC" w14:textId="77777777" w:rsidR="00F25CED" w:rsidRDefault="00F25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1" w14:textId="4E56BCAD" w:rsidR="003E1A12" w:rsidRDefault="000A2748">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noProof/>
        <w:color w:val="000000"/>
      </w:rPr>
      <w:drawing>
        <wp:anchor distT="0" distB="0" distL="114300" distR="114300" simplePos="0" relativeHeight="251658240" behindDoc="0" locked="0" layoutInCell="1" allowOverlap="1" wp14:anchorId="3F9D9B49" wp14:editId="3538684C">
          <wp:simplePos x="0" y="0"/>
          <wp:positionH relativeFrom="column">
            <wp:posOffset>-46990</wp:posOffset>
          </wp:positionH>
          <wp:positionV relativeFrom="paragraph">
            <wp:posOffset>24130</wp:posOffset>
          </wp:positionV>
          <wp:extent cx="1104900" cy="383964"/>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83964"/>
                  </a:xfrm>
                  <a:prstGeom prst="rect">
                    <a:avLst/>
                  </a:prstGeom>
                  <a:noFill/>
                  <a:ln>
                    <a:noFill/>
                  </a:ln>
                </pic:spPr>
              </pic:pic>
            </a:graphicData>
          </a:graphic>
        </wp:anchor>
      </w:drawing>
    </w:r>
  </w:p>
  <w:p w14:paraId="00000032" w14:textId="757CC321" w:rsidR="003E1A12" w:rsidRDefault="00000000">
    <w:pPr>
      <w:pBdr>
        <w:top w:val="nil"/>
        <w:left w:val="nil"/>
        <w:bottom w:val="nil"/>
        <w:right w:val="nil"/>
        <w:between w:val="nil"/>
      </w:pBdr>
      <w:tabs>
        <w:tab w:val="center" w:pos="4819"/>
        <w:tab w:val="right" w:pos="9638"/>
        <w:tab w:val="left" w:pos="2250"/>
      </w:tabs>
      <w:spacing w:after="0" w:line="240" w:lineRule="auto"/>
      <w:jc w:val="left"/>
      <w:rPr>
        <w:rFonts w:ascii="Calibri" w:hAnsi="Calibri"/>
        <w:color w:val="000000"/>
      </w:rPr>
    </w:pP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BC46FE">
      <w:rPr>
        <w:rFonts w:ascii="Calibri" w:hAnsi="Calibri"/>
        <w:noProof/>
        <w:color w:val="000000"/>
      </w:rPr>
      <w:t>1</w:t>
    </w:r>
    <w:r>
      <w:rPr>
        <w:rFonts w:ascii="Calibri" w:hAnsi="Calibri"/>
        <w:color w:val="000000"/>
      </w:rPr>
      <w:fldChar w:fldCharType="end"/>
    </w:r>
  </w:p>
  <w:p w14:paraId="00000033" w14:textId="5BBEB642" w:rsidR="003E1A12" w:rsidRDefault="003E1A12">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29331" w14:textId="77777777" w:rsidR="00F25CED" w:rsidRDefault="00F25CED">
      <w:pPr>
        <w:spacing w:after="0" w:line="240" w:lineRule="auto"/>
      </w:pPr>
      <w:r>
        <w:separator/>
      </w:r>
    </w:p>
  </w:footnote>
  <w:footnote w:type="continuationSeparator" w:id="0">
    <w:p w14:paraId="16DB803A" w14:textId="77777777" w:rsidR="00F25CED" w:rsidRDefault="00F25CED">
      <w:pPr>
        <w:spacing w:after="0" w:line="240" w:lineRule="auto"/>
      </w:pPr>
      <w:r>
        <w:continuationSeparator/>
      </w:r>
    </w:p>
  </w:footnote>
  <w:footnote w:id="1">
    <w:p w14:paraId="0000002F" w14:textId="77777777" w:rsidR="003E1A12" w:rsidRDefault="00000000">
      <w:pPr>
        <w:pBdr>
          <w:top w:val="nil"/>
          <w:left w:val="nil"/>
          <w:bottom w:val="nil"/>
          <w:right w:val="nil"/>
          <w:between w:val="nil"/>
        </w:pBdr>
        <w:spacing w:after="0" w:line="240" w:lineRule="auto"/>
        <w:rPr>
          <w:rFonts w:ascii="Calibri" w:hAnsi="Calibri"/>
          <w:color w:val="000000"/>
          <w:sz w:val="18"/>
          <w:szCs w:val="18"/>
        </w:rPr>
      </w:pPr>
      <w:bookmarkStart w:id="3" w:name="_heading=h.1t3h5sf" w:colFirst="0" w:colLast="0"/>
      <w:bookmarkEnd w:id="3"/>
      <w:r>
        <w:rPr>
          <w:rStyle w:val="Rimandonotaapidipagina"/>
        </w:rPr>
        <w:footnoteRef/>
      </w:r>
      <w:r>
        <w:rPr>
          <w:rFonts w:ascii="Calibri" w:hAnsi="Calibri"/>
          <w:color w:val="000000"/>
          <w:sz w:val="18"/>
          <w:szCs w:val="18"/>
        </w:rPr>
        <w:t xml:space="preserve"> OCPA – OpenCommunityPA2020: primo Avviso pubblico per interventi volti al trasferimento, evoluzione e diffusione di buone prassi fra Pubbliche Amministrazioni.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3E1A12"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extent cx="6108700" cy="609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108700" cy="6096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72364"/>
    <w:multiLevelType w:val="multilevel"/>
    <w:tmpl w:val="C7D02878"/>
    <w:lvl w:ilvl="0">
      <w:start w:val="1"/>
      <w:numFmt w:val="decimal"/>
      <w:pStyle w:val="Titolo2"/>
      <w:lvlText w:val="%1."/>
      <w:lvlJc w:val="left"/>
      <w:pPr>
        <w:ind w:left="720" w:hanging="360"/>
      </w:pPr>
    </w:lvl>
    <w:lvl w:ilvl="1">
      <w:start w:val="1"/>
      <w:numFmt w:val="lowerLetter"/>
      <w:pStyle w:val="Titolo3"/>
      <w:lvlText w:val="%2."/>
      <w:lvlJc w:val="left"/>
      <w:pPr>
        <w:ind w:left="1440" w:hanging="360"/>
      </w:pPr>
    </w:lvl>
    <w:lvl w:ilvl="2">
      <w:start w:val="1"/>
      <w:numFmt w:val="lowerRoman"/>
      <w:pStyle w:val="Titolo4"/>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6A5FA6"/>
    <w:multiLevelType w:val="hybridMultilevel"/>
    <w:tmpl w:val="F0CC80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6E27E2A"/>
    <w:multiLevelType w:val="multilevel"/>
    <w:tmpl w:val="B4489A64"/>
    <w:lvl w:ilvl="0">
      <w:start w:val="1"/>
      <w:numFmt w:val="decimal"/>
      <w:pStyle w:val="Stilepuntat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ECA67BE"/>
    <w:multiLevelType w:val="hybridMultilevel"/>
    <w:tmpl w:val="8398C0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46554024">
    <w:abstractNumId w:val="0"/>
  </w:num>
  <w:num w:numId="2" w16cid:durableId="1758936822">
    <w:abstractNumId w:val="2"/>
  </w:num>
  <w:num w:numId="3" w16cid:durableId="1541866749">
    <w:abstractNumId w:val="3"/>
  </w:num>
  <w:num w:numId="4" w16cid:durableId="1745377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A12"/>
    <w:rsid w:val="000A2748"/>
    <w:rsid w:val="003E1A12"/>
    <w:rsid w:val="00BC46FE"/>
    <w:rsid w:val="00D165A1"/>
    <w:rsid w:val="00F25C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D6C06"/>
  <w15:docId w15:val="{6E73F33A-61B5-496B-8112-61251901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uiPriority w:val="9"/>
    <w:unhideWhenUsed/>
    <w:qFormat/>
    <w:rsid w:val="001376B7"/>
    <w:pPr>
      <w:keepNext/>
      <w:numPr>
        <w:numId w:val="1"/>
      </w:numPr>
      <w:spacing w:before="120"/>
      <w:outlineLvl w:val="1"/>
    </w:pPr>
    <w:rPr>
      <w:rFonts w:cstheme="majorHAnsi"/>
      <w:color w:val="1F4E79" w:themeColor="accent1" w:themeShade="80"/>
      <w:sz w:val="28"/>
    </w:rPr>
  </w:style>
  <w:style w:type="paragraph" w:styleId="Titolo3">
    <w:name w:val="heading 3"/>
    <w:basedOn w:val="Titolo2"/>
    <w:next w:val="Normale"/>
    <w:link w:val="Titolo3Carattere"/>
    <w:uiPriority w:val="9"/>
    <w:unhideWhenUsed/>
    <w:qFormat/>
    <w:rsid w:val="001376B7"/>
    <w:pPr>
      <w:numPr>
        <w:ilvl w:val="1"/>
      </w:numPr>
      <w:outlineLvl w:val="2"/>
    </w:pPr>
    <w:rPr>
      <w:sz w:val="24"/>
    </w:rPr>
  </w:style>
  <w:style w:type="paragraph" w:styleId="Titolo4">
    <w:name w:val="heading 4"/>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1376B7"/>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1376B7"/>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kY/AckGExWOMo9sZ4KxsZWMYkQ==">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6</cp:revision>
  <cp:lastPrinted>2022-10-28T15:45:00Z</cp:lastPrinted>
  <dcterms:created xsi:type="dcterms:W3CDTF">2022-05-13T15:57:00Z</dcterms:created>
  <dcterms:modified xsi:type="dcterms:W3CDTF">2022-10-28T15:45:00Z</dcterms:modified>
</cp:coreProperties>
</file>