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AB19" w14:textId="77777777" w:rsidR="00D411CA" w:rsidRDefault="00000000">
      <w:pPr>
        <w:pStyle w:val="Titolo"/>
      </w:pPr>
      <w:r>
        <w:rPr>
          <w:noProof/>
        </w:rPr>
        <w:drawing>
          <wp:inline distT="0" distB="0" distL="0" distR="0" wp14:anchorId="6383C0CB" wp14:editId="5088232E">
            <wp:extent cx="6120130" cy="8214995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1BA51" w14:textId="77777777" w:rsidR="00D411CA" w:rsidRDefault="00D411CA">
      <w:pPr>
        <w:pStyle w:val="Titolo"/>
      </w:pPr>
    </w:p>
    <w:p w14:paraId="7C05A644" w14:textId="77777777" w:rsidR="00D411CA" w:rsidRDefault="00D411CA">
      <w:pPr>
        <w:pStyle w:val="Titolo"/>
      </w:pPr>
    </w:p>
    <w:p w14:paraId="7FC86DAB" w14:textId="77777777" w:rsidR="00D411CA" w:rsidRDefault="00000000">
      <w:pPr>
        <w:pStyle w:val="Titolo"/>
        <w:ind w:left="567"/>
        <w:jc w:val="left"/>
        <w:rPr>
          <w:b/>
          <w:color w:val="2F5496"/>
          <w:sz w:val="48"/>
          <w:szCs w:val="48"/>
        </w:rPr>
      </w:pPr>
      <w:bookmarkStart w:id="0" w:name="_heading=h.kdcfs99m7if8" w:colFirst="0" w:colLast="0"/>
      <w:bookmarkEnd w:id="0"/>
      <w:r>
        <w:rPr>
          <w:b/>
          <w:color w:val="2F5496"/>
          <w:sz w:val="48"/>
          <w:szCs w:val="48"/>
        </w:rPr>
        <w:t>Riuso VBG/SUAPE 3.0</w:t>
      </w:r>
    </w:p>
    <w:p w14:paraId="472439C6" w14:textId="77777777" w:rsidR="00D411CA" w:rsidRDefault="00000000">
      <w:pPr>
        <w:ind w:left="567"/>
        <w:jc w:val="left"/>
        <w:rPr>
          <w:rFonts w:ascii="Calibri" w:hAnsi="Calibri"/>
          <w:b/>
          <w:color w:val="2F5496"/>
          <w:sz w:val="38"/>
          <w:szCs w:val="38"/>
        </w:rPr>
      </w:pPr>
      <w:r>
        <w:rPr>
          <w:rFonts w:ascii="Calibri" w:hAnsi="Calibri"/>
          <w:b/>
          <w:color w:val="2F5496"/>
          <w:sz w:val="38"/>
          <w:szCs w:val="38"/>
        </w:rPr>
        <w:t>KIT di riuso Fase B – Trasferimento e adozione della soluzione</w:t>
      </w:r>
    </w:p>
    <w:p w14:paraId="53C9361F" w14:textId="77777777" w:rsidR="00D411CA" w:rsidRDefault="00000000">
      <w:pPr>
        <w:ind w:left="567"/>
        <w:jc w:val="left"/>
        <w:rPr>
          <w:rFonts w:ascii="Calibri" w:hAnsi="Calibri"/>
          <w:b/>
          <w:color w:val="2F5496"/>
          <w:sz w:val="36"/>
          <w:szCs w:val="36"/>
          <w:u w:val="single"/>
        </w:rPr>
      </w:pPr>
      <w:r>
        <w:rPr>
          <w:rFonts w:ascii="Calibri" w:hAnsi="Calibri"/>
          <w:b/>
          <w:color w:val="2F5496"/>
          <w:sz w:val="36"/>
          <w:szCs w:val="36"/>
          <w:u w:val="single"/>
        </w:rPr>
        <w:t>B3. Strumenti tecnologici</w:t>
      </w:r>
    </w:p>
    <w:p w14:paraId="692E3141" w14:textId="77777777" w:rsidR="00D411CA" w:rsidRDefault="00000000">
      <w:pPr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B3.1 La soluzione tecnologica</w:t>
      </w:r>
    </w:p>
    <w:p w14:paraId="2C247D54" w14:textId="77777777" w:rsidR="00D411CA" w:rsidRDefault="00000000">
      <w:pPr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B3.2 Modalità di adozione</w:t>
      </w:r>
    </w:p>
    <w:p w14:paraId="0EE8DCE1" w14:textId="77777777" w:rsidR="00D411CA" w:rsidRDefault="00D411CA">
      <w:pPr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166E63A8" w14:textId="77777777" w:rsidR="00D411CA" w:rsidRDefault="00D411CA">
      <w:pPr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23F1D530" w14:textId="77777777" w:rsidR="00D411CA" w:rsidRDefault="00000000">
      <w:pPr>
        <w:ind w:left="567"/>
        <w:rPr>
          <w:rFonts w:ascii="Calibri" w:hAnsi="Calibri"/>
        </w:rPr>
      </w:pPr>
      <w:r>
        <w:rPr>
          <w:rFonts w:ascii="Calibri" w:hAnsi="Calibri"/>
        </w:rPr>
        <w:t>Versione: 1.0</w:t>
      </w:r>
    </w:p>
    <w:p w14:paraId="0F8C4BE9" w14:textId="77777777" w:rsidR="00D411CA" w:rsidRDefault="00000000">
      <w:pPr>
        <w:rPr>
          <w:rFonts w:ascii="Calibri" w:hAnsi="Calibri"/>
        </w:rPr>
      </w:pPr>
      <w:r>
        <w:br w:type="page"/>
      </w:r>
    </w:p>
    <w:p w14:paraId="1448E956" w14:textId="77777777" w:rsidR="00D411CA" w:rsidRDefault="00D411CA">
      <w:pPr>
        <w:pStyle w:val="Titolo1"/>
      </w:pPr>
    </w:p>
    <w:p w14:paraId="4C2C4ADA" w14:textId="77777777" w:rsidR="00D411C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id w:val="1450282803"/>
        <w:docPartObj>
          <w:docPartGallery w:val="Table of Contents"/>
          <w:docPartUnique/>
        </w:docPartObj>
      </w:sdtPr>
      <w:sdtEnd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</w:sdtEndPr>
      <w:sdtContent>
        <w:p w14:paraId="433FC39B" w14:textId="5664277B" w:rsidR="001D248D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938342" w:history="1">
            <w:r w:rsidR="001D248D" w:rsidRPr="00ED5C67">
              <w:rPr>
                <w:rStyle w:val="Collegamentoipertestuale"/>
                <w:rFonts w:ascii="Calibri" w:hAnsi="Calibri" w:cs="Calibri"/>
                <w:noProof/>
              </w:rPr>
              <w:t>Premessa</w:t>
            </w:r>
            <w:r w:rsidR="001D248D">
              <w:rPr>
                <w:noProof/>
                <w:webHidden/>
              </w:rPr>
              <w:tab/>
            </w:r>
            <w:r w:rsidR="001D248D">
              <w:rPr>
                <w:noProof/>
                <w:webHidden/>
              </w:rPr>
              <w:fldChar w:fldCharType="begin"/>
            </w:r>
            <w:r w:rsidR="001D248D">
              <w:rPr>
                <w:noProof/>
                <w:webHidden/>
              </w:rPr>
              <w:instrText xml:space="preserve"> PAGEREF _Toc117938342 \h </w:instrText>
            </w:r>
            <w:r w:rsidR="001D248D">
              <w:rPr>
                <w:noProof/>
                <w:webHidden/>
              </w:rPr>
            </w:r>
            <w:r w:rsidR="001D248D">
              <w:rPr>
                <w:noProof/>
                <w:webHidden/>
              </w:rPr>
              <w:fldChar w:fldCharType="separate"/>
            </w:r>
            <w:r w:rsidR="001D248D">
              <w:rPr>
                <w:noProof/>
                <w:webHidden/>
              </w:rPr>
              <w:t>3</w:t>
            </w:r>
            <w:r w:rsidR="001D248D">
              <w:rPr>
                <w:noProof/>
                <w:webHidden/>
              </w:rPr>
              <w:fldChar w:fldCharType="end"/>
            </w:r>
          </w:hyperlink>
        </w:p>
        <w:p w14:paraId="003FF352" w14:textId="4C42ADA0" w:rsidR="001D248D" w:rsidRDefault="001D248D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938343" w:history="1">
            <w:r w:rsidRPr="00ED5C67">
              <w:rPr>
                <w:rStyle w:val="Collegamentoipertestuale"/>
                <w:rFonts w:ascii="Calibri" w:hAnsi="Calibri" w:cs="Calibri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ED5C67">
              <w:rPr>
                <w:rStyle w:val="Collegamentoipertestuale"/>
                <w:rFonts w:ascii="Calibri" w:hAnsi="Calibri" w:cs="Calibri"/>
                <w:noProof/>
              </w:rPr>
              <w:t>Soluzione tecnologica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63462" w14:textId="1B5378C7" w:rsidR="001D248D" w:rsidRDefault="001D248D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8344" w:history="1">
            <w:r w:rsidRPr="00ED5C67">
              <w:rPr>
                <w:rStyle w:val="Collegamentoipertestuale"/>
                <w:rFonts w:ascii="Calibri" w:hAnsi="Calibri" w:cs="Calibri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ED5C67">
              <w:rPr>
                <w:rStyle w:val="Collegamentoipertestuale"/>
                <w:rFonts w:ascii="Calibri" w:hAnsi="Calibri" w:cs="Calibri"/>
                <w:noProof/>
              </w:rPr>
              <w:t>Documentazione della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451CB" w14:textId="661FB8DD" w:rsidR="001D248D" w:rsidRDefault="001D248D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8345" w:history="1">
            <w:r w:rsidRPr="00ED5C67">
              <w:rPr>
                <w:rStyle w:val="Collegamentoipertestuale"/>
                <w:rFonts w:ascii="Calibri" w:hAnsi="Calibri" w:cs="Calibri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ED5C67">
              <w:rPr>
                <w:rStyle w:val="Collegamentoipertestuale"/>
                <w:rFonts w:ascii="Calibri" w:hAnsi="Calibri" w:cs="Calibri"/>
                <w:noProof/>
              </w:rPr>
              <w:t>Allegati tecnici alla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B7D4" w14:textId="345073E1" w:rsidR="001D248D" w:rsidRDefault="001D248D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938346" w:history="1">
            <w:r w:rsidRPr="00ED5C67">
              <w:rPr>
                <w:rStyle w:val="Collegamentoipertestuale"/>
                <w:rFonts w:ascii="Calibri" w:hAnsi="Calibri" w:cs="Calibri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ED5C67">
              <w:rPr>
                <w:rStyle w:val="Collegamentoipertestuale"/>
                <w:rFonts w:ascii="Calibri" w:hAnsi="Calibri" w:cs="Calibri"/>
                <w:noProof/>
              </w:rPr>
              <w:t>Architettura tecnologica di supporto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2D1C" w14:textId="25946641" w:rsidR="001D248D" w:rsidRDefault="001D248D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938347" w:history="1">
            <w:r w:rsidRPr="00ED5C67">
              <w:rPr>
                <w:rStyle w:val="Collegamentoipertestuale"/>
                <w:rFonts w:ascii="Calibri" w:hAnsi="Calibri" w:cs="Calibr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ED5C67">
              <w:rPr>
                <w:rStyle w:val="Collegamentoipertestuale"/>
                <w:rFonts w:ascii="Calibri" w:hAnsi="Calibri" w:cs="Calibri"/>
                <w:noProof/>
              </w:rPr>
              <w:t>Modalità di adozione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EE5F" w14:textId="0B6676FF" w:rsidR="00D411CA" w:rsidRDefault="00000000">
          <w:pPr>
            <w:tabs>
              <w:tab w:val="right" w:pos="9637"/>
            </w:tabs>
            <w:spacing w:before="60" w:after="80" w:line="240" w:lineRule="auto"/>
            <w:ind w:left="360"/>
            <w:rPr>
              <w:rFonts w:ascii="Calibri" w:hAnsi="Calibri"/>
              <w:b/>
              <w:color w:val="000000"/>
            </w:rPr>
          </w:pPr>
          <w:r>
            <w:fldChar w:fldCharType="end"/>
          </w:r>
        </w:p>
      </w:sdtContent>
    </w:sdt>
    <w:p w14:paraId="79C6950A" w14:textId="77777777" w:rsidR="00D411CA" w:rsidRDefault="00000000">
      <w:r>
        <w:br w:type="page"/>
      </w:r>
    </w:p>
    <w:p w14:paraId="52509B5D" w14:textId="77777777" w:rsidR="00D411CA" w:rsidRDefault="00000000">
      <w:pPr>
        <w:pStyle w:val="Titolo1"/>
        <w:rPr>
          <w:rFonts w:ascii="Calibri" w:eastAsia="Calibri" w:hAnsi="Calibri" w:cs="Calibri"/>
        </w:rPr>
      </w:pPr>
      <w:bookmarkStart w:id="1" w:name="_Toc117938342"/>
      <w:r>
        <w:rPr>
          <w:rFonts w:ascii="Calibri" w:eastAsia="Calibri" w:hAnsi="Calibri" w:cs="Calibri"/>
        </w:rPr>
        <w:lastRenderedPageBreak/>
        <w:t>Premessa</w:t>
      </w:r>
      <w:bookmarkEnd w:id="1"/>
    </w:p>
    <w:p w14:paraId="79652D00" w14:textId="77777777" w:rsidR="00D411CA" w:rsidRDefault="00000000">
      <w:pPr>
        <w:rPr>
          <w:rFonts w:ascii="Calibri" w:hAnsi="Calibri"/>
          <w:i/>
        </w:rPr>
      </w:pPr>
      <w:bookmarkStart w:id="2" w:name="_heading=h.30j0zll" w:colFirst="0" w:colLast="0"/>
      <w:bookmarkEnd w:id="2"/>
      <w:r>
        <w:rPr>
          <w:rFonts w:ascii="Calibri" w:hAnsi="Calibri"/>
        </w:rPr>
        <w:t>Il presente documento descrive gli strumenti tecnologici del kit di riuso per la fase B – Trasferimento e adozione della soluzione, come previsto dall’Avviso OCPA2020</w:t>
      </w:r>
      <w:r>
        <w:rPr>
          <w:rFonts w:ascii="Calibri" w:hAnsi="Calibri"/>
          <w:vertAlign w:val="superscript"/>
        </w:rPr>
        <w:footnoteReference w:id="1"/>
      </w:r>
      <w:r>
        <w:rPr>
          <w:rFonts w:ascii="Calibri" w:hAnsi="Calibri"/>
        </w:rPr>
        <w:t>, e consiste in una serie di documenti e di strumenti, tra cui dovrebbero essere compresi almeno: il codice software sorgente e compilato della soluzione, con la documentazione a corredo, ivi inclusa la descrizione dell’infrastruttura tecnologica della soluzione, e il documento di licenza d’uso individuata per il software, che ne titola la fruibilità come riuso di software pubblico (come da “Linee guida AGID” -  Allegato A “</w:t>
      </w:r>
      <w:r>
        <w:rPr>
          <w:rFonts w:ascii="Calibri" w:hAnsi="Calibri"/>
          <w:i/>
        </w:rPr>
        <w:t>Guida alla pubblicazione di software come open source</w:t>
      </w:r>
      <w:r>
        <w:rPr>
          <w:rFonts w:ascii="Calibri" w:hAnsi="Calibri"/>
        </w:rPr>
        <w:t>” e Allegato B “G</w:t>
      </w:r>
      <w:r>
        <w:rPr>
          <w:rFonts w:ascii="Calibri" w:hAnsi="Calibri"/>
          <w:i/>
        </w:rPr>
        <w:t>uida alla manutenzione di software open source”).</w:t>
      </w:r>
    </w:p>
    <w:p w14:paraId="397C609F" w14:textId="77777777" w:rsidR="00D411CA" w:rsidRDefault="00D411CA">
      <w:pPr>
        <w:rPr>
          <w:rFonts w:ascii="Calibri" w:hAnsi="Calibri"/>
          <w:i/>
        </w:rPr>
      </w:pPr>
    </w:p>
    <w:p w14:paraId="739384E8" w14:textId="77777777" w:rsidR="00D411CA" w:rsidRDefault="00000000">
      <w:pPr>
        <w:pStyle w:val="Titolo2"/>
        <w:numPr>
          <w:ilvl w:val="0"/>
          <w:numId w:val="9"/>
        </w:numPr>
        <w:rPr>
          <w:rFonts w:ascii="Calibri" w:hAnsi="Calibri" w:cs="Calibri"/>
        </w:rPr>
      </w:pPr>
      <w:bookmarkStart w:id="4" w:name="_Toc117938343"/>
      <w:r>
        <w:rPr>
          <w:rFonts w:ascii="Calibri" w:hAnsi="Calibri" w:cs="Calibri"/>
        </w:rPr>
        <w:t>Soluzione tecnologica</w:t>
      </w:r>
      <w:bookmarkEnd w:id="4"/>
    </w:p>
    <w:p w14:paraId="7D5EAD9E" w14:textId="77777777" w:rsidR="00D411CA" w:rsidRDefault="00000000">
      <w:pPr>
        <w:pStyle w:val="Titolo3"/>
        <w:numPr>
          <w:ilvl w:val="1"/>
          <w:numId w:val="9"/>
        </w:numPr>
        <w:rPr>
          <w:rFonts w:ascii="Calibri" w:hAnsi="Calibri" w:cs="Calibri"/>
        </w:rPr>
      </w:pPr>
      <w:bookmarkStart w:id="5" w:name="_Toc117938344"/>
      <w:r>
        <w:rPr>
          <w:rFonts w:ascii="Calibri" w:hAnsi="Calibri" w:cs="Calibri"/>
        </w:rPr>
        <w:t>Documentazione della soluzione</w:t>
      </w:r>
      <w:bookmarkEnd w:id="5"/>
    </w:p>
    <w:p w14:paraId="3437719F" w14:textId="77777777" w:rsidR="00D411CA" w:rsidRDefault="00000000">
      <w:pPr>
        <w:rPr>
          <w:b/>
          <w:i/>
        </w:rPr>
      </w:pPr>
      <w:sdt>
        <w:sdtPr>
          <w:tag w:val="goog_rdk_0"/>
          <w:id w:val="1946192674"/>
        </w:sdtPr>
        <w:sdtContent/>
      </w:sdt>
      <w:r>
        <w:t xml:space="preserve">Il repository del sorgente è strutturato in branch di sviluppo, tra questi il branch principale, da cui vengono preparati i rilasci è denominato </w:t>
      </w:r>
      <w:r>
        <w:rPr>
          <w:b/>
        </w:rPr>
        <w:t>VBG</w:t>
      </w:r>
      <w:r>
        <w:rPr>
          <w:b/>
          <w:i/>
        </w:rPr>
        <w:t xml:space="preserve">-FrontOffice </w:t>
      </w:r>
      <w:r>
        <w:rPr>
          <w:i/>
        </w:rPr>
        <w:t>e</w:t>
      </w:r>
      <w:r>
        <w:rPr>
          <w:b/>
          <w:i/>
        </w:rPr>
        <w:t xml:space="preserve"> VBG-BackOffice.</w:t>
      </w:r>
    </w:p>
    <w:p w14:paraId="4E0EB7E7" w14:textId="77777777" w:rsidR="00D411CA" w:rsidRDefault="00000000">
      <w:pPr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11BA8A15" wp14:editId="3C501076">
            <wp:extent cx="6119820" cy="3873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1FC46" w14:textId="77777777" w:rsidR="00D411CA" w:rsidRDefault="00000000">
      <w:pPr>
        <w:rPr>
          <w:b/>
          <w:i/>
        </w:rPr>
      </w:pPr>
      <w:r>
        <w:rPr>
          <w:b/>
          <w:i/>
          <w:noProof/>
        </w:rPr>
        <w:lastRenderedPageBreak/>
        <w:drawing>
          <wp:inline distT="114300" distB="114300" distL="114300" distR="114300" wp14:anchorId="6694479F" wp14:editId="618C86E9">
            <wp:extent cx="6119820" cy="4813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7DDBA" w14:textId="77777777" w:rsidR="00D411CA" w:rsidRDefault="00000000">
      <w:pPr>
        <w:rPr>
          <w:b/>
        </w:rPr>
      </w:pPr>
      <w:r>
        <w:t xml:space="preserve">Nel momento in cui viene rilasciato il pacchetto viene effettuato un tag che finisce nella sottocartella corrispondente di </w:t>
      </w:r>
      <w:r>
        <w:rPr>
          <w:b/>
        </w:rPr>
        <w:t>tags</w:t>
      </w:r>
    </w:p>
    <w:p w14:paraId="6C71E94E" w14:textId="77777777" w:rsidR="00D411CA" w:rsidRDefault="00000000">
      <w:pPr>
        <w:rPr>
          <w:b/>
        </w:rPr>
      </w:pPr>
      <w:r>
        <w:rPr>
          <w:noProof/>
        </w:rPr>
        <w:drawing>
          <wp:inline distT="114300" distB="114300" distL="114300" distR="114300" wp14:anchorId="672084EA" wp14:editId="6597F0E7">
            <wp:extent cx="5473268" cy="228123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3268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05323" w14:textId="77777777" w:rsidR="00D411CA" w:rsidRDefault="00D411CA">
      <w:pPr>
        <w:rPr>
          <w:b/>
        </w:rPr>
      </w:pPr>
    </w:p>
    <w:p w14:paraId="32526505" w14:textId="77777777" w:rsidR="00D411CA" w:rsidRDefault="00000000">
      <w:pPr>
        <w:rPr>
          <w:b/>
        </w:rPr>
      </w:pPr>
      <w:r>
        <w:rPr>
          <w:b/>
          <w:i/>
          <w:noProof/>
        </w:rPr>
        <w:lastRenderedPageBreak/>
        <w:drawing>
          <wp:inline distT="114300" distB="114300" distL="114300" distR="114300" wp14:anchorId="1101BD57" wp14:editId="0AC969E8">
            <wp:extent cx="6119820" cy="3657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A3B99" w14:textId="77777777" w:rsidR="00D411CA" w:rsidRDefault="00000000">
      <w:pPr>
        <w:pStyle w:val="Titolo3"/>
        <w:numPr>
          <w:ilvl w:val="1"/>
          <w:numId w:val="9"/>
        </w:numPr>
        <w:rPr>
          <w:rFonts w:ascii="Calibri" w:hAnsi="Calibri" w:cs="Calibri"/>
        </w:rPr>
      </w:pPr>
      <w:bookmarkStart w:id="6" w:name="_Toc117938345"/>
      <w:r>
        <w:rPr>
          <w:rFonts w:ascii="Calibri" w:hAnsi="Calibri" w:cs="Calibri"/>
        </w:rPr>
        <w:t>Allegati tecnici alla soluzione</w:t>
      </w:r>
      <w:bookmarkEnd w:id="6"/>
    </w:p>
    <w:p w14:paraId="23CD1AB3" w14:textId="77777777" w:rsidR="00D411CA" w:rsidRDefault="00000000">
      <w:sdt>
        <w:sdtPr>
          <w:tag w:val="goog_rdk_1"/>
          <w:id w:val="-1607039004"/>
        </w:sdtPr>
        <w:sdtContent/>
      </w:sdt>
      <w:r>
        <w:t>Allegato AgID che traccia le linee guida per la gestione del Riuso nei software della pubblica amministrazione (Linee guida su acquisizione e riuso di software per le pubbliche amministrazioni)</w:t>
      </w:r>
    </w:p>
    <w:p w14:paraId="0E860EC3" w14:textId="77777777" w:rsidR="00D411CA" w:rsidRDefault="00000000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 lg-acquisizione-e-riuso-software-per-pa-docs_pubblicata.pdf</w:t>
      </w:r>
    </w:p>
    <w:p w14:paraId="47F0F820" w14:textId="77777777" w:rsidR="00D411CA" w:rsidRDefault="00000000">
      <w:pPr>
        <w:pStyle w:val="Titolo3"/>
        <w:numPr>
          <w:ilvl w:val="1"/>
          <w:numId w:val="9"/>
        </w:numPr>
        <w:rPr>
          <w:rFonts w:ascii="Calibri" w:hAnsi="Calibri" w:cs="Calibri"/>
        </w:rPr>
      </w:pPr>
      <w:bookmarkStart w:id="7" w:name="_Toc117938346"/>
      <w:r>
        <w:rPr>
          <w:rFonts w:ascii="Calibri" w:hAnsi="Calibri" w:cs="Calibri"/>
        </w:rPr>
        <w:t>Architettura tecnologica di supporto</w:t>
      </w:r>
      <w:bookmarkEnd w:id="7"/>
    </w:p>
    <w:p w14:paraId="026BC0B1" w14:textId="77777777" w:rsidR="00D411CA" w:rsidRDefault="00000000">
      <w:pPr>
        <w:rPr>
          <w:rFonts w:ascii="Calibri" w:hAnsi="Calibri"/>
        </w:rPr>
      </w:pPr>
      <w:r>
        <w:rPr>
          <w:rFonts w:ascii="Calibri" w:hAnsi="Calibri"/>
        </w:rPr>
        <w:t>Descrizione della infrastruttura tecnologica acquisita per la soluzione, conferma o revisione dimensionamento di Fase A documenti A1R – Fattori tecnologici.</w:t>
      </w:r>
    </w:p>
    <w:p w14:paraId="7ACBEA57" w14:textId="77777777" w:rsidR="00D411CA" w:rsidRDefault="00000000">
      <w:pPr>
        <w:pStyle w:val="Titolo2"/>
        <w:numPr>
          <w:ilvl w:val="0"/>
          <w:numId w:val="9"/>
        </w:numPr>
        <w:rPr>
          <w:rFonts w:ascii="Calibri" w:hAnsi="Calibri" w:cs="Calibri"/>
        </w:rPr>
      </w:pPr>
      <w:bookmarkStart w:id="8" w:name="_Toc117938347"/>
      <w:r>
        <w:rPr>
          <w:rFonts w:ascii="Calibri" w:hAnsi="Calibri" w:cs="Calibri"/>
        </w:rPr>
        <w:t>Modalità di adozione</w:t>
      </w:r>
      <w:bookmarkEnd w:id="8"/>
    </w:p>
    <w:p w14:paraId="7BE9F39B" w14:textId="77777777" w:rsidR="00D411CA" w:rsidRDefault="00000000">
      <w:r>
        <w:t>Si illustrano di seguito i vincoli per l'ambiente di sviluppo:</w:t>
      </w:r>
    </w:p>
    <w:p w14:paraId="593376B8" w14:textId="77777777" w:rsidR="00D411CA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t xml:space="preserve">RDBMS ORACLE 11.2.0.3.0 standard </w:t>
      </w:r>
    </w:p>
    <w:p w14:paraId="265E62F6" w14:textId="77777777" w:rsidR="00D411CA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t>Disponibilità di un’architettura tecnologica di DB Server e Application server con RAM non inferiore a 6 GB, ottimale 8 GB. L’applicazione è in grado di gestire un servizio applicativo Multiente, ideale per servizi Associati</w:t>
      </w:r>
    </w:p>
    <w:p w14:paraId="0E074359" w14:textId="77777777" w:rsidR="00D411CA" w:rsidRDefault="00000000">
      <w:pPr>
        <w:numPr>
          <w:ilvl w:val="0"/>
          <w:numId w:val="8"/>
        </w:numPr>
        <w:spacing w:after="0"/>
        <w:rPr>
          <w:rFonts w:ascii="Calibri" w:hAnsi="Calibri"/>
        </w:rPr>
      </w:pPr>
      <w:r>
        <w:t>IDE Java Eclipse</w:t>
      </w:r>
    </w:p>
    <w:p w14:paraId="47AF67DA" w14:textId="77777777" w:rsidR="00D411CA" w:rsidRDefault="00000000">
      <w:pPr>
        <w:numPr>
          <w:ilvl w:val="0"/>
          <w:numId w:val="8"/>
        </w:numPr>
        <w:rPr>
          <w:rFonts w:ascii="Calibri" w:hAnsi="Calibri"/>
        </w:rPr>
      </w:pPr>
      <w:r>
        <w:t>Apache Tomcat 6.0.43</w:t>
      </w:r>
    </w:p>
    <w:p w14:paraId="2F2FEAB7" w14:textId="77777777" w:rsidR="00D411CA" w:rsidRDefault="00000000">
      <w:pPr>
        <w:numPr>
          <w:ilvl w:val="0"/>
          <w:numId w:val="8"/>
        </w:numPr>
      </w:pPr>
      <w:r>
        <w:t xml:space="preserve">Java </w:t>
      </w:r>
      <w:r>
        <w:rPr>
          <w:rFonts w:ascii="Verdana" w:eastAsia="Verdana" w:hAnsi="Verdana" w:cs="Verdana"/>
          <w:sz w:val="20"/>
          <w:szCs w:val="20"/>
        </w:rPr>
        <w:t>jdk1.6.0_45</w:t>
      </w:r>
      <w:r>
        <w:rPr>
          <w:rFonts w:ascii="Verdana" w:eastAsia="Verdana" w:hAnsi="Verdana" w:cs="Verdana"/>
          <w:sz w:val="20"/>
          <w:szCs w:val="20"/>
        </w:rPr>
        <w:br/>
      </w:r>
      <w:r>
        <w:t xml:space="preserve">Ulteriori requisiti e procedure per l’impianto di un ambiente di sviluppo sono riportate nel documento seguente: </w:t>
      </w:r>
    </w:p>
    <w:p w14:paraId="5C4C441F" w14:textId="77777777" w:rsidR="00D411CA" w:rsidRDefault="00000000">
      <w:pPr>
        <w:numPr>
          <w:ilvl w:val="0"/>
          <w:numId w:val="10"/>
        </w:numPr>
        <w:jc w:val="left"/>
        <w:rPr>
          <w:rFonts w:ascii="Calibri" w:hAnsi="Calibri"/>
          <w:b/>
        </w:rPr>
      </w:pPr>
      <w:r>
        <w:rPr>
          <w:b/>
        </w:rPr>
        <w:t>VBG_MANUALE_BUILD.pdf</w:t>
      </w:r>
    </w:p>
    <w:p w14:paraId="74DE4AB3" w14:textId="77777777" w:rsidR="00D411CA" w:rsidRDefault="00000000">
      <w:r>
        <w:lastRenderedPageBreak/>
        <w:t>Per installare il software in ambiente di produzione consultare i seguenti manuali:</w:t>
      </w:r>
    </w:p>
    <w:p w14:paraId="0EE4B562" w14:textId="77777777" w:rsidR="00D411CA" w:rsidRDefault="00000000">
      <w:pPr>
        <w:numPr>
          <w:ilvl w:val="0"/>
          <w:numId w:val="1"/>
        </w:numPr>
        <w:rPr>
          <w:rFonts w:ascii="Calibri" w:hAnsi="Calibri"/>
          <w:b/>
        </w:rPr>
      </w:pPr>
      <w:r>
        <w:rPr>
          <w:b/>
        </w:rPr>
        <w:t>VBG_MANUALE_INSTALLAZIONE.pdf</w:t>
      </w:r>
    </w:p>
    <w:p w14:paraId="770F29EB" w14:textId="77777777" w:rsidR="00D411CA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Architettura.pdf</w:t>
      </w:r>
      <w:r>
        <w:rPr>
          <w:b/>
        </w:rPr>
        <w:br/>
      </w:r>
    </w:p>
    <w:p w14:paraId="1BC81ADA" w14:textId="77777777" w:rsidR="00D411CA" w:rsidRDefault="00000000">
      <w:r>
        <w:t>Per comprendere meglio come i vari componenti interagisco, consultare i seguenti documenti:</w:t>
      </w:r>
    </w:p>
    <w:p w14:paraId="66BAE80C" w14:textId="77777777" w:rsidR="00D411CA" w:rsidRDefault="00000000">
      <w:pPr>
        <w:numPr>
          <w:ilvl w:val="0"/>
          <w:numId w:val="6"/>
        </w:numPr>
        <w:spacing w:after="0"/>
        <w:rPr>
          <w:b/>
        </w:rPr>
      </w:pPr>
      <w:r>
        <w:rPr>
          <w:b/>
        </w:rPr>
        <w:t>VBG_DIAGRAMMA_INTERAZIONE.pdf</w:t>
      </w:r>
    </w:p>
    <w:p w14:paraId="2B64FFCF" w14:textId="77777777" w:rsidR="00D411CA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VBG_COMPONENTI_DI_INTEGRAZIONE.pdf</w:t>
      </w:r>
      <w:r>
        <w:rPr>
          <w:b/>
        </w:rPr>
        <w:br/>
      </w:r>
    </w:p>
    <w:p w14:paraId="5CB66DCE" w14:textId="77777777" w:rsidR="00D411CA" w:rsidRDefault="00D92360">
      <w:r>
        <w:t>È possibile riassumere l'architettura del software come segue:</w:t>
      </w:r>
    </w:p>
    <w:p w14:paraId="5D9F6E39" w14:textId="77777777" w:rsidR="00D411CA" w:rsidRDefault="00000000">
      <w:pPr>
        <w:numPr>
          <w:ilvl w:val="0"/>
          <w:numId w:val="4"/>
        </w:numPr>
        <w:spacing w:after="0"/>
      </w:pPr>
      <w:r>
        <w:t>La soluzione si basa su modello open source</w:t>
      </w:r>
    </w:p>
    <w:p w14:paraId="48545A3F" w14:textId="77777777" w:rsidR="00D411CA" w:rsidRDefault="00000000">
      <w:pPr>
        <w:numPr>
          <w:ilvl w:val="0"/>
          <w:numId w:val="4"/>
        </w:numPr>
        <w:spacing w:after="0"/>
      </w:pPr>
      <w:r>
        <w:t>E’ conforme al pattern architetturale Model-View-Controller</w:t>
      </w:r>
    </w:p>
    <w:p w14:paraId="6716FF0C" w14:textId="77777777" w:rsidR="00D411CA" w:rsidRDefault="00000000">
      <w:pPr>
        <w:numPr>
          <w:ilvl w:val="0"/>
          <w:numId w:val="4"/>
        </w:numPr>
        <w:spacing w:after="0"/>
      </w:pPr>
      <w:r>
        <w:t>Dispone di funzionalità tipiche delle soluzioni applicative verticali</w:t>
      </w:r>
    </w:p>
    <w:p w14:paraId="7843593B" w14:textId="77777777" w:rsidR="00D411CA" w:rsidRDefault="00000000">
      <w:pPr>
        <w:numPr>
          <w:ilvl w:val="0"/>
          <w:numId w:val="4"/>
        </w:numPr>
        <w:spacing w:after="0"/>
      </w:pPr>
      <w:r>
        <w:t xml:space="preserve">Il sistema è modulare e garantisce un elevato livello di astrazione (grazie alla presenza di </w:t>
      </w:r>
      <w:r w:rsidR="00D92360">
        <w:t>i</w:t>
      </w:r>
      <w:r>
        <w:t>nterfacce) in grado di mascherare complesse operazioni di Business Objects.</w:t>
      </w:r>
    </w:p>
    <w:p w14:paraId="4AC31F86" w14:textId="77777777" w:rsidR="00D411CA" w:rsidRDefault="00000000">
      <w:pPr>
        <w:numPr>
          <w:ilvl w:val="0"/>
          <w:numId w:val="4"/>
        </w:numPr>
        <w:spacing w:after="0"/>
      </w:pPr>
      <w:r>
        <w:t>Semplicità della configurazione, tramite l’utilizzo di interfacce grafiche AJAX</w:t>
      </w:r>
    </w:p>
    <w:p w14:paraId="3A9D3185" w14:textId="77777777" w:rsidR="00D411CA" w:rsidRDefault="00000000">
      <w:pPr>
        <w:numPr>
          <w:ilvl w:val="0"/>
          <w:numId w:val="4"/>
        </w:numPr>
        <w:spacing w:after="0"/>
      </w:pPr>
      <w:r>
        <w:t>Facilità di integrazione con piattaforme già in esercizio (a livello di sicurezza e di protocolli)</w:t>
      </w:r>
    </w:p>
    <w:p w14:paraId="3B818CFD" w14:textId="77777777" w:rsidR="00D411CA" w:rsidRDefault="00000000">
      <w:pPr>
        <w:numPr>
          <w:ilvl w:val="0"/>
          <w:numId w:val="4"/>
        </w:numPr>
        <w:spacing w:after="0"/>
      </w:pPr>
      <w:r>
        <w:t>La gestione di una serie di funzionalità da parte degli operatori, avviene tramite il Progetto “areariservata2”, dove attraverso la presenza di alcuni sistemi di filtraggio, le richieste vengono inoltrate a al Controller di competenza che le processa.L’output generato viene inviato alla “View” individuata dal ViewController.</w:t>
      </w:r>
    </w:p>
    <w:p w14:paraId="740A9F4C" w14:textId="77777777" w:rsidR="00D411CA" w:rsidRDefault="00000000">
      <w:pPr>
        <w:numPr>
          <w:ilvl w:val="0"/>
          <w:numId w:val="4"/>
        </w:numPr>
        <w:spacing w:after="0"/>
      </w:pPr>
      <w:r>
        <w:t>La gestione della transazionalità è garantita da Spring a livello AOP.</w:t>
      </w:r>
    </w:p>
    <w:p w14:paraId="568E1B32" w14:textId="77777777" w:rsidR="00D411CA" w:rsidRDefault="00000000">
      <w:pPr>
        <w:numPr>
          <w:ilvl w:val="0"/>
          <w:numId w:val="4"/>
        </w:numPr>
        <w:spacing w:after="0"/>
      </w:pPr>
      <w:r>
        <w:t>Per quanto riguarda l’interazione con il database, è stato utilizzato l’ORM Hibernate.</w:t>
      </w:r>
    </w:p>
    <w:p w14:paraId="24B63F48" w14:textId="77777777" w:rsidR="00D411CA" w:rsidRDefault="00000000">
      <w:pPr>
        <w:numPr>
          <w:ilvl w:val="0"/>
          <w:numId w:val="4"/>
        </w:numPr>
        <w:spacing w:after="0"/>
      </w:pPr>
      <w:r>
        <w:t>L’autenticazione in VBG è gestita tramite Spring Security</w:t>
      </w:r>
    </w:p>
    <w:p w14:paraId="7EA67921" w14:textId="77777777" w:rsidR="00D411CA" w:rsidRDefault="00000000">
      <w:pPr>
        <w:numPr>
          <w:ilvl w:val="0"/>
          <w:numId w:val="4"/>
        </w:numPr>
        <w:spacing w:after="0"/>
      </w:pPr>
      <w:r>
        <w:t>Esistono gruppi di utenti che assolvono a varie funzioni, è necessario definire le regole di profilazione (chi può fare cosa)</w:t>
      </w:r>
    </w:p>
    <w:p w14:paraId="5381EE3C" w14:textId="77777777" w:rsidR="00D411CA" w:rsidRDefault="00000000">
      <w:pPr>
        <w:numPr>
          <w:ilvl w:val="0"/>
          <w:numId w:val="4"/>
        </w:numPr>
        <w:spacing w:after="0"/>
      </w:pPr>
      <w:r>
        <w:t>Area Procedimenti Amministrativi di VBG : con la Pratica si istanzia un procedimento amministrativo, la pratica è composta da documenti, iter della procedura, iter di WorkFlow</w:t>
      </w:r>
    </w:p>
    <w:p w14:paraId="3A9D4864" w14:textId="77777777" w:rsidR="00D411CA" w:rsidRDefault="00000000">
      <w:pPr>
        <w:numPr>
          <w:ilvl w:val="0"/>
          <w:numId w:val="4"/>
        </w:numPr>
        <w:spacing w:after="0"/>
      </w:pPr>
      <w:r>
        <w:t>Area Servizi di Community di VBG :  riguarda i servizi di comunicazione degli enti verso l’esterno</w:t>
      </w:r>
    </w:p>
    <w:p w14:paraId="3EEF00F1" w14:textId="77777777" w:rsidR="00D411CA" w:rsidRDefault="00000000">
      <w:pPr>
        <w:numPr>
          <w:ilvl w:val="0"/>
          <w:numId w:val="4"/>
        </w:numPr>
        <w:spacing w:after="0"/>
      </w:pPr>
      <w:r>
        <w:t>Area Configurazioni Applicative di VBG : è l’area che contiene le informazioni riguardanti i servizi utilizzati per comunicare verso l’esterno (server di posta elettronica, web service, ecc)</w:t>
      </w:r>
    </w:p>
    <w:p w14:paraId="7203E481" w14:textId="77777777" w:rsidR="00D411CA" w:rsidRDefault="00000000">
      <w:pPr>
        <w:numPr>
          <w:ilvl w:val="0"/>
          <w:numId w:val="4"/>
        </w:numPr>
        <w:spacing w:after="0"/>
      </w:pPr>
      <w:r>
        <w:t>Possono accedere a VBG sistemi esterni tramite autenticazione FED-Umbria</w:t>
      </w:r>
    </w:p>
    <w:p w14:paraId="1A622998" w14:textId="77777777" w:rsidR="00D411CA" w:rsidRDefault="00000000">
      <w:pPr>
        <w:numPr>
          <w:ilvl w:val="0"/>
          <w:numId w:val="4"/>
        </w:numPr>
        <w:spacing w:after="0"/>
      </w:pPr>
      <w:r>
        <w:t>La soluzione VBG prevede la configurazione di Procedimenti e Domini, un esempio è la DIA (dichiarazione inizio lavori ) procedimento Edizia Dominio informativo (attraverso metadati).</w:t>
      </w:r>
    </w:p>
    <w:p w14:paraId="42E26218" w14:textId="77777777" w:rsidR="00D411CA" w:rsidRDefault="00000000">
      <w:pPr>
        <w:numPr>
          <w:ilvl w:val="0"/>
          <w:numId w:val="4"/>
        </w:numPr>
        <w:spacing w:after="0"/>
      </w:pPr>
      <w:r>
        <w:t>Nei Procedimenti Amministrativi il componente VBG coinvolto nella gestione delle Istanze è “IstanzeService”</w:t>
      </w:r>
    </w:p>
    <w:p w14:paraId="01D9FD34" w14:textId="77777777" w:rsidR="00D411CA" w:rsidRDefault="00000000">
      <w:pPr>
        <w:numPr>
          <w:ilvl w:val="0"/>
          <w:numId w:val="4"/>
        </w:numPr>
        <w:spacing w:after="0"/>
      </w:pPr>
      <w:r>
        <w:t>Nella gestione delle istanze, VBG è in grado di effettuare ricerche di pratiche, di consultarne allegati e di provvedere alle stampe.</w:t>
      </w:r>
    </w:p>
    <w:p w14:paraId="22D35623" w14:textId="77777777" w:rsidR="00D411CA" w:rsidRDefault="00000000">
      <w:pPr>
        <w:numPr>
          <w:ilvl w:val="0"/>
          <w:numId w:val="4"/>
        </w:numPr>
      </w:pPr>
      <w:r>
        <w:t>Il “Front  Office” realizzato con interfaccia semplice ed intuitiva presenta all’utente l’elenco dei servizi di cui può usufruire e la consultazione di istanze in lavorazione o già inviate.</w:t>
      </w:r>
    </w:p>
    <w:p w14:paraId="209C3092" w14:textId="77777777" w:rsidR="00D411CA" w:rsidRDefault="00000000">
      <w:r>
        <w:t>Maggiori dettagli in merito al funzionamento del VBG e alle funzionalità sono consultabili nel documento:</w:t>
      </w:r>
    </w:p>
    <w:p w14:paraId="23000FD5" w14:textId="77777777" w:rsidR="00D411CA" w:rsidRDefault="00000000">
      <w:pPr>
        <w:numPr>
          <w:ilvl w:val="0"/>
          <w:numId w:val="5"/>
        </w:numPr>
        <w:rPr>
          <w:b/>
        </w:rPr>
      </w:pPr>
      <w:r>
        <w:rPr>
          <w:b/>
        </w:rPr>
        <w:lastRenderedPageBreak/>
        <w:t>Componenti-e-librerie.xlsx</w:t>
      </w:r>
    </w:p>
    <w:p w14:paraId="546C1A19" w14:textId="77777777" w:rsidR="00D411CA" w:rsidRDefault="00000000">
      <w:r>
        <w:t>VBG è in grado di integrarsi con una serie di sistemi di pagamento esterni, l’integrazione non avviene direttamente, ma tramite l’utilizzo del progetto nodo-pagamenti, che contiene la business logic ed espone un’unica interfaccia verso VBG. Il sistema di pagamento, una volta implementato è configurabile per ente riusante ed è trasparente a livello VBG. Maggiori dettagli riguardo ai sistemi di pagamento già integrati sono disponibili consultando il documento:</w:t>
      </w:r>
    </w:p>
    <w:p w14:paraId="52320201" w14:textId="77777777" w:rsidR="00D411CA" w:rsidRPr="00D92360" w:rsidRDefault="00000000" w:rsidP="00D9236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configurazione\nodo-pagamenti\READMINE.md</w:t>
      </w:r>
    </w:p>
    <w:sectPr w:rsidR="00D411CA" w:rsidRPr="00D92360">
      <w:headerReference w:type="default" r:id="rId13"/>
      <w:footerReference w:type="default" r:id="rId14"/>
      <w:pgSz w:w="11906" w:h="16838"/>
      <w:pgMar w:top="1935" w:right="1134" w:bottom="1850" w:left="1134" w:header="567" w:footer="71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E5FCB" w14:textId="77777777" w:rsidR="00F915FE" w:rsidRDefault="00F915FE">
      <w:pPr>
        <w:spacing w:after="0" w:line="240" w:lineRule="auto"/>
      </w:pPr>
      <w:r>
        <w:separator/>
      </w:r>
    </w:p>
  </w:endnote>
  <w:endnote w:type="continuationSeparator" w:id="0">
    <w:p w14:paraId="2C22C256" w14:textId="77777777" w:rsidR="00F915FE" w:rsidRDefault="00F9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C691" w14:textId="77777777" w:rsidR="00D411CA" w:rsidRDefault="00D9236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anchor distT="0" distB="0" distL="114300" distR="114300" simplePos="0" relativeHeight="251659264" behindDoc="0" locked="0" layoutInCell="1" allowOverlap="1" wp14:anchorId="0C2FA4CF" wp14:editId="1AD24975">
          <wp:simplePos x="0" y="0"/>
          <wp:positionH relativeFrom="column">
            <wp:posOffset>-146050</wp:posOffset>
          </wp:positionH>
          <wp:positionV relativeFrom="paragraph">
            <wp:posOffset>-134620</wp:posOffset>
          </wp:positionV>
          <wp:extent cx="1333916" cy="463550"/>
          <wp:effectExtent l="0" t="0" r="0" b="0"/>
          <wp:wrapNone/>
          <wp:docPr id="76" name="Immagin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916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</w:p>
  <w:p w14:paraId="247C83A4" w14:textId="77777777" w:rsidR="00D411CA" w:rsidRDefault="00D411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CCF62" w14:textId="77777777" w:rsidR="00F915FE" w:rsidRDefault="00F915FE">
      <w:pPr>
        <w:spacing w:after="0" w:line="240" w:lineRule="auto"/>
      </w:pPr>
      <w:r>
        <w:separator/>
      </w:r>
    </w:p>
  </w:footnote>
  <w:footnote w:type="continuationSeparator" w:id="0">
    <w:p w14:paraId="4DB5B5C7" w14:textId="77777777" w:rsidR="00F915FE" w:rsidRDefault="00F915FE">
      <w:pPr>
        <w:spacing w:after="0" w:line="240" w:lineRule="auto"/>
      </w:pPr>
      <w:r>
        <w:continuationSeparator/>
      </w:r>
    </w:p>
  </w:footnote>
  <w:footnote w:id="1">
    <w:p w14:paraId="1058C015" w14:textId="77777777" w:rsidR="00D411C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/>
          <w:color w:val="000000"/>
          <w:sz w:val="20"/>
          <w:szCs w:val="20"/>
        </w:rPr>
      </w:pPr>
      <w:bookmarkStart w:id="3" w:name="_heading=h.4d34og8" w:colFirst="0" w:colLast="0"/>
      <w:bookmarkEnd w:id="3"/>
      <w:r>
        <w:rPr>
          <w:rStyle w:val="Rimandonotaapidipagina"/>
        </w:rPr>
        <w:footnoteRef/>
      </w:r>
      <w:r>
        <w:rPr>
          <w:rFonts w:ascii="Calibri" w:hAnsi="Calibri"/>
          <w:color w:val="000000"/>
          <w:sz w:val="20"/>
          <w:szCs w:val="20"/>
        </w:rPr>
        <w:t xml:space="preserve"> OCPA – OpenCommunityPA2020: primo Avviso pubblico per interventi volti al trasferimento, evoluzione e diffusione di buone prassi fra Pubbliche Amministrazioni.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2612D" w14:textId="77777777" w:rsidR="00D411C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46D79B38" wp14:editId="586A96FF">
          <wp:extent cx="6108700" cy="609600"/>
          <wp:effectExtent l="0" t="0" r="0" b="0"/>
          <wp:docPr id="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D6B"/>
    <w:multiLevelType w:val="multilevel"/>
    <w:tmpl w:val="E1E21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5D3E2E"/>
    <w:multiLevelType w:val="multilevel"/>
    <w:tmpl w:val="50E022B6"/>
    <w:lvl w:ilvl="0">
      <w:start w:val="1"/>
      <w:numFmt w:val="bullet"/>
      <w:pStyle w:val="Stilepuntato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0E406A"/>
    <w:multiLevelType w:val="multilevel"/>
    <w:tmpl w:val="A4C215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E61109"/>
    <w:multiLevelType w:val="multilevel"/>
    <w:tmpl w:val="59D0E318"/>
    <w:lvl w:ilvl="0">
      <w:start w:val="1"/>
      <w:numFmt w:val="bullet"/>
      <w:pStyle w:val="Titolo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itolo3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itolo4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226160"/>
    <w:multiLevelType w:val="multilevel"/>
    <w:tmpl w:val="B756E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0C463B"/>
    <w:multiLevelType w:val="multilevel"/>
    <w:tmpl w:val="1B26B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C86007"/>
    <w:multiLevelType w:val="multilevel"/>
    <w:tmpl w:val="4F501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4270B3"/>
    <w:multiLevelType w:val="multilevel"/>
    <w:tmpl w:val="89E6DE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8932E5D"/>
    <w:multiLevelType w:val="multilevel"/>
    <w:tmpl w:val="D742A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6A4763"/>
    <w:multiLevelType w:val="multilevel"/>
    <w:tmpl w:val="C492C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6719368">
    <w:abstractNumId w:val="3"/>
  </w:num>
  <w:num w:numId="2" w16cid:durableId="918519054">
    <w:abstractNumId w:val="1"/>
  </w:num>
  <w:num w:numId="3" w16cid:durableId="359010359">
    <w:abstractNumId w:val="5"/>
  </w:num>
  <w:num w:numId="4" w16cid:durableId="552468882">
    <w:abstractNumId w:val="8"/>
  </w:num>
  <w:num w:numId="5" w16cid:durableId="1565675514">
    <w:abstractNumId w:val="6"/>
  </w:num>
  <w:num w:numId="6" w16cid:durableId="1018852958">
    <w:abstractNumId w:val="9"/>
  </w:num>
  <w:num w:numId="7" w16cid:durableId="708846205">
    <w:abstractNumId w:val="4"/>
  </w:num>
  <w:num w:numId="8" w16cid:durableId="1571041595">
    <w:abstractNumId w:val="0"/>
  </w:num>
  <w:num w:numId="9" w16cid:durableId="247660834">
    <w:abstractNumId w:val="2"/>
  </w:num>
  <w:num w:numId="10" w16cid:durableId="12803359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1CA"/>
    <w:rsid w:val="00141074"/>
    <w:rsid w:val="001D248D"/>
    <w:rsid w:val="009E6F76"/>
    <w:rsid w:val="00D411CA"/>
    <w:rsid w:val="00D92360"/>
    <w:rsid w:val="00F9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FA5612"/>
  <w15:docId w15:val="{51EF87F2-35DE-43C8-A414-925B2DB3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styleId="Tabellagriglia5scura-colore4">
    <w:name w:val="Grid Table 5 Dark Accent 4"/>
    <w:basedOn w:val="Tabellanormale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fFV4lQVF/SbO/ssfMv9TwMPQxg==">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6</cp:revision>
  <cp:lastPrinted>2022-10-29T10:18:00Z</cp:lastPrinted>
  <dcterms:created xsi:type="dcterms:W3CDTF">2022-05-13T16:10:00Z</dcterms:created>
  <dcterms:modified xsi:type="dcterms:W3CDTF">2022-10-29T10:18:00Z</dcterms:modified>
</cp:coreProperties>
</file>