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D28A" w14:textId="77777777" w:rsidR="008E5455" w:rsidRDefault="00000000">
      <w:pPr>
        <w:pStyle w:val="Titolo"/>
      </w:pPr>
      <w:r>
        <w:rPr>
          <w:noProof/>
        </w:rPr>
        <w:drawing>
          <wp:inline distT="0" distB="0" distL="0" distR="0" wp14:anchorId="3C09F838" wp14:editId="658450B6">
            <wp:extent cx="6120130" cy="821499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DCB14" w14:textId="77777777" w:rsidR="008E5455" w:rsidRDefault="008E5455">
      <w:pPr>
        <w:pStyle w:val="Titolo"/>
      </w:pPr>
    </w:p>
    <w:p w14:paraId="03A49B08" w14:textId="77777777" w:rsidR="008E5455" w:rsidRDefault="008E5455">
      <w:pPr>
        <w:pStyle w:val="Titolo"/>
      </w:pPr>
    </w:p>
    <w:p w14:paraId="5CDC306F" w14:textId="77777777" w:rsidR="008E5455" w:rsidRDefault="00000000">
      <w:pPr>
        <w:pStyle w:val="Titolo"/>
        <w:ind w:left="567"/>
        <w:jc w:val="left"/>
        <w:rPr>
          <w:b/>
          <w:color w:val="2F5496"/>
          <w:sz w:val="48"/>
          <w:szCs w:val="48"/>
        </w:rPr>
      </w:pPr>
      <w:bookmarkStart w:id="0" w:name="_heading=h.bnyxp3qjjgo1" w:colFirst="0" w:colLast="0"/>
      <w:bookmarkEnd w:id="0"/>
      <w:r>
        <w:rPr>
          <w:b/>
          <w:color w:val="2F5496"/>
          <w:sz w:val="48"/>
          <w:szCs w:val="48"/>
        </w:rPr>
        <w:t>Riuso VBG/SUAPE 3.0</w:t>
      </w:r>
    </w:p>
    <w:p w14:paraId="063B0AD0" w14:textId="77777777" w:rsidR="008E5455" w:rsidRDefault="00000000">
      <w:pPr>
        <w:ind w:left="567"/>
        <w:jc w:val="left"/>
        <w:rPr>
          <w:rFonts w:ascii="Calibri" w:hAnsi="Calibri"/>
          <w:b/>
          <w:color w:val="2F5496"/>
          <w:sz w:val="38"/>
          <w:szCs w:val="38"/>
        </w:rPr>
      </w:pPr>
      <w:r>
        <w:rPr>
          <w:rFonts w:ascii="Calibri" w:hAnsi="Calibri"/>
          <w:b/>
          <w:color w:val="2F5496"/>
          <w:sz w:val="38"/>
          <w:szCs w:val="38"/>
        </w:rPr>
        <w:t>KIT di riuso Fase B – Trasferimento e adozione della soluzione</w:t>
      </w:r>
    </w:p>
    <w:p w14:paraId="221A840A" w14:textId="77777777" w:rsidR="008E5455" w:rsidRDefault="00000000">
      <w:pPr>
        <w:ind w:left="567"/>
        <w:jc w:val="left"/>
        <w:rPr>
          <w:rFonts w:ascii="Calibri" w:hAnsi="Calibri"/>
          <w:b/>
          <w:color w:val="2F5496"/>
          <w:sz w:val="36"/>
          <w:szCs w:val="36"/>
          <w:u w:val="single"/>
        </w:rPr>
      </w:pPr>
      <w:r>
        <w:rPr>
          <w:rFonts w:ascii="Calibri" w:hAnsi="Calibri"/>
          <w:b/>
          <w:color w:val="2F5496"/>
          <w:sz w:val="36"/>
          <w:szCs w:val="36"/>
          <w:u w:val="single"/>
        </w:rPr>
        <w:t>B4. Strumenti amministrativi</w:t>
      </w:r>
    </w:p>
    <w:p w14:paraId="6E482921" w14:textId="77777777" w:rsidR="008E5455" w:rsidRDefault="00000000">
      <w:pPr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B4.1 Procedure per l’adozione della soluzione</w:t>
      </w:r>
    </w:p>
    <w:p w14:paraId="615ECB5A" w14:textId="77777777" w:rsidR="008E5455" w:rsidRDefault="00000000">
      <w:pPr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B4.2 Elenco dei soggetti che hanno operato sulla soluzione</w:t>
      </w:r>
    </w:p>
    <w:p w14:paraId="0CAC18FC" w14:textId="77777777" w:rsidR="008E5455" w:rsidRDefault="008E5455">
      <w:pPr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4147347E" w14:textId="77777777" w:rsidR="008E5455" w:rsidRDefault="008E5455">
      <w:pPr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63B5A169" w14:textId="77777777" w:rsidR="008E5455" w:rsidRDefault="00000000">
      <w:pPr>
        <w:ind w:left="567"/>
        <w:rPr>
          <w:rFonts w:ascii="Calibri" w:hAnsi="Calibri"/>
        </w:rPr>
      </w:pPr>
      <w:r>
        <w:rPr>
          <w:rFonts w:ascii="Calibri" w:hAnsi="Calibri"/>
        </w:rPr>
        <w:t>Versione: 1.0</w:t>
      </w:r>
    </w:p>
    <w:p w14:paraId="49FE189A" w14:textId="77777777" w:rsidR="008E5455" w:rsidRDefault="00000000">
      <w:pPr>
        <w:rPr>
          <w:rFonts w:ascii="Calibri" w:hAnsi="Calibri"/>
        </w:rPr>
      </w:pPr>
      <w:r>
        <w:br w:type="page"/>
      </w:r>
    </w:p>
    <w:p w14:paraId="3402B585" w14:textId="77777777" w:rsidR="008E5455" w:rsidRDefault="008E5455">
      <w:pPr>
        <w:pStyle w:val="Titolo1"/>
      </w:pPr>
    </w:p>
    <w:p w14:paraId="66FA8688" w14:textId="77777777" w:rsidR="008E545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id w:val="-716893807"/>
        <w:docPartObj>
          <w:docPartGallery w:val="Table of Contents"/>
          <w:docPartUnique/>
        </w:docPartObj>
      </w:sdtPr>
      <w:sdtEnd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</w:sdtEndPr>
      <w:sdtContent>
        <w:p w14:paraId="289CF8FE" w14:textId="2DB80C4E" w:rsidR="008A1B35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938363" w:history="1">
            <w:r w:rsidR="008A1B35" w:rsidRPr="00FD43E6">
              <w:rPr>
                <w:rStyle w:val="Collegamentoipertestuale"/>
                <w:rFonts w:ascii="Calibri" w:hAnsi="Calibri" w:cs="Calibri"/>
                <w:noProof/>
              </w:rPr>
              <w:t>Premessa</w:t>
            </w:r>
            <w:r w:rsidR="008A1B35">
              <w:rPr>
                <w:noProof/>
                <w:webHidden/>
              </w:rPr>
              <w:tab/>
            </w:r>
            <w:r w:rsidR="008A1B35">
              <w:rPr>
                <w:noProof/>
                <w:webHidden/>
              </w:rPr>
              <w:fldChar w:fldCharType="begin"/>
            </w:r>
            <w:r w:rsidR="008A1B35">
              <w:rPr>
                <w:noProof/>
                <w:webHidden/>
              </w:rPr>
              <w:instrText xml:space="preserve"> PAGEREF _Toc117938363 \h </w:instrText>
            </w:r>
            <w:r w:rsidR="008A1B35">
              <w:rPr>
                <w:noProof/>
                <w:webHidden/>
              </w:rPr>
            </w:r>
            <w:r w:rsidR="008A1B35">
              <w:rPr>
                <w:noProof/>
                <w:webHidden/>
              </w:rPr>
              <w:fldChar w:fldCharType="separate"/>
            </w:r>
            <w:r w:rsidR="008A1B35">
              <w:rPr>
                <w:noProof/>
                <w:webHidden/>
              </w:rPr>
              <w:t>3</w:t>
            </w:r>
            <w:r w:rsidR="008A1B35">
              <w:rPr>
                <w:noProof/>
                <w:webHidden/>
              </w:rPr>
              <w:fldChar w:fldCharType="end"/>
            </w:r>
          </w:hyperlink>
        </w:p>
        <w:p w14:paraId="2908E1BF" w14:textId="253FAFC7" w:rsidR="008A1B35" w:rsidRDefault="008A1B35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938364" w:history="1">
            <w:r w:rsidRPr="00FD43E6">
              <w:rPr>
                <w:rStyle w:val="Collegamentoipertestuale"/>
                <w:rFonts w:ascii="Calibri" w:hAnsi="Calibri" w:cs="Calibri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FD43E6">
              <w:rPr>
                <w:rStyle w:val="Collegamentoipertestuale"/>
                <w:rFonts w:ascii="Calibri" w:hAnsi="Calibri" w:cs="Calibri"/>
                <w:noProof/>
              </w:rPr>
              <w:t>Procedure per l’adozione della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1C13" w14:textId="1F0C5E0A" w:rsidR="008A1B35" w:rsidRDefault="008A1B35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8365" w:history="1">
            <w:r w:rsidRPr="00FD43E6">
              <w:rPr>
                <w:rStyle w:val="Collegamentoipertestuale"/>
                <w:rFonts w:ascii="Calibri" w:hAnsi="Calibri" w:cs="Calibri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FD43E6">
              <w:rPr>
                <w:rStyle w:val="Collegamentoipertestuale"/>
                <w:rFonts w:ascii="Calibri" w:hAnsi="Calibri" w:cs="Calibri"/>
                <w:noProof/>
              </w:rPr>
              <w:t>Procedure e atti amministrativi per l’adozione della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EDE1" w14:textId="32EF4A6B" w:rsidR="008A1B35" w:rsidRDefault="008A1B35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8366" w:history="1">
            <w:r w:rsidRPr="00FD43E6">
              <w:rPr>
                <w:rStyle w:val="Collegamentoipertestuale"/>
                <w:rFonts w:ascii="Calibri" w:hAnsi="Calibri" w:cs="Calibri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FD43E6">
              <w:rPr>
                <w:rStyle w:val="Collegamentoipertestuale"/>
                <w:rFonts w:ascii="Calibri" w:hAnsi="Calibri" w:cs="Calibri"/>
                <w:noProof/>
              </w:rPr>
              <w:t xml:space="preserve">Procedure e atti amministrativi di </w:t>
            </w:r>
            <w:r w:rsidRPr="00FD43E6">
              <w:rPr>
                <w:rStyle w:val="Collegamentoipertestuale"/>
                <w:rFonts w:ascii="Calibri" w:hAnsi="Calibri" w:cs="Calibri"/>
                <w:i/>
                <w:noProof/>
              </w:rPr>
              <w:t>procurement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9693" w14:textId="186551F1" w:rsidR="008A1B35" w:rsidRDefault="008A1B35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8367" w:history="1">
            <w:r w:rsidRPr="00FD43E6">
              <w:rPr>
                <w:rStyle w:val="Collegamentoipertestuale"/>
                <w:rFonts w:ascii="Calibri" w:hAnsi="Calibri" w:cs="Calibri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FD43E6">
              <w:rPr>
                <w:rStyle w:val="Collegamentoipertestuale"/>
                <w:rFonts w:ascii="Calibri" w:hAnsi="Calibri" w:cs="Calibri"/>
                <w:noProof/>
              </w:rPr>
              <w:t>Riepilogo procedure per fase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D43F8" w14:textId="220ED757" w:rsidR="008A1B35" w:rsidRDefault="008A1B35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938368" w:history="1">
            <w:r w:rsidRPr="00FD43E6">
              <w:rPr>
                <w:rStyle w:val="Collegamentoipertestuale"/>
                <w:rFonts w:ascii="Calibri" w:hAnsi="Calibri" w:cs="Calibr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FD43E6">
              <w:rPr>
                <w:rStyle w:val="Collegamentoipertestuale"/>
                <w:rFonts w:ascii="Calibri" w:hAnsi="Calibri" w:cs="Calibri"/>
                <w:noProof/>
              </w:rPr>
              <w:t>Elenco dei soggetti che hanno operato sulla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C2161" w14:textId="18654E46" w:rsidR="008E5455" w:rsidRDefault="00000000">
          <w:pPr>
            <w:rPr>
              <w:rFonts w:ascii="Calibri" w:hAnsi="Calibri"/>
            </w:rPr>
          </w:pPr>
          <w:r>
            <w:fldChar w:fldCharType="end"/>
          </w:r>
        </w:p>
      </w:sdtContent>
    </w:sdt>
    <w:p w14:paraId="47895BA8" w14:textId="77777777" w:rsidR="008E5455" w:rsidRDefault="00000000">
      <w:pPr>
        <w:rPr>
          <w:rFonts w:ascii="Calibri" w:hAnsi="Calibri"/>
        </w:rPr>
      </w:pPr>
      <w:r>
        <w:br w:type="page"/>
      </w:r>
    </w:p>
    <w:p w14:paraId="7B8E1890" w14:textId="77777777" w:rsidR="008E5455" w:rsidRDefault="00000000">
      <w:pPr>
        <w:pStyle w:val="Titolo1"/>
        <w:rPr>
          <w:rFonts w:ascii="Calibri" w:eastAsia="Calibri" w:hAnsi="Calibri" w:cs="Calibri"/>
        </w:rPr>
      </w:pPr>
      <w:bookmarkStart w:id="1" w:name="_Toc117938363"/>
      <w:r>
        <w:rPr>
          <w:rFonts w:ascii="Calibri" w:eastAsia="Calibri" w:hAnsi="Calibri" w:cs="Calibri"/>
        </w:rPr>
        <w:lastRenderedPageBreak/>
        <w:t>Premessa</w:t>
      </w:r>
      <w:bookmarkEnd w:id="1"/>
    </w:p>
    <w:p w14:paraId="15515908" w14:textId="77777777" w:rsidR="008E5455" w:rsidRDefault="00000000">
      <w:pPr>
        <w:rPr>
          <w:rFonts w:ascii="Calibri" w:hAnsi="Calibri"/>
        </w:rPr>
      </w:pPr>
      <w:bookmarkStart w:id="2" w:name="_heading=h.30j0zll" w:colFirst="0" w:colLast="0"/>
      <w:bookmarkEnd w:id="2"/>
      <w:r>
        <w:rPr>
          <w:rFonts w:ascii="Calibri" w:hAnsi="Calibri"/>
        </w:rPr>
        <w:t>Il presente documento raccoglie gli strumenti amministrativi del kit di riuso per la fase B – Trasferimento e adozione della soluzione. Gli strumenti amministrativi, come previsto dall’Avviso OCPA2020</w:t>
      </w:r>
      <w:r>
        <w:rPr>
          <w:rFonts w:ascii="Calibri" w:hAnsi="Calibri"/>
          <w:vertAlign w:val="superscript"/>
        </w:rPr>
        <w:footnoteReference w:id="1"/>
      </w:r>
      <w:r>
        <w:rPr>
          <w:rFonts w:ascii="Calibri" w:hAnsi="Calibri"/>
        </w:rPr>
        <w:t>, hanno lo scopo di fornire al riusante una serie di modelli di atti amministrativi a supporto del trasferimento della soluzione.</w:t>
      </w:r>
    </w:p>
    <w:p w14:paraId="6CD1402D" w14:textId="77777777" w:rsidR="008E5455" w:rsidRDefault="00000000">
      <w:pPr>
        <w:pStyle w:val="Titolo2"/>
        <w:numPr>
          <w:ilvl w:val="0"/>
          <w:numId w:val="4"/>
        </w:numPr>
        <w:rPr>
          <w:rFonts w:ascii="Calibri" w:hAnsi="Calibri" w:cs="Calibri"/>
        </w:rPr>
      </w:pPr>
      <w:bookmarkStart w:id="4" w:name="_Toc117938364"/>
      <w:r>
        <w:rPr>
          <w:rFonts w:ascii="Calibri" w:hAnsi="Calibri" w:cs="Calibri"/>
        </w:rPr>
        <w:t>Procedure per l’adozione della soluzione</w:t>
      </w:r>
      <w:bookmarkEnd w:id="4"/>
    </w:p>
    <w:p w14:paraId="3297E7FF" w14:textId="77777777" w:rsidR="008E5455" w:rsidRDefault="00000000">
      <w:pPr>
        <w:pStyle w:val="Titolo3"/>
        <w:numPr>
          <w:ilvl w:val="1"/>
          <w:numId w:val="4"/>
        </w:numPr>
        <w:rPr>
          <w:rFonts w:ascii="Calibri" w:hAnsi="Calibri" w:cs="Calibri"/>
        </w:rPr>
      </w:pPr>
      <w:bookmarkStart w:id="5" w:name="_Toc117938365"/>
      <w:r>
        <w:rPr>
          <w:rFonts w:ascii="Calibri" w:hAnsi="Calibri" w:cs="Calibri"/>
        </w:rPr>
        <w:t>Procedure e atti amministrativi per l’adozione della soluzione</w:t>
      </w:r>
      <w:bookmarkEnd w:id="5"/>
    </w:p>
    <w:p w14:paraId="08ABFFFA" w14:textId="77777777" w:rsidR="008E5455" w:rsidRDefault="00000000">
      <w:pPr>
        <w:rPr>
          <w:rFonts w:ascii="Calibri" w:hAnsi="Calibri"/>
        </w:rPr>
      </w:pPr>
      <w:r>
        <w:rPr>
          <w:rFonts w:ascii="Calibri" w:hAnsi="Calibri"/>
        </w:rPr>
        <w:t>Si elencano le procedure e i conseguenti atti amministrativi necessari per l’adozione della soluzione:</w:t>
      </w:r>
    </w:p>
    <w:p w14:paraId="4987C13B" w14:textId="77777777" w:rsidR="008E5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liberatorie d’uso dei materiali connessi alla soluzione, </w:t>
      </w:r>
    </w:p>
    <w:p w14:paraId="780CE319" w14:textId="77777777" w:rsidR="008E5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bozza di delibera/determina con le motivazioni di scelta della soluzione, </w:t>
      </w:r>
    </w:p>
    <w:p w14:paraId="21714127" w14:textId="77777777" w:rsidR="008E5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convenzione di adesione a community o strutture sovracomunali</w:t>
      </w:r>
      <w:r>
        <w:t>.</w:t>
      </w:r>
    </w:p>
    <w:p w14:paraId="10DD2D71" w14:textId="77777777" w:rsidR="008E5455" w:rsidRDefault="008E54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0250B57" w14:textId="77777777" w:rsidR="008E5455" w:rsidRDefault="00000000">
      <w:pPr>
        <w:rPr>
          <w:rFonts w:ascii="Calibri" w:hAnsi="Calibri"/>
        </w:rPr>
      </w:pPr>
      <w:r>
        <w:rPr>
          <w:rFonts w:ascii="Calibri" w:hAnsi="Calibri"/>
        </w:rPr>
        <w:t>Per ogni procedura in elenco, sono indicati puntualmente gli atti amministrativi connessi e il nome dei rispettivi modelli presenti nell’Archivio B4 Allegato - Procedure per l’adozione della soluzione.</w:t>
      </w:r>
    </w:p>
    <w:p w14:paraId="7830C06D" w14:textId="77777777" w:rsidR="008E5455" w:rsidRDefault="00000000">
      <w:pPr>
        <w:pStyle w:val="Titolo3"/>
        <w:numPr>
          <w:ilvl w:val="1"/>
          <w:numId w:val="4"/>
        </w:numPr>
        <w:rPr>
          <w:rFonts w:ascii="Calibri" w:hAnsi="Calibri" w:cs="Calibri"/>
        </w:rPr>
      </w:pPr>
      <w:bookmarkStart w:id="6" w:name="_Toc117938366"/>
      <w:r>
        <w:rPr>
          <w:rFonts w:ascii="Calibri" w:hAnsi="Calibri" w:cs="Calibri"/>
        </w:rPr>
        <w:t xml:space="preserve">Procedure e atti amministrativi di </w:t>
      </w:r>
      <w:r>
        <w:rPr>
          <w:rFonts w:ascii="Calibri" w:hAnsi="Calibri" w:cs="Calibri"/>
          <w:i/>
        </w:rPr>
        <w:t>procurement</w:t>
      </w:r>
      <w:bookmarkEnd w:id="6"/>
    </w:p>
    <w:p w14:paraId="0152FBCE" w14:textId="77777777" w:rsidR="008E5455" w:rsidRDefault="00000000">
      <w:pPr>
        <w:ind w:left="45"/>
        <w:rPr>
          <w:rFonts w:ascii="Calibri" w:hAnsi="Calibri"/>
        </w:rPr>
      </w:pPr>
      <w:r>
        <w:rPr>
          <w:rFonts w:ascii="Calibri" w:hAnsi="Calibri"/>
        </w:rPr>
        <w:t xml:space="preserve">Si elencano </w:t>
      </w:r>
      <w:r>
        <w:t>gl</w:t>
      </w:r>
      <w:r>
        <w:rPr>
          <w:rFonts w:ascii="Calibri" w:hAnsi="Calibri"/>
        </w:rPr>
        <w:t>i atti amministrativi utili per l’acquisizione di beni e servizi necessari per supportare adeguatamente il trasferimento e l’adozione della soluzione:</w:t>
      </w:r>
    </w:p>
    <w:p w14:paraId="6792B805" w14:textId="77777777" w:rsidR="008E54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fabbisogno/capitolato</w:t>
      </w:r>
    </w:p>
    <w:p w14:paraId="02AA7BC7" w14:textId="77777777" w:rsidR="008E54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determina a contrarre</w:t>
      </w:r>
    </w:p>
    <w:p w14:paraId="615B25B5" w14:textId="77777777" w:rsidR="008E54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eventuali accordi con terzi già stipulati dall’Amministrazione titolare e utilizzabili dall’Amministrazione valutante il riuso, ad esempio riguardanti attività di supporto per l’installazione e/o la personalizzazione della soluzione. </w:t>
      </w:r>
    </w:p>
    <w:p w14:paraId="00C2753D" w14:textId="77777777" w:rsidR="008E5455" w:rsidRDefault="00000000">
      <w:pPr>
        <w:pStyle w:val="Titolo3"/>
        <w:numPr>
          <w:ilvl w:val="1"/>
          <w:numId w:val="4"/>
        </w:numPr>
        <w:rPr>
          <w:rFonts w:ascii="Calibri" w:hAnsi="Calibri" w:cs="Calibri"/>
        </w:rPr>
      </w:pPr>
      <w:bookmarkStart w:id="7" w:name="_Toc117938367"/>
      <w:r>
        <w:rPr>
          <w:rFonts w:ascii="Calibri" w:hAnsi="Calibri" w:cs="Calibri"/>
        </w:rPr>
        <w:t>Riepilogo procedure per fase di progetto</w:t>
      </w:r>
      <w:bookmarkEnd w:id="7"/>
    </w:p>
    <w:p w14:paraId="3F185F88" w14:textId="77777777" w:rsidR="008E5455" w:rsidRDefault="00000000">
      <w:pPr>
        <w:rPr>
          <w:rFonts w:ascii="Calibri" w:hAnsi="Calibri"/>
        </w:rPr>
      </w:pPr>
      <w:r>
        <w:rPr>
          <w:rFonts w:ascii="Calibri" w:hAnsi="Calibri"/>
        </w:rPr>
        <w:t>La seguente tabella di riepilogo mette in relazione gli atti amministrativi raccolti con le fasi del progetto, riprese dal Piano Operativo (strumento gestionale B.1 del kit di riuso).</w:t>
      </w:r>
    </w:p>
    <w:p w14:paraId="2515AAFE" w14:textId="77777777" w:rsidR="008E5455" w:rsidRDefault="00000000">
      <w:pPr>
        <w:spacing w:before="120" w:after="120" w:line="240" w:lineRule="auto"/>
      </w:pPr>
      <w:r>
        <w:t>Procedura di richiesta attraverso riuso</w:t>
      </w:r>
    </w:p>
    <w:tbl>
      <w:tblPr>
        <w:tblStyle w:val="a"/>
        <w:tblW w:w="0" w:type="auto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20" w:firstRow="1" w:lastRow="0" w:firstColumn="0" w:lastColumn="0" w:noHBand="0" w:noVBand="1"/>
      </w:tblPr>
      <w:tblGrid>
        <w:gridCol w:w="2409"/>
        <w:gridCol w:w="2409"/>
        <w:gridCol w:w="2409"/>
        <w:gridCol w:w="2409"/>
      </w:tblGrid>
      <w:tr w:rsidR="008E5455" w14:paraId="3F7CE5D5" w14:textId="77777777" w:rsidTr="008E5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409" w:type="dxa"/>
            <w:vAlign w:val="center"/>
          </w:tcPr>
          <w:p w14:paraId="4B4D9542" w14:textId="77777777" w:rsidR="008E54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Procedura</w:t>
            </w:r>
          </w:p>
        </w:tc>
        <w:tc>
          <w:tcPr>
            <w:tcW w:w="2409" w:type="dxa"/>
            <w:vAlign w:val="center"/>
          </w:tcPr>
          <w:p w14:paraId="7A63EDA6" w14:textId="77777777" w:rsidR="008E54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Atti </w:t>
            </w:r>
          </w:p>
        </w:tc>
        <w:tc>
          <w:tcPr>
            <w:tcW w:w="2409" w:type="dxa"/>
            <w:vAlign w:val="center"/>
          </w:tcPr>
          <w:p w14:paraId="66A0EFFD" w14:textId="77777777" w:rsidR="008E54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Compilazione e/o invio</w:t>
            </w:r>
          </w:p>
        </w:tc>
        <w:tc>
          <w:tcPr>
            <w:tcW w:w="2409" w:type="dxa"/>
            <w:vAlign w:val="center"/>
          </w:tcPr>
          <w:p w14:paraId="4723B253" w14:textId="77777777" w:rsidR="008E54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file</w:t>
            </w:r>
          </w:p>
        </w:tc>
      </w:tr>
      <w:tr w:rsidR="008E5455" w14:paraId="059877F9" w14:textId="77777777" w:rsidTr="008E5455">
        <w:trPr>
          <w:cantSplit/>
        </w:trPr>
        <w:tc>
          <w:tcPr>
            <w:tcW w:w="9636" w:type="dxa"/>
            <w:gridSpan w:val="4"/>
          </w:tcPr>
          <w:p w14:paraId="3589E164" w14:textId="77777777" w:rsidR="008E5455" w:rsidRDefault="00000000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</w:rPr>
              <w:t>Richiesta di riuso</w:t>
            </w:r>
          </w:p>
        </w:tc>
      </w:tr>
      <w:tr w:rsidR="008E5455" w14:paraId="60E8E8C6" w14:textId="77777777" w:rsidTr="008E5455">
        <w:trPr>
          <w:cantSplit/>
        </w:trPr>
        <w:tc>
          <w:tcPr>
            <w:tcW w:w="2409" w:type="dxa"/>
          </w:tcPr>
          <w:p w14:paraId="453F393D" w14:textId="77777777" w:rsidR="008E5455" w:rsidRDefault="00000000">
            <w:pPr>
              <w:numPr>
                <w:ilvl w:val="0"/>
                <w:numId w:val="3"/>
              </w:numPr>
              <w:ind w:left="182" w:hanging="148"/>
              <w:rPr>
                <w:rFonts w:ascii="Calibri" w:hAnsi="Calibri"/>
              </w:rPr>
            </w:pPr>
            <w:r>
              <w:rPr>
                <w:sz w:val="18"/>
                <w:szCs w:val="18"/>
              </w:rPr>
              <w:t>Richiesta di riuso della Buona pratica</w:t>
            </w:r>
          </w:p>
        </w:tc>
        <w:tc>
          <w:tcPr>
            <w:tcW w:w="2409" w:type="dxa"/>
          </w:tcPr>
          <w:p w14:paraId="2583B254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Lettera di conoscenza e/o richiesta riuso soluzione</w:t>
            </w:r>
          </w:p>
        </w:tc>
        <w:tc>
          <w:tcPr>
            <w:tcW w:w="2409" w:type="dxa"/>
          </w:tcPr>
          <w:p w14:paraId="485CF9D6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409" w:type="dxa"/>
          </w:tcPr>
          <w:p w14:paraId="31E95EDC" w14:textId="77777777" w:rsidR="008E5455" w:rsidRDefault="008E5455">
            <w:pPr>
              <w:jc w:val="center"/>
              <w:rPr>
                <w:sz w:val="18"/>
                <w:szCs w:val="18"/>
              </w:rPr>
            </w:pPr>
          </w:p>
        </w:tc>
      </w:tr>
      <w:tr w:rsidR="008E5455" w14:paraId="04A24340" w14:textId="77777777" w:rsidTr="008E5455">
        <w:trPr>
          <w:cantSplit/>
        </w:trPr>
        <w:tc>
          <w:tcPr>
            <w:tcW w:w="2409" w:type="dxa"/>
          </w:tcPr>
          <w:p w14:paraId="6236DF60" w14:textId="77777777" w:rsidR="008E5455" w:rsidRDefault="00000000">
            <w:pPr>
              <w:numPr>
                <w:ilvl w:val="0"/>
                <w:numId w:val="3"/>
              </w:numPr>
              <w:ind w:left="182" w:hanging="148"/>
              <w:rPr>
                <w:rFonts w:ascii="Calibri" w:hAnsi="Calibri"/>
              </w:rPr>
            </w:pPr>
            <w:r>
              <w:rPr>
                <w:sz w:val="18"/>
                <w:szCs w:val="18"/>
              </w:rPr>
              <w:lastRenderedPageBreak/>
              <w:t xml:space="preserve">Valutazione della buona pratica </w:t>
            </w:r>
            <w:proofErr w:type="gramStart"/>
            <w:r>
              <w:rPr>
                <w:sz w:val="18"/>
                <w:szCs w:val="18"/>
              </w:rPr>
              <w:t>compilata  dal</w:t>
            </w:r>
            <w:proofErr w:type="gramEnd"/>
            <w:r>
              <w:rPr>
                <w:sz w:val="18"/>
                <w:szCs w:val="18"/>
              </w:rPr>
              <w:t xml:space="preserve"> richiedente in fase di valutazione della soluzione (</w:t>
            </w:r>
            <w:r>
              <w:rPr>
                <w:i/>
                <w:sz w:val="18"/>
                <w:szCs w:val="18"/>
              </w:rPr>
              <w:t xml:space="preserve">la scheda serve per capire quali siano stati i problemi di valutazione e il livello di problematica e dimensione organizzativa del richiedente. Il riuso fine a </w:t>
            </w:r>
            <w:proofErr w:type="gramStart"/>
            <w:r>
              <w:rPr>
                <w:i/>
                <w:sz w:val="18"/>
                <w:szCs w:val="18"/>
              </w:rPr>
              <w:t>se</w:t>
            </w:r>
            <w:proofErr w:type="gramEnd"/>
            <w:r>
              <w:rPr>
                <w:i/>
                <w:sz w:val="18"/>
                <w:szCs w:val="18"/>
              </w:rPr>
              <w:t xml:space="preserve"> stesso è una mera richiesta di soluzione senza nessun obbligo di contatto successivo, pertanto la possibilità di conoscere il richiedente da parte del cedente serve per comprendere chi e cosa è di interesse o quali livelli di complessità la buona pratica riesce a soddisfare. L’assenza di tale scheda non preclude l’acquisizione in riuso, ma la sua presenza supporta la persistenza in rete della soluzione stessa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14:paraId="6E2451D8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2409" w:type="dxa"/>
          </w:tcPr>
          <w:p w14:paraId="0264C1DC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409" w:type="dxa"/>
          </w:tcPr>
          <w:p w14:paraId="6E6DC818" w14:textId="77777777" w:rsidR="008E5455" w:rsidRDefault="008E5455">
            <w:pPr>
              <w:jc w:val="center"/>
              <w:rPr>
                <w:sz w:val="18"/>
                <w:szCs w:val="18"/>
              </w:rPr>
            </w:pPr>
          </w:p>
        </w:tc>
      </w:tr>
      <w:tr w:rsidR="008E5455" w14:paraId="198C973E" w14:textId="77777777" w:rsidTr="008E5455">
        <w:trPr>
          <w:cantSplit/>
        </w:trPr>
        <w:tc>
          <w:tcPr>
            <w:tcW w:w="2409" w:type="dxa"/>
          </w:tcPr>
          <w:p w14:paraId="5FFAA279" w14:textId="77777777" w:rsidR="008E5455" w:rsidRDefault="00000000">
            <w:pPr>
              <w:numPr>
                <w:ilvl w:val="0"/>
                <w:numId w:val="3"/>
              </w:numPr>
              <w:ind w:left="182" w:hanging="148"/>
              <w:rPr>
                <w:rFonts w:ascii="Calibri" w:hAnsi="Calibri"/>
              </w:rPr>
            </w:pPr>
            <w:r>
              <w:rPr>
                <w:sz w:val="18"/>
                <w:szCs w:val="18"/>
              </w:rPr>
              <w:t>Comunicazione dell’Ente cedente secondo quanto declinato nei regolamenti interni dell’Amministrazione proprietaria, in linea con le regole delle Linee guida del riuso e a tutela degli investimenti della P.A. in materia;</w:t>
            </w:r>
          </w:p>
        </w:tc>
        <w:tc>
          <w:tcPr>
            <w:tcW w:w="2409" w:type="dxa"/>
          </w:tcPr>
          <w:p w14:paraId="2D37ECF3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Lettera standard di risposta del Cedente</w:t>
            </w:r>
          </w:p>
        </w:tc>
        <w:tc>
          <w:tcPr>
            <w:tcW w:w="2409" w:type="dxa"/>
          </w:tcPr>
          <w:p w14:paraId="5589FCD2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409" w:type="dxa"/>
          </w:tcPr>
          <w:p w14:paraId="29B4D643" w14:textId="77777777" w:rsidR="008E5455" w:rsidRDefault="008E5455">
            <w:pPr>
              <w:jc w:val="center"/>
              <w:rPr>
                <w:sz w:val="18"/>
                <w:szCs w:val="18"/>
              </w:rPr>
            </w:pPr>
          </w:p>
        </w:tc>
      </w:tr>
      <w:tr w:rsidR="008E5455" w14:paraId="3B2574F4" w14:textId="77777777" w:rsidTr="008E5455">
        <w:trPr>
          <w:cantSplit/>
        </w:trPr>
        <w:tc>
          <w:tcPr>
            <w:tcW w:w="9636" w:type="dxa"/>
            <w:gridSpan w:val="4"/>
          </w:tcPr>
          <w:p w14:paraId="4192E344" w14:textId="77777777" w:rsidR="008E5455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b/>
              </w:rPr>
              <w:t>Accesso al Repository per acquisizione KIT Riuso</w:t>
            </w:r>
          </w:p>
        </w:tc>
      </w:tr>
      <w:tr w:rsidR="008E5455" w14:paraId="7E950E67" w14:textId="77777777" w:rsidTr="008E5455">
        <w:trPr>
          <w:cantSplit/>
        </w:trPr>
        <w:tc>
          <w:tcPr>
            <w:tcW w:w="2409" w:type="dxa"/>
          </w:tcPr>
          <w:p w14:paraId="270498E6" w14:textId="77777777" w:rsidR="008E5455" w:rsidRDefault="00000000">
            <w:pPr>
              <w:numPr>
                <w:ilvl w:val="0"/>
                <w:numId w:val="3"/>
              </w:numPr>
              <w:ind w:left="182" w:hanging="148"/>
              <w:rPr>
                <w:rFonts w:ascii="Calibri" w:hAnsi="Calibri"/>
              </w:rPr>
            </w:pPr>
            <w:r>
              <w:rPr>
                <w:sz w:val="18"/>
                <w:szCs w:val="18"/>
              </w:rPr>
              <w:t>Iscrizione alla Comunità GITHUB</w:t>
            </w:r>
          </w:p>
        </w:tc>
        <w:tc>
          <w:tcPr>
            <w:tcW w:w="2409" w:type="dxa"/>
          </w:tcPr>
          <w:p w14:paraId="766A6460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409" w:type="dxa"/>
          </w:tcPr>
          <w:p w14:paraId="6A99B93F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409" w:type="dxa"/>
          </w:tcPr>
          <w:p w14:paraId="2664A830" w14:textId="77777777" w:rsidR="008E5455" w:rsidRDefault="008E5455">
            <w:pPr>
              <w:jc w:val="center"/>
              <w:rPr>
                <w:sz w:val="18"/>
                <w:szCs w:val="18"/>
              </w:rPr>
            </w:pPr>
          </w:p>
        </w:tc>
      </w:tr>
      <w:tr w:rsidR="008E5455" w14:paraId="4A1E4505" w14:textId="77777777" w:rsidTr="008E5455">
        <w:trPr>
          <w:cantSplit/>
        </w:trPr>
        <w:tc>
          <w:tcPr>
            <w:tcW w:w="2409" w:type="dxa"/>
          </w:tcPr>
          <w:p w14:paraId="375684DF" w14:textId="77777777" w:rsidR="008E5455" w:rsidRDefault="00000000">
            <w:pPr>
              <w:numPr>
                <w:ilvl w:val="0"/>
                <w:numId w:val="3"/>
              </w:numPr>
              <w:ind w:left="182" w:hanging="148"/>
              <w:rPr>
                <w:rFonts w:ascii="Calibri" w:hAnsi="Calibri"/>
              </w:rPr>
            </w:pPr>
            <w:r>
              <w:rPr>
                <w:sz w:val="18"/>
                <w:szCs w:val="18"/>
              </w:rPr>
              <w:t>Lettera conferimento e registrazione riuso</w:t>
            </w:r>
          </w:p>
        </w:tc>
        <w:tc>
          <w:tcPr>
            <w:tcW w:w="2409" w:type="dxa"/>
          </w:tcPr>
          <w:p w14:paraId="0D3437CE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409" w:type="dxa"/>
          </w:tcPr>
          <w:p w14:paraId="274D96AE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409" w:type="dxa"/>
          </w:tcPr>
          <w:p w14:paraId="669A5791" w14:textId="77777777" w:rsidR="008E5455" w:rsidRDefault="008E5455">
            <w:pPr>
              <w:jc w:val="center"/>
              <w:rPr>
                <w:sz w:val="18"/>
                <w:szCs w:val="18"/>
              </w:rPr>
            </w:pPr>
          </w:p>
        </w:tc>
      </w:tr>
      <w:tr w:rsidR="008E5455" w14:paraId="2092C43B" w14:textId="77777777" w:rsidTr="008E5455">
        <w:trPr>
          <w:cantSplit/>
        </w:trPr>
        <w:tc>
          <w:tcPr>
            <w:tcW w:w="2409" w:type="dxa"/>
          </w:tcPr>
          <w:p w14:paraId="064AA783" w14:textId="77777777" w:rsidR="008E5455" w:rsidRDefault="00000000">
            <w:pPr>
              <w:numPr>
                <w:ilvl w:val="0"/>
                <w:numId w:val="3"/>
              </w:numPr>
              <w:ind w:left="182" w:hanging="148"/>
              <w:rPr>
                <w:rFonts w:ascii="Calibri" w:hAnsi="Calibri"/>
              </w:rPr>
            </w:pPr>
            <w:r>
              <w:rPr>
                <w:sz w:val="18"/>
                <w:szCs w:val="18"/>
              </w:rPr>
              <w:t>Accesso al Repository della buona pratica scaricabile nella modalità “Kit di Riuso”;</w:t>
            </w:r>
          </w:p>
        </w:tc>
        <w:tc>
          <w:tcPr>
            <w:tcW w:w="2409" w:type="dxa"/>
          </w:tcPr>
          <w:p w14:paraId="79090622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409" w:type="dxa"/>
          </w:tcPr>
          <w:p w14:paraId="6A3D335F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409" w:type="dxa"/>
          </w:tcPr>
          <w:p w14:paraId="48E8A871" w14:textId="77777777" w:rsidR="008E5455" w:rsidRDefault="008E5455">
            <w:pPr>
              <w:jc w:val="center"/>
              <w:rPr>
                <w:sz w:val="18"/>
                <w:szCs w:val="18"/>
              </w:rPr>
            </w:pPr>
          </w:p>
        </w:tc>
      </w:tr>
      <w:tr w:rsidR="008E5455" w14:paraId="4EF2FC5E" w14:textId="77777777" w:rsidTr="008E5455">
        <w:trPr>
          <w:cantSplit/>
        </w:trPr>
        <w:tc>
          <w:tcPr>
            <w:tcW w:w="9636" w:type="dxa"/>
            <w:gridSpan w:val="4"/>
          </w:tcPr>
          <w:p w14:paraId="397EC25B" w14:textId="77777777" w:rsidR="008E5455" w:rsidRDefault="00000000">
            <w:pPr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Richiesta di adesione alla Comunità di Pratica del riuso</w:t>
            </w:r>
          </w:p>
        </w:tc>
      </w:tr>
      <w:tr w:rsidR="008E5455" w14:paraId="3D18841B" w14:textId="77777777" w:rsidTr="008E5455">
        <w:trPr>
          <w:cantSplit/>
        </w:trPr>
        <w:tc>
          <w:tcPr>
            <w:tcW w:w="2409" w:type="dxa"/>
          </w:tcPr>
          <w:p w14:paraId="5AC87DC9" w14:textId="77777777" w:rsidR="008E5455" w:rsidRDefault="00000000">
            <w:pPr>
              <w:numPr>
                <w:ilvl w:val="0"/>
                <w:numId w:val="3"/>
              </w:numPr>
              <w:ind w:left="182" w:hanging="148"/>
              <w:rPr>
                <w:rFonts w:ascii="Calibri" w:hAnsi="Calibri"/>
              </w:rPr>
            </w:pPr>
            <w:r>
              <w:rPr>
                <w:sz w:val="18"/>
                <w:szCs w:val="18"/>
              </w:rPr>
              <w:t>Richiesta di adesione alla Comunità di Pratica del riuso</w:t>
            </w:r>
          </w:p>
        </w:tc>
        <w:tc>
          <w:tcPr>
            <w:tcW w:w="2409" w:type="dxa"/>
          </w:tcPr>
          <w:p w14:paraId="588E677A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Lettera richiesta motivata comunità di pratica</w:t>
            </w:r>
          </w:p>
        </w:tc>
        <w:tc>
          <w:tcPr>
            <w:tcW w:w="2409" w:type="dxa"/>
          </w:tcPr>
          <w:p w14:paraId="6A249CE4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409" w:type="dxa"/>
          </w:tcPr>
          <w:p w14:paraId="19A3D469" w14:textId="77777777" w:rsidR="008E5455" w:rsidRDefault="008E5455">
            <w:pPr>
              <w:jc w:val="center"/>
              <w:rPr>
                <w:sz w:val="18"/>
                <w:szCs w:val="18"/>
              </w:rPr>
            </w:pPr>
          </w:p>
        </w:tc>
      </w:tr>
      <w:tr w:rsidR="008E5455" w14:paraId="7D248C61" w14:textId="77777777" w:rsidTr="008E5455">
        <w:trPr>
          <w:cantSplit/>
        </w:trPr>
        <w:tc>
          <w:tcPr>
            <w:tcW w:w="2409" w:type="dxa"/>
          </w:tcPr>
          <w:p w14:paraId="7090CFFB" w14:textId="77777777" w:rsidR="008E5455" w:rsidRDefault="00000000">
            <w:pPr>
              <w:ind w:left="3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di adesione alla Comunità di pratica del riuso</w:t>
            </w:r>
          </w:p>
        </w:tc>
        <w:tc>
          <w:tcPr>
            <w:tcW w:w="2409" w:type="dxa"/>
          </w:tcPr>
          <w:p w14:paraId="7E87B7A8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Allegato “tecnico” per la delibera di adesione</w:t>
            </w:r>
          </w:p>
        </w:tc>
        <w:tc>
          <w:tcPr>
            <w:tcW w:w="2409" w:type="dxa"/>
          </w:tcPr>
          <w:p w14:paraId="379DA264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409" w:type="dxa"/>
          </w:tcPr>
          <w:p w14:paraId="356BA1A2" w14:textId="77777777" w:rsidR="008E5455" w:rsidRDefault="008E5455">
            <w:pPr>
              <w:jc w:val="center"/>
              <w:rPr>
                <w:sz w:val="18"/>
                <w:szCs w:val="18"/>
              </w:rPr>
            </w:pPr>
          </w:p>
        </w:tc>
      </w:tr>
      <w:tr w:rsidR="008E5455" w14:paraId="58AA4893" w14:textId="77777777" w:rsidTr="008E5455">
        <w:trPr>
          <w:cantSplit/>
        </w:trPr>
        <w:tc>
          <w:tcPr>
            <w:tcW w:w="2409" w:type="dxa"/>
          </w:tcPr>
          <w:p w14:paraId="7E2A5ED8" w14:textId="77777777" w:rsidR="008E5455" w:rsidRDefault="00000000">
            <w:pPr>
              <w:ind w:left="5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Comunicazione Profilo e servizi Associato</w:t>
            </w:r>
          </w:p>
        </w:tc>
        <w:tc>
          <w:tcPr>
            <w:tcW w:w="2409" w:type="dxa"/>
          </w:tcPr>
          <w:p w14:paraId="3A857D2E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409" w:type="dxa"/>
          </w:tcPr>
          <w:p w14:paraId="2E20192A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409" w:type="dxa"/>
          </w:tcPr>
          <w:p w14:paraId="207236BA" w14:textId="77777777" w:rsidR="008E5455" w:rsidRDefault="008E5455">
            <w:pPr>
              <w:jc w:val="center"/>
              <w:rPr>
                <w:sz w:val="18"/>
                <w:szCs w:val="18"/>
              </w:rPr>
            </w:pPr>
          </w:p>
        </w:tc>
      </w:tr>
      <w:tr w:rsidR="008E5455" w14:paraId="1E863DBD" w14:textId="77777777" w:rsidTr="008E5455">
        <w:trPr>
          <w:cantSplit/>
        </w:trPr>
        <w:tc>
          <w:tcPr>
            <w:tcW w:w="2409" w:type="dxa"/>
          </w:tcPr>
          <w:p w14:paraId="17AF026D" w14:textId="77777777" w:rsidR="008E5455" w:rsidRDefault="00000000">
            <w:pPr>
              <w:ind w:left="5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Delibera di adesione del riusante alla Comunità di pratica</w:t>
            </w:r>
          </w:p>
        </w:tc>
        <w:tc>
          <w:tcPr>
            <w:tcW w:w="2409" w:type="dxa"/>
          </w:tcPr>
          <w:p w14:paraId="2FFCCCF7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Bozza Format </w:t>
            </w:r>
          </w:p>
        </w:tc>
        <w:tc>
          <w:tcPr>
            <w:tcW w:w="2409" w:type="dxa"/>
          </w:tcPr>
          <w:p w14:paraId="104FF082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409" w:type="dxa"/>
          </w:tcPr>
          <w:p w14:paraId="65CA575B" w14:textId="77777777" w:rsidR="008E5455" w:rsidRDefault="008E5455">
            <w:pPr>
              <w:jc w:val="center"/>
              <w:rPr>
                <w:sz w:val="18"/>
                <w:szCs w:val="18"/>
              </w:rPr>
            </w:pPr>
          </w:p>
        </w:tc>
      </w:tr>
      <w:tr w:rsidR="008E5455" w14:paraId="2843013F" w14:textId="77777777" w:rsidTr="008E5455">
        <w:trPr>
          <w:cantSplit/>
        </w:trPr>
        <w:tc>
          <w:tcPr>
            <w:tcW w:w="9636" w:type="dxa"/>
            <w:gridSpan w:val="4"/>
          </w:tcPr>
          <w:p w14:paraId="1EFB42EB" w14:textId="77777777" w:rsidR="008E5455" w:rsidRDefault="00000000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Esecuzione delibera/determina con motivazioni scelta</w:t>
            </w:r>
          </w:p>
        </w:tc>
      </w:tr>
      <w:tr w:rsidR="008E5455" w14:paraId="173C3B71" w14:textId="77777777" w:rsidTr="008E5455">
        <w:trPr>
          <w:cantSplit/>
        </w:trPr>
        <w:tc>
          <w:tcPr>
            <w:tcW w:w="2409" w:type="dxa"/>
          </w:tcPr>
          <w:p w14:paraId="2D93997E" w14:textId="77777777" w:rsidR="008E5455" w:rsidRDefault="00000000">
            <w:pPr>
              <w:numPr>
                <w:ilvl w:val="0"/>
                <w:numId w:val="3"/>
              </w:numPr>
              <w:ind w:left="182" w:hanging="148"/>
              <w:rPr>
                <w:rFonts w:ascii="Calibri" w:hAnsi="Calibri"/>
              </w:rPr>
            </w:pPr>
            <w:r>
              <w:rPr>
                <w:sz w:val="18"/>
                <w:szCs w:val="18"/>
              </w:rPr>
              <w:t>Esecuzione della delibera/determina con le motivazioni di scelta</w:t>
            </w:r>
          </w:p>
        </w:tc>
        <w:tc>
          <w:tcPr>
            <w:tcW w:w="2409" w:type="dxa"/>
          </w:tcPr>
          <w:p w14:paraId="127434D1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 di acquisizione e riuso</w:t>
            </w:r>
          </w:p>
        </w:tc>
        <w:tc>
          <w:tcPr>
            <w:tcW w:w="2409" w:type="dxa"/>
          </w:tcPr>
          <w:p w14:paraId="0F1AF8B1" w14:textId="77777777" w:rsidR="008E545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409" w:type="dxa"/>
          </w:tcPr>
          <w:p w14:paraId="18C34BB6" w14:textId="77777777" w:rsidR="008E5455" w:rsidRDefault="008E5455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CC12BF9" w14:textId="77777777" w:rsidR="008E545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libri" w:hAnsi="Calibri"/>
          <w:i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>Tabella 1 - Riepilogo procedure e atti per fase di progetto</w:t>
      </w:r>
    </w:p>
    <w:p w14:paraId="19C0EC11" w14:textId="77777777" w:rsidR="008E5455" w:rsidRDefault="00000000">
      <w:pPr>
        <w:rPr>
          <w:rFonts w:ascii="Calibri" w:hAnsi="Calibri"/>
        </w:rPr>
      </w:pPr>
      <w:r>
        <w:rPr>
          <w:rFonts w:ascii="Calibri" w:hAnsi="Calibri"/>
        </w:rPr>
        <w:t>NB: il file di raccolta dati è lo stesso della fase A: A4R-B41R - Elenco procedure amministrative e di procurement.</w:t>
      </w:r>
    </w:p>
    <w:p w14:paraId="192CFE5A" w14:textId="77777777" w:rsidR="008E5455" w:rsidRDefault="00000000">
      <w:pPr>
        <w:pStyle w:val="Titolo2"/>
        <w:numPr>
          <w:ilvl w:val="0"/>
          <w:numId w:val="4"/>
        </w:numPr>
        <w:ind w:left="357" w:hanging="357"/>
        <w:rPr>
          <w:rFonts w:ascii="Calibri" w:hAnsi="Calibri" w:cs="Calibri"/>
        </w:rPr>
      </w:pPr>
      <w:bookmarkStart w:id="8" w:name="_Toc117938368"/>
      <w:r>
        <w:rPr>
          <w:rFonts w:ascii="Calibri" w:hAnsi="Calibri" w:cs="Calibri"/>
        </w:rPr>
        <w:t>Elenco dei soggetti che hanno operato sulla soluzione</w:t>
      </w:r>
      <w:bookmarkEnd w:id="8"/>
    </w:p>
    <w:p w14:paraId="6E2682AE" w14:textId="77777777" w:rsidR="008E5455" w:rsidRDefault="00000000">
      <w:pPr>
        <w:rPr>
          <w:rFonts w:ascii="Calibri" w:hAnsi="Calibri"/>
        </w:rPr>
      </w:pPr>
      <w:r>
        <w:rPr>
          <w:rFonts w:ascii="Calibri" w:hAnsi="Calibri"/>
        </w:rPr>
        <w:t>La seguente Tabella rappresenta una sorta di rubrica di contatti utili, cioè dei soggetti pubblici e privati che hanno operato sulla soluzione nell’ambito del progetto finanziato OCPA, così come negli altri progetti di riuso o di evoluzione della soluzione, con indicazione della loro conoscenza specifica sui modelli, processi, tecnologie, gli interventi effettuati e il contributo apportato al progetto.</w:t>
      </w:r>
    </w:p>
    <w:tbl>
      <w:tblPr>
        <w:tblStyle w:val="a0"/>
        <w:tblW w:w="9628" w:type="dxa"/>
        <w:jc w:val="center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986"/>
        <w:gridCol w:w="1840"/>
        <w:gridCol w:w="1840"/>
        <w:gridCol w:w="1840"/>
      </w:tblGrid>
      <w:tr w:rsidR="008E5455" w14:paraId="739E83B4" w14:textId="77777777" w:rsidTr="008E5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70520F" w14:textId="77777777" w:rsidR="008E5455" w:rsidRDefault="0000000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Ente cedente/ riusante/altro soggetto </w:t>
            </w:r>
          </w:p>
        </w:tc>
        <w:tc>
          <w:tcPr>
            <w:tcW w:w="1986" w:type="dxa"/>
          </w:tcPr>
          <w:p w14:paraId="2E08E53D" w14:textId="77777777" w:rsidR="008E5455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Competenza specifica (modelli, processi, </w:t>
            </w:r>
            <w:proofErr w:type="gramStart"/>
            <w:r>
              <w:rPr>
                <w:rFonts w:ascii="Calibri" w:hAnsi="Calibri"/>
              </w:rPr>
              <w:t>soluzione,..</w:t>
            </w:r>
            <w:proofErr w:type="gramEnd"/>
            <w:r>
              <w:rPr>
                <w:rFonts w:ascii="Calibri" w:hAnsi="Calibri"/>
              </w:rPr>
              <w:t>)</w:t>
            </w:r>
          </w:p>
        </w:tc>
        <w:tc>
          <w:tcPr>
            <w:tcW w:w="1840" w:type="dxa"/>
          </w:tcPr>
          <w:p w14:paraId="264F1C32" w14:textId="77777777" w:rsidR="008E5455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Riferimento (nome e cognome)</w:t>
            </w:r>
          </w:p>
        </w:tc>
        <w:tc>
          <w:tcPr>
            <w:tcW w:w="1840" w:type="dxa"/>
          </w:tcPr>
          <w:p w14:paraId="43F96522" w14:textId="77777777" w:rsidR="008E5455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Email</w:t>
            </w:r>
            <w:proofErr w:type="gramEnd"/>
          </w:p>
        </w:tc>
        <w:tc>
          <w:tcPr>
            <w:tcW w:w="1840" w:type="dxa"/>
          </w:tcPr>
          <w:p w14:paraId="51A9A151" w14:textId="77777777" w:rsidR="008E5455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Ruolo nel progetto</w:t>
            </w:r>
          </w:p>
        </w:tc>
      </w:tr>
      <w:tr w:rsidR="008E5455" w14:paraId="5FBE8000" w14:textId="77777777" w:rsidTr="008E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2F8415" w14:textId="77777777" w:rsidR="008E5455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 Umbria</w:t>
            </w:r>
          </w:p>
        </w:tc>
        <w:tc>
          <w:tcPr>
            <w:tcW w:w="1986" w:type="dxa"/>
            <w:tcBorders>
              <w:bottom w:val="single" w:sz="4" w:space="0" w:color="FFFFFF"/>
            </w:tcBorders>
          </w:tcPr>
          <w:p w14:paraId="70EADE7C" w14:textId="77777777" w:rsidR="008E5455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1840" w:type="dxa"/>
            <w:tcBorders>
              <w:bottom w:val="single" w:sz="4" w:space="0" w:color="FFFFFF"/>
            </w:tcBorders>
          </w:tcPr>
          <w:p w14:paraId="7D663879" w14:textId="77777777" w:rsidR="008E5455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 Paolini</w:t>
            </w:r>
          </w:p>
        </w:tc>
        <w:tc>
          <w:tcPr>
            <w:tcW w:w="1840" w:type="dxa"/>
            <w:tcBorders>
              <w:bottom w:val="single" w:sz="4" w:space="0" w:color="FFFFFF"/>
            </w:tcBorders>
          </w:tcPr>
          <w:p w14:paraId="55917CDB" w14:textId="77777777" w:rsidR="008E5455" w:rsidRDefault="008E545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0" w:type="dxa"/>
            <w:tcBorders>
              <w:bottom w:val="single" w:sz="4" w:space="0" w:color="FFFFFF"/>
            </w:tcBorders>
          </w:tcPr>
          <w:p w14:paraId="496FC3FC" w14:textId="77777777" w:rsidR="008E5455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 Cedente soluzione VBG - Regione Umbria - Servizio Programmazione, Indirizzo, Monitoraggio, Controllo FSE e Innovazione di Sistema</w:t>
            </w:r>
          </w:p>
        </w:tc>
      </w:tr>
      <w:tr w:rsidR="008E5455" w14:paraId="24FC2DEE" w14:textId="77777777" w:rsidTr="008E5455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415798" w14:textId="77777777" w:rsidR="008E5455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Umbria Digitale</w:t>
            </w:r>
          </w:p>
        </w:tc>
        <w:tc>
          <w:tcPr>
            <w:tcW w:w="1986" w:type="dxa"/>
            <w:tcBorders>
              <w:bottom w:val="single" w:sz="4" w:space="0" w:color="FFFFFF"/>
            </w:tcBorders>
          </w:tcPr>
          <w:p w14:paraId="27CA22A9" w14:textId="77777777" w:rsidR="008E5455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Maintainer</w:t>
            </w:r>
            <w:proofErr w:type="spellEnd"/>
            <w:r>
              <w:rPr>
                <w:sz w:val="18"/>
                <w:szCs w:val="18"/>
              </w:rPr>
              <w:t xml:space="preserve"> di Soluzione</w:t>
            </w:r>
          </w:p>
        </w:tc>
        <w:tc>
          <w:tcPr>
            <w:tcW w:w="1840" w:type="dxa"/>
            <w:tcBorders>
              <w:bottom w:val="single" w:sz="4" w:space="0" w:color="FFFFFF"/>
            </w:tcBorders>
          </w:tcPr>
          <w:p w14:paraId="10A068F7" w14:textId="77777777" w:rsidR="008E5455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 Falcinelli</w:t>
            </w:r>
          </w:p>
        </w:tc>
        <w:tc>
          <w:tcPr>
            <w:tcW w:w="1840" w:type="dxa"/>
            <w:tcBorders>
              <w:bottom w:val="single" w:sz="4" w:space="0" w:color="FFFFFF"/>
            </w:tcBorders>
          </w:tcPr>
          <w:p w14:paraId="74E78EB7" w14:textId="77777777" w:rsidR="008E5455" w:rsidRDefault="008E545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0" w:type="dxa"/>
            <w:tcBorders>
              <w:bottom w:val="single" w:sz="4" w:space="0" w:color="FFFFFF"/>
            </w:tcBorders>
          </w:tcPr>
          <w:p w14:paraId="725AEB27" w14:textId="6364F184" w:rsidR="008E5455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house regione dell’Umbria- Responsabile del riuso per la Regione dell’Umbria</w:t>
            </w:r>
          </w:p>
        </w:tc>
      </w:tr>
      <w:tr w:rsidR="008E5455" w14:paraId="5042C83A" w14:textId="77777777" w:rsidTr="008E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AD98D" w14:textId="77777777" w:rsidR="008E5455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 Regione Umbria</w:t>
            </w:r>
          </w:p>
        </w:tc>
        <w:tc>
          <w:tcPr>
            <w:tcW w:w="1986" w:type="dxa"/>
            <w:tcBorders>
              <w:bottom w:val="single" w:sz="4" w:space="0" w:color="FFFFFF"/>
            </w:tcBorders>
          </w:tcPr>
          <w:p w14:paraId="78F8EB1C" w14:textId="77777777" w:rsidR="008E5455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Riusanti</w:t>
            </w:r>
          </w:p>
        </w:tc>
        <w:tc>
          <w:tcPr>
            <w:tcW w:w="1840" w:type="dxa"/>
            <w:tcBorders>
              <w:bottom w:val="single" w:sz="4" w:space="0" w:color="FFFFFF"/>
            </w:tcBorders>
          </w:tcPr>
          <w:p w14:paraId="006078CD" w14:textId="77777777" w:rsidR="008E5455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Sindaci</w:t>
            </w:r>
          </w:p>
        </w:tc>
        <w:tc>
          <w:tcPr>
            <w:tcW w:w="1840" w:type="dxa"/>
            <w:tcBorders>
              <w:bottom w:val="single" w:sz="4" w:space="0" w:color="FFFFFF"/>
            </w:tcBorders>
          </w:tcPr>
          <w:p w14:paraId="10070C0B" w14:textId="77777777" w:rsidR="008E5455" w:rsidRDefault="008E545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0" w:type="dxa"/>
            <w:tcBorders>
              <w:bottom w:val="single" w:sz="4" w:space="0" w:color="FFFFFF"/>
            </w:tcBorders>
          </w:tcPr>
          <w:p w14:paraId="7965C4FB" w14:textId="77777777" w:rsidR="008E5455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Rappresentati dei 44 Comuni Aderenti</w:t>
            </w:r>
          </w:p>
        </w:tc>
      </w:tr>
    </w:tbl>
    <w:p w14:paraId="2D082C78" w14:textId="77777777" w:rsidR="008E545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libri" w:hAnsi="Calibri"/>
          <w:i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>Tabella 2 - Elenco dei soggetti pubblici e privati che hanno operato sulla soluzione</w:t>
      </w:r>
    </w:p>
    <w:p w14:paraId="2D9EB171" w14:textId="77777777" w:rsidR="008E5455" w:rsidRDefault="008E5455">
      <w:pPr>
        <w:rPr>
          <w:rFonts w:ascii="Calibri" w:hAnsi="Calibri"/>
        </w:rPr>
      </w:pPr>
    </w:p>
    <w:sectPr w:rsidR="008E5455">
      <w:headerReference w:type="default" r:id="rId9"/>
      <w:footerReference w:type="default" r:id="rId10"/>
      <w:pgSz w:w="11906" w:h="16838"/>
      <w:pgMar w:top="1935" w:right="1134" w:bottom="1850" w:left="1134" w:header="567" w:footer="71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465A" w14:textId="77777777" w:rsidR="001B3F64" w:rsidRDefault="001B3F64">
      <w:pPr>
        <w:spacing w:after="0" w:line="240" w:lineRule="auto"/>
      </w:pPr>
      <w:r>
        <w:separator/>
      </w:r>
    </w:p>
  </w:endnote>
  <w:endnote w:type="continuationSeparator" w:id="0">
    <w:p w14:paraId="42F73248" w14:textId="77777777" w:rsidR="001B3F64" w:rsidRDefault="001B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1770" w14:textId="77777777" w:rsidR="008E54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8A1B35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</w:p>
  <w:p w14:paraId="7F75FAD3" w14:textId="77777777" w:rsidR="008E5455" w:rsidRDefault="008E545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34D1B" w14:textId="77777777" w:rsidR="001B3F64" w:rsidRDefault="001B3F64">
      <w:pPr>
        <w:spacing w:after="0" w:line="240" w:lineRule="auto"/>
      </w:pPr>
      <w:r>
        <w:separator/>
      </w:r>
    </w:p>
  </w:footnote>
  <w:footnote w:type="continuationSeparator" w:id="0">
    <w:p w14:paraId="123BD43F" w14:textId="77777777" w:rsidR="001B3F64" w:rsidRDefault="001B3F64">
      <w:pPr>
        <w:spacing w:after="0" w:line="240" w:lineRule="auto"/>
      </w:pPr>
      <w:r>
        <w:continuationSeparator/>
      </w:r>
    </w:p>
  </w:footnote>
  <w:footnote w:id="1">
    <w:p w14:paraId="630670A6" w14:textId="77777777" w:rsidR="008E54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/>
          <w:color w:val="000000"/>
          <w:sz w:val="20"/>
          <w:szCs w:val="20"/>
        </w:rPr>
      </w:pPr>
      <w:bookmarkStart w:id="3" w:name="_heading=h.4d34og8" w:colFirst="0" w:colLast="0"/>
      <w:bookmarkEnd w:id="3"/>
      <w:r>
        <w:rPr>
          <w:rStyle w:val="Rimandonotaapidipagina"/>
        </w:rPr>
        <w:footnoteRef/>
      </w:r>
      <w:r>
        <w:rPr>
          <w:rFonts w:ascii="Calibri" w:hAnsi="Calibri"/>
          <w:color w:val="000000"/>
          <w:sz w:val="20"/>
          <w:szCs w:val="20"/>
        </w:rPr>
        <w:t xml:space="preserve"> OCPA – OpenCommunityPA2020: primo Avviso pubblico per interventi volti al trasferimento, evoluzione e diffusione di buone prassi fra Pubbliche Amministrazioni.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E519" w14:textId="77777777" w:rsidR="008E54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551C1FC1" wp14:editId="32FB0548">
          <wp:extent cx="6108700" cy="609600"/>
          <wp:effectExtent l="0" t="0" r="0" b="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FD3"/>
    <w:multiLevelType w:val="multilevel"/>
    <w:tmpl w:val="A104B8DA"/>
    <w:lvl w:ilvl="0">
      <w:start w:val="1"/>
      <w:numFmt w:val="bullet"/>
      <w:pStyle w:val="Titolo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itolo3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itolo4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C40D05"/>
    <w:multiLevelType w:val="multilevel"/>
    <w:tmpl w:val="44D02D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C476AA"/>
    <w:multiLevelType w:val="multilevel"/>
    <w:tmpl w:val="753E2666"/>
    <w:lvl w:ilvl="0">
      <w:start w:val="1"/>
      <w:numFmt w:val="bullet"/>
      <w:pStyle w:val="Stilepuntato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A322D7"/>
    <w:multiLevelType w:val="multilevel"/>
    <w:tmpl w:val="AE789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2064036">
    <w:abstractNumId w:val="0"/>
  </w:num>
  <w:num w:numId="2" w16cid:durableId="1590701696">
    <w:abstractNumId w:val="2"/>
  </w:num>
  <w:num w:numId="3" w16cid:durableId="1025331668">
    <w:abstractNumId w:val="1"/>
  </w:num>
  <w:num w:numId="4" w16cid:durableId="1844934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455"/>
    <w:rsid w:val="001B3F64"/>
    <w:rsid w:val="008A1B35"/>
    <w:rsid w:val="008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90D1"/>
  <w15:docId w15:val="{59BC13B6-77DC-4FB4-A9AF-8D601BA1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14E05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14E05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pPr>
      <w:spacing w:after="0" w:line="240" w:lineRule="auto"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  <w:tcPr>
      <w:shd w:val="clear" w:color="auto" w:fill="FBE5D5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ellanormal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f8yftdnuMZ54C+ePenChsvN3nQ==">AMUW2mV3N2V2/0gO4tdb3QKOzw4kwAvzLZkR7eRq6Wcg7uooZ81T1Zi3mVIPBvzH+19hqWrSb8ZP2O+6+0vpSEQYdIwvhgsOGBk/Jfo5DptX8/e71R2qCSRVCMOxd4lCZfjVyAzS8kuN/nxkqcX5Sswq5LqgVAzmhfUtreZwQsjhabPMCQncIDvtLl2Xb12uNYAB/M2sckkVAspiQzhdvlCU3WUODCDAQbE1qAcT2XyfaMjW2ntDMtQMVQqTaGBd9k5Kb5/B3o6H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3</cp:revision>
  <cp:lastPrinted>2022-10-29T10:19:00Z</cp:lastPrinted>
  <dcterms:created xsi:type="dcterms:W3CDTF">2022-05-13T16:10:00Z</dcterms:created>
  <dcterms:modified xsi:type="dcterms:W3CDTF">2022-10-29T10:19:00Z</dcterms:modified>
</cp:coreProperties>
</file>