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259A" w14:textId="77777777" w:rsidR="004270A3" w:rsidRDefault="00000000">
      <w:pPr>
        <w:pStyle w:val="Titolo"/>
      </w:pPr>
      <w:r>
        <w:rPr>
          <w:noProof/>
        </w:rPr>
        <w:drawing>
          <wp:inline distT="0" distB="0" distL="0" distR="0" wp14:anchorId="25BAA265" wp14:editId="03F4C334">
            <wp:extent cx="6120130" cy="821499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26C32" w14:textId="77777777" w:rsidR="004270A3" w:rsidRDefault="004270A3">
      <w:pPr>
        <w:pStyle w:val="Titolo"/>
      </w:pPr>
    </w:p>
    <w:p w14:paraId="4D7D9F8B" w14:textId="77777777" w:rsidR="004270A3" w:rsidRDefault="004270A3">
      <w:pPr>
        <w:pStyle w:val="Titolo"/>
      </w:pPr>
    </w:p>
    <w:p w14:paraId="675E681E" w14:textId="77777777" w:rsidR="004270A3" w:rsidRDefault="00000000">
      <w:pPr>
        <w:pStyle w:val="Titolo"/>
        <w:ind w:left="567"/>
        <w:jc w:val="left"/>
        <w:rPr>
          <w:b/>
          <w:color w:val="2F5496"/>
          <w:sz w:val="48"/>
          <w:szCs w:val="48"/>
        </w:rPr>
      </w:pPr>
      <w:bookmarkStart w:id="0" w:name="_heading=h.e3r0vx8ivoyc" w:colFirst="0" w:colLast="0"/>
      <w:bookmarkEnd w:id="0"/>
      <w:r>
        <w:rPr>
          <w:b/>
          <w:color w:val="2F5496"/>
          <w:sz w:val="48"/>
          <w:szCs w:val="48"/>
        </w:rPr>
        <w:t>Riuso VBG/SUAPE 3.0</w:t>
      </w:r>
    </w:p>
    <w:p w14:paraId="2BCD31D3" w14:textId="77777777" w:rsidR="004270A3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B – Trasferimento e adozione della soluzione</w:t>
      </w:r>
    </w:p>
    <w:p w14:paraId="79FD26D8" w14:textId="77777777" w:rsidR="004270A3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B5. Strumenti informativi e formativi</w:t>
      </w:r>
    </w:p>
    <w:p w14:paraId="7FC81956" w14:textId="77777777" w:rsidR="004270A3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B5.1 Piano di comunicazione</w:t>
      </w:r>
    </w:p>
    <w:p w14:paraId="3A80F599" w14:textId="77777777" w:rsidR="004270A3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B5.2 Piano di formazione</w:t>
      </w:r>
    </w:p>
    <w:p w14:paraId="005AC414" w14:textId="77777777" w:rsidR="004270A3" w:rsidRDefault="004270A3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3520F068" w14:textId="77777777" w:rsidR="004270A3" w:rsidRDefault="004270A3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4BB3A803" w14:textId="77777777" w:rsidR="004270A3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46416856" w14:textId="77777777" w:rsidR="004270A3" w:rsidRDefault="00000000">
      <w:r>
        <w:br w:type="page"/>
      </w:r>
    </w:p>
    <w:p w14:paraId="564C7EA3" w14:textId="77777777" w:rsidR="004270A3" w:rsidRDefault="004270A3">
      <w:pPr>
        <w:pStyle w:val="Titolo1"/>
      </w:pPr>
    </w:p>
    <w:p w14:paraId="4FA3136C" w14:textId="77777777" w:rsidR="004270A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399101656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5CCDE032" w14:textId="71783658" w:rsidR="00FF03EE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938432" w:history="1">
            <w:r w:rsidR="00FF03EE" w:rsidRPr="007A7E9C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FF03EE">
              <w:rPr>
                <w:noProof/>
                <w:webHidden/>
              </w:rPr>
              <w:tab/>
            </w:r>
            <w:r w:rsidR="00FF03EE">
              <w:rPr>
                <w:noProof/>
                <w:webHidden/>
              </w:rPr>
              <w:fldChar w:fldCharType="begin"/>
            </w:r>
            <w:r w:rsidR="00FF03EE">
              <w:rPr>
                <w:noProof/>
                <w:webHidden/>
              </w:rPr>
              <w:instrText xml:space="preserve"> PAGEREF _Toc117938432 \h </w:instrText>
            </w:r>
            <w:r w:rsidR="00FF03EE">
              <w:rPr>
                <w:noProof/>
                <w:webHidden/>
              </w:rPr>
            </w:r>
            <w:r w:rsidR="00FF03EE"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3</w:t>
            </w:r>
            <w:r w:rsidR="00FF03EE">
              <w:rPr>
                <w:noProof/>
                <w:webHidden/>
              </w:rPr>
              <w:fldChar w:fldCharType="end"/>
            </w:r>
          </w:hyperlink>
        </w:p>
        <w:p w14:paraId="611EBB39" w14:textId="0EA86EBF" w:rsidR="00FF03EE" w:rsidRDefault="00FF03EE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433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Piano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6A79" w14:textId="0C1E31F0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34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Grafica coordinata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8BF6" w14:textId="14476B88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35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Piano di comunicazione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1456" w14:textId="5DF74BD6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36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Piano di comunicazione esterna: media 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1B61" w14:textId="75BC9254" w:rsidR="00FF03EE" w:rsidRDefault="00FF03EE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437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Piano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470E" w14:textId="57767A3E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38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2.1.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Obiettivi e 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D6CD" w14:textId="68E5994E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39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2.2.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Ambiti tematici della formazione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53D5" w14:textId="1E6E7F1B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40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2.3.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Comunità del piano di formazione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F8A9" w14:textId="289B3EB5" w:rsidR="00FF03EE" w:rsidRDefault="00FF03EE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441" w:history="1">
            <w:r w:rsidRPr="007A7E9C">
              <w:rPr>
                <w:rStyle w:val="Collegamentoipertestuale"/>
                <w:rFonts w:ascii="Calibri" w:hAnsi="Calibri" w:cs="Calibri"/>
                <w:noProof/>
              </w:rPr>
              <w:t>2.4.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7A7E9C">
              <w:rPr>
                <w:rStyle w:val="Collegamentoipertestuale"/>
                <w:rFonts w:ascii="Calibri" w:hAnsi="Calibri" w:cs="Calibri"/>
                <w:noProof/>
              </w:rPr>
              <w:t>Programma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5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6340" w14:textId="0FA31CA0" w:rsidR="004270A3" w:rsidRDefault="00000000">
          <w:r>
            <w:fldChar w:fldCharType="end"/>
          </w:r>
        </w:p>
      </w:sdtContent>
    </w:sdt>
    <w:p w14:paraId="117A580F" w14:textId="77777777" w:rsidR="004270A3" w:rsidRDefault="00000000">
      <w:r>
        <w:br w:type="page"/>
      </w:r>
    </w:p>
    <w:p w14:paraId="1D90E7B5" w14:textId="77777777" w:rsidR="004270A3" w:rsidRDefault="00000000">
      <w:pPr>
        <w:pStyle w:val="Titolo1"/>
        <w:rPr>
          <w:rFonts w:ascii="Calibri" w:eastAsia="Calibri" w:hAnsi="Calibri" w:cs="Calibri"/>
        </w:rPr>
      </w:pPr>
      <w:bookmarkStart w:id="1" w:name="_Toc117938432"/>
      <w:r>
        <w:rPr>
          <w:rFonts w:ascii="Calibri" w:eastAsia="Calibri" w:hAnsi="Calibri" w:cs="Calibri"/>
        </w:rPr>
        <w:lastRenderedPageBreak/>
        <w:t>Premessa</w:t>
      </w:r>
      <w:bookmarkEnd w:id="1"/>
    </w:p>
    <w:p w14:paraId="5B15BD54" w14:textId="77777777" w:rsidR="004270A3" w:rsidRDefault="00000000">
      <w:pPr>
        <w:rPr>
          <w:rFonts w:ascii="Calibri" w:hAnsi="Calibri"/>
        </w:rPr>
      </w:pPr>
      <w:bookmarkStart w:id="2" w:name="_heading=h.30j0zll" w:colFirst="0" w:colLast="0"/>
      <w:bookmarkEnd w:id="2"/>
      <w:r>
        <w:rPr>
          <w:rFonts w:ascii="Calibri" w:hAnsi="Calibri"/>
        </w:rPr>
        <w:t>Il presente documento raccoglie gli strumenti informativi e formativi del kit di riuso per la fase B – Trasferimento e adozione della soluzione. Tali strumenti,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consistono in: i) un Piano di comunicazione; ii) un Piano di formazione.</w:t>
      </w:r>
    </w:p>
    <w:p w14:paraId="6C0D30A8" w14:textId="77777777" w:rsidR="004270A3" w:rsidRDefault="00000000">
      <w:pPr>
        <w:pStyle w:val="Titolo2"/>
        <w:numPr>
          <w:ilvl w:val="0"/>
          <w:numId w:val="7"/>
        </w:numPr>
        <w:rPr>
          <w:rFonts w:ascii="Calibri" w:hAnsi="Calibri" w:cs="Calibri"/>
        </w:rPr>
      </w:pPr>
      <w:bookmarkStart w:id="4" w:name="_Toc117938433"/>
      <w:r>
        <w:rPr>
          <w:rFonts w:ascii="Calibri" w:hAnsi="Calibri" w:cs="Calibri"/>
        </w:rPr>
        <w:t>Piano di comunicazione</w:t>
      </w:r>
      <w:bookmarkEnd w:id="4"/>
    </w:p>
    <w:p w14:paraId="51108182" w14:textId="77777777" w:rsidR="004270A3" w:rsidRDefault="00000000">
      <w:pPr>
        <w:rPr>
          <w:rFonts w:ascii="Calibri" w:hAnsi="Calibri"/>
        </w:rPr>
      </w:pPr>
      <w:bookmarkStart w:id="5" w:name="_heading=h.3znysh7" w:colFirst="0" w:colLast="0"/>
      <w:bookmarkEnd w:id="5"/>
      <w:r>
        <w:rPr>
          <w:rFonts w:ascii="Calibri" w:hAnsi="Calibri"/>
        </w:rPr>
        <w:t>In considerazione del target di riferimento, dovranno essere redatti i seguenti documenti:</w:t>
      </w:r>
    </w:p>
    <w:p w14:paraId="01454866" w14:textId="77777777" w:rsidR="004270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Piano di comunicazione interna, a supporto del processo di adozione della soluzione e quindi a supporto del processo di cambiamento in atto all’interno dell’Ente riusante;</w:t>
      </w:r>
    </w:p>
    <w:p w14:paraId="59F7214F" w14:textId="77777777" w:rsidR="004270A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Piano di comunicazione esterna, volto a promuovere l’intervento a livello locale, regionale e nazionale, al fine di riscuotere interesse da parte di nuovi potenziali riusanti ed accrescere la community di soggetti pubblici e privati che operano attorno alla soluzione.</w:t>
      </w:r>
    </w:p>
    <w:p w14:paraId="78C5ACA3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>Posto che l’ampiezza e la complessità del Piano di comunicazione che il riusante sarà effettivamente in grado di mettere in atto dipendono strettamente dalle risorse umane ed economiche a sua disposizione, è possibile fornire alcune indicazioni.</w:t>
      </w:r>
    </w:p>
    <w:p w14:paraId="527CE5D2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6" w:name="_Toc117938434"/>
      <w:r>
        <w:rPr>
          <w:rFonts w:ascii="Calibri" w:hAnsi="Calibri" w:cs="Calibri"/>
        </w:rPr>
        <w:t>Grafica coordinata</w:t>
      </w:r>
      <w:bookmarkEnd w:id="6"/>
    </w:p>
    <w:p w14:paraId="1C8985D4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>Da un punto di vista creativo è strategico individuare una grafica coordinata tra tutti gli Enti facenti parte della community di riuso della soluzione, caratterizzata da un nome distintivo e da un logo che visivamente e icasticamente qualifichino il fulcro del progetto ed i valori/benefici ad esso associati.</w:t>
      </w:r>
    </w:p>
    <w:p w14:paraId="62DFD601" w14:textId="77777777" w:rsidR="004270A3" w:rsidRDefault="004270A3"/>
    <w:p w14:paraId="4021C2D9" w14:textId="77777777" w:rsidR="004270A3" w:rsidRDefault="00000000">
      <w:pPr>
        <w:rPr>
          <w:i/>
        </w:rPr>
      </w:pPr>
      <w:proofErr w:type="gramStart"/>
      <w:r>
        <w:rPr>
          <w:i/>
        </w:rPr>
        <w:t>E’</w:t>
      </w:r>
      <w:proofErr w:type="gramEnd"/>
      <w:r>
        <w:rPr>
          <w:i/>
        </w:rPr>
        <w:t xml:space="preserve"> stata definita una grafica comune per tutti portali relativi alla Comunità denominata SUAPE 3.0, ed è stato definito un logo riportato nelle presentazione e all’interno dell’area riservata</w:t>
      </w:r>
    </w:p>
    <w:p w14:paraId="6A3CDA8B" w14:textId="77777777" w:rsidR="004270A3" w:rsidRDefault="00000000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5FF15271" wp14:editId="47F4ADDD">
            <wp:extent cx="4325303" cy="15673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303" cy="156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8ECEC" w14:textId="77777777" w:rsidR="004270A3" w:rsidRDefault="004270A3"/>
    <w:p w14:paraId="74C5FF2F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7" w:name="_Toc117938435"/>
      <w:r>
        <w:rPr>
          <w:rFonts w:ascii="Calibri" w:hAnsi="Calibri" w:cs="Calibri"/>
        </w:rPr>
        <w:lastRenderedPageBreak/>
        <w:t>Piano di comunicazione interna</w:t>
      </w:r>
      <w:bookmarkEnd w:id="7"/>
    </w:p>
    <w:p w14:paraId="6ADBAC07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Per quanto riguarda la comunicazione interna, è importante condividere gli obiettivi strategici ed operativi del progetto con il personale che verrà in qualsiasi modo impattato dalla soluzione, e mettere a sua disposizione materiale informativo. </w:t>
      </w:r>
    </w:p>
    <w:p w14:paraId="08636F6C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8" w:name="_Toc117938436"/>
      <w:r>
        <w:rPr>
          <w:rFonts w:ascii="Calibri" w:hAnsi="Calibri" w:cs="Calibri"/>
        </w:rPr>
        <w:t>Piano di comunicazione esterna: media mix</w:t>
      </w:r>
      <w:bookmarkEnd w:id="8"/>
    </w:p>
    <w:p w14:paraId="69B644D8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Oltre ai più consueti canali di comunicazione istituzionale (sito web, newsletter, comunicati stampa, etc.), che ogni Ente </w:t>
      </w:r>
      <w:proofErr w:type="gramStart"/>
      <w:r>
        <w:rPr>
          <w:rFonts w:ascii="Calibri" w:hAnsi="Calibri"/>
        </w:rPr>
        <w:t>metterà in campo</w:t>
      </w:r>
      <w:proofErr w:type="gramEnd"/>
      <w:r>
        <w:rPr>
          <w:rFonts w:ascii="Calibri" w:hAnsi="Calibri"/>
        </w:rPr>
        <w:t xml:space="preserve"> secondo le proprie consuetudini, il Piano suggerisce un media mix composto da canali digitali (prevalentemente social media) e da canali tradizionali:</w:t>
      </w:r>
    </w:p>
    <w:p w14:paraId="107BFEAB" w14:textId="77777777" w:rsidR="004270A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gli </w:t>
      </w:r>
      <w:r>
        <w:rPr>
          <w:rFonts w:ascii="Calibri" w:hAnsi="Calibri"/>
          <w:b/>
          <w:color w:val="000000"/>
        </w:rPr>
        <w:t>eventi</w:t>
      </w:r>
      <w:r>
        <w:rPr>
          <w:rFonts w:ascii="Calibri" w:hAnsi="Calibri"/>
          <w:color w:val="000000"/>
        </w:rPr>
        <w:t xml:space="preserve"> (convegni, workshop, seminari tematici e incontri professionali di settore) rappresentano un canale tradizionale di incontro e scambio per le Pubbliche Amministrazioni e per favorire l’inclusione di tutti gli stakeholder di progetto. Ove possibile e pertinente, cuore dell’evento può essere la sperimentazione diretta del servizio sviluppato nell’ambito della soluzione. Si può prevedere lo streaming dell’evento da diffondere attraverso i canali digitali dell’Ente riusante. Tutti i soggetti interessati dal lancio del servizio (elenco degli stakeholder) devono essere invitati, in modo da avviare percorsi di collaborazione e miglioramento continuo. I luoghi degli eventi devono essere stabiliti in modo da favorire la più ampia partecipazione di pubblico e di partner, a livello locale, regionale e nazionale, che possano supportare nella diffusione della soluzione.</w:t>
      </w:r>
    </w:p>
    <w:p w14:paraId="7FE5A4AF" w14:textId="77777777" w:rsidR="004270A3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Social media</w:t>
      </w:r>
      <w:r>
        <w:rPr>
          <w:rFonts w:ascii="Calibri" w:hAnsi="Calibri"/>
          <w:color w:val="000000"/>
        </w:rPr>
        <w:t>: i social media (Facebook, Twitter, Instagram, Linkedin, etc.) devono essere parte integrante e non accessoria del Piano di Comunicazione; sono strumenti fondamentali per accorciare le distanze con il proprio target e rendere il progetto a portata di smartphone. I Social media sono inoltre una grande opportunità in un contesto caratterizzato da risorse economiche scarse (ricordiamo l’adeguamento al D.L. 122 del 2010 che ha ridotto dell’80% le spese di comunicazione rispetto a quanto effettuato nel 2009). Si suggerisce l’utilizzo di un linguaggio semplice, immediato e coerente con i messaggi valoriali su richiamati che si vogliono trasmettere, ed un ampio utilizzo di contenuti multimediali (“</w:t>
      </w:r>
      <w:proofErr w:type="spellStart"/>
      <w:r>
        <w:rPr>
          <w:rFonts w:ascii="Calibri" w:hAnsi="Calibri"/>
          <w:i/>
          <w:color w:val="000000"/>
        </w:rPr>
        <w:t>rich</w:t>
      </w:r>
      <w:proofErr w:type="spellEnd"/>
      <w:r>
        <w:rPr>
          <w:rFonts w:ascii="Calibri" w:hAnsi="Calibri"/>
          <w:i/>
          <w:color w:val="000000"/>
        </w:rPr>
        <w:t xml:space="preserve"> </w:t>
      </w:r>
      <w:proofErr w:type="spellStart"/>
      <w:r>
        <w:rPr>
          <w:rFonts w:ascii="Calibri" w:hAnsi="Calibri"/>
          <w:i/>
          <w:color w:val="000000"/>
        </w:rPr>
        <w:t>content</w:t>
      </w:r>
      <w:proofErr w:type="spellEnd"/>
      <w:r>
        <w:rPr>
          <w:rFonts w:ascii="Calibri" w:hAnsi="Calibri"/>
          <w:color w:val="000000"/>
        </w:rPr>
        <w:t>”), che nel mondo social determinano la qualità dell’interazione e il livello di coinvolgimento del lettore.</w:t>
      </w:r>
    </w:p>
    <w:p w14:paraId="27EBC11E" w14:textId="77777777" w:rsidR="004270A3" w:rsidRDefault="00000000">
      <w:pPr>
        <w:pStyle w:val="Titolo2"/>
        <w:numPr>
          <w:ilvl w:val="0"/>
          <w:numId w:val="7"/>
        </w:numPr>
        <w:ind w:left="357" w:hanging="357"/>
        <w:rPr>
          <w:rFonts w:ascii="Calibri" w:hAnsi="Calibri" w:cs="Calibri"/>
        </w:rPr>
      </w:pPr>
      <w:bookmarkStart w:id="9" w:name="_Toc117938437"/>
      <w:r>
        <w:rPr>
          <w:rFonts w:ascii="Calibri" w:hAnsi="Calibri" w:cs="Calibri"/>
        </w:rPr>
        <w:t>Piano formativo</w:t>
      </w:r>
      <w:bookmarkEnd w:id="9"/>
    </w:p>
    <w:p w14:paraId="1A5C52F9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>Il Piano di formazione è a supporto del processo di riuso della soluzione e individua: obiettivi, soggetti da coinvolgere e programma formativo di massima in termini di contenuti, strumenti e tempi.</w:t>
      </w:r>
    </w:p>
    <w:p w14:paraId="62E7E156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10" w:name="_Toc117938438"/>
      <w:r>
        <w:rPr>
          <w:rFonts w:ascii="Calibri" w:hAnsi="Calibri" w:cs="Calibri"/>
        </w:rPr>
        <w:t>Obiettivi e strategia</w:t>
      </w:r>
      <w:bookmarkEnd w:id="10"/>
    </w:p>
    <w:p w14:paraId="74BC99FF" w14:textId="77777777" w:rsidR="004270A3" w:rsidRDefault="00000000">
      <w:pPr>
        <w:rPr>
          <w:rFonts w:ascii="Calibri" w:hAnsi="Calibri"/>
        </w:rPr>
      </w:pPr>
      <w:r>
        <w:rPr>
          <w:rFonts w:ascii="Calibri" w:hAnsi="Calibri"/>
        </w:rPr>
        <w:t xml:space="preserve">Il Piano ha l’obiettivo primario e imprescindibile di descrivere le conoscenze (tecniche, organizzative e gestionali, normative, etc.) da trasferire ai soggetti coinvolti nella soluzione, nonché gli strumenti operativi utili per il riuso efficace ed efficiente della soluzione. </w:t>
      </w:r>
    </w:p>
    <w:p w14:paraId="026CD236" w14:textId="77777777" w:rsidR="004270A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color w:val="000000"/>
        </w:rPr>
      </w:pPr>
      <w:r>
        <w:t>La comunità ha l’obiettivo di diffondere le proprie buone pratiche per la gestione telematica dello sportello SUAPE</w:t>
      </w:r>
      <w:r>
        <w:rPr>
          <w:rFonts w:ascii="Calibri" w:hAnsi="Calibri"/>
          <w:color w:val="000000"/>
        </w:rPr>
        <w:t>. La comunità verrà coinvolta al fine di valutare e compre</w:t>
      </w:r>
      <w:r>
        <w:t>ndere i benefici dell’utilizzo di una piattaforma telematica.</w:t>
      </w:r>
      <w:r>
        <w:rPr>
          <w:rFonts w:ascii="Calibri" w:hAnsi="Calibri"/>
          <w:color w:val="000000"/>
        </w:rPr>
        <w:t xml:space="preserve"> </w:t>
      </w:r>
    </w:p>
    <w:p w14:paraId="23C91DC9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11" w:name="_Toc117938439"/>
      <w:r>
        <w:rPr>
          <w:rFonts w:ascii="Calibri" w:hAnsi="Calibri" w:cs="Calibri"/>
        </w:rPr>
        <w:t>Ambiti tematici della formazione</w:t>
      </w:r>
      <w:bookmarkEnd w:id="11"/>
    </w:p>
    <w:p w14:paraId="75887C63" w14:textId="77777777" w:rsidR="004270A3" w:rsidRDefault="00000000">
      <w:r>
        <w:t xml:space="preserve">Gli ambiti tematici </w:t>
      </w:r>
      <w:proofErr w:type="gramStart"/>
      <w:r>
        <w:t>riguardano :</w:t>
      </w:r>
      <w:proofErr w:type="gramEnd"/>
    </w:p>
    <w:p w14:paraId="1018E70A" w14:textId="77777777" w:rsidR="004270A3" w:rsidRDefault="00000000">
      <w:pPr>
        <w:numPr>
          <w:ilvl w:val="0"/>
          <w:numId w:val="6"/>
        </w:numPr>
        <w:spacing w:after="0"/>
      </w:pPr>
      <w:r>
        <w:lastRenderedPageBreak/>
        <w:t>Edilizia</w:t>
      </w:r>
    </w:p>
    <w:p w14:paraId="266434E3" w14:textId="77777777" w:rsidR="004270A3" w:rsidRDefault="00000000">
      <w:pPr>
        <w:numPr>
          <w:ilvl w:val="0"/>
          <w:numId w:val="6"/>
        </w:numPr>
        <w:spacing w:after="0"/>
      </w:pPr>
      <w:r>
        <w:t>Attività Produttive</w:t>
      </w:r>
    </w:p>
    <w:p w14:paraId="6D4DC287" w14:textId="77777777" w:rsidR="004270A3" w:rsidRDefault="00000000">
      <w:pPr>
        <w:numPr>
          <w:ilvl w:val="0"/>
          <w:numId w:val="6"/>
        </w:numPr>
      </w:pPr>
      <w:r>
        <w:t>Ambiente</w:t>
      </w:r>
    </w:p>
    <w:p w14:paraId="5B2C9B9E" w14:textId="77777777" w:rsidR="004270A3" w:rsidRDefault="004270A3">
      <w:pPr>
        <w:ind w:left="720"/>
      </w:pPr>
    </w:p>
    <w:p w14:paraId="595AEFDD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12" w:name="_Toc117938440"/>
      <w:r>
        <w:rPr>
          <w:rFonts w:ascii="Calibri" w:hAnsi="Calibri" w:cs="Calibri"/>
        </w:rPr>
        <w:t>Comunità del piano di formazione</w:t>
      </w:r>
      <w:bookmarkEnd w:id="12"/>
    </w:p>
    <w:p w14:paraId="10B0C79B" w14:textId="77777777" w:rsidR="004270A3" w:rsidRDefault="00000000">
      <w:pPr>
        <w:rPr>
          <w:rFonts w:ascii="Calibri" w:hAnsi="Calibri"/>
        </w:rPr>
      </w:pPr>
      <w:r>
        <w:t>Non è previsto un coinvolgimento attivo della Comunità in merito al piano di formazione.</w:t>
      </w:r>
    </w:p>
    <w:p w14:paraId="68E6425F" w14:textId="77777777" w:rsidR="004270A3" w:rsidRDefault="00000000">
      <w:pPr>
        <w:pStyle w:val="Titolo3"/>
        <w:numPr>
          <w:ilvl w:val="1"/>
          <w:numId w:val="7"/>
        </w:numPr>
        <w:rPr>
          <w:rFonts w:ascii="Calibri" w:hAnsi="Calibri" w:cs="Calibri"/>
        </w:rPr>
      </w:pPr>
      <w:bookmarkStart w:id="13" w:name="_Toc117938441"/>
      <w:r>
        <w:rPr>
          <w:rFonts w:ascii="Calibri" w:hAnsi="Calibri" w:cs="Calibri"/>
        </w:rPr>
        <w:t>Programma formativo</w:t>
      </w:r>
      <w:bookmarkEnd w:id="13"/>
    </w:p>
    <w:p w14:paraId="648D3823" w14:textId="77777777" w:rsidR="004270A3" w:rsidRDefault="00000000">
      <w:r>
        <w:t xml:space="preserve">Il programma formativo di dettaglio verrà definito all'occorrenza con gli enti aderenti in accordo con gli stessi sulla base dei moduli e servizi che ritengono necessari da attivare. Solitamente la formazione prevede due </w:t>
      </w:r>
      <w:proofErr w:type="gramStart"/>
      <w:r>
        <w:t>macro interlocutori</w:t>
      </w:r>
      <w:proofErr w:type="gramEnd"/>
      <w:r>
        <w:t>:</w:t>
      </w:r>
    </w:p>
    <w:p w14:paraId="18AF79B3" w14:textId="77777777" w:rsidR="004270A3" w:rsidRDefault="00000000">
      <w:pPr>
        <w:numPr>
          <w:ilvl w:val="0"/>
          <w:numId w:val="1"/>
        </w:numPr>
        <w:spacing w:after="0"/>
      </w:pPr>
      <w:proofErr w:type="spellStart"/>
      <w:r>
        <w:t>Stackholder</w:t>
      </w:r>
      <w:proofErr w:type="spellEnd"/>
      <w:r>
        <w:t xml:space="preserve"> in merito all’utilizzo e alle funzionalità del </w:t>
      </w:r>
      <w:proofErr w:type="spellStart"/>
      <w:r>
        <w:t>frontoffice</w:t>
      </w:r>
      <w:proofErr w:type="spellEnd"/>
    </w:p>
    <w:p w14:paraId="1EDC797B" w14:textId="77777777" w:rsidR="004270A3" w:rsidRDefault="00000000">
      <w:pPr>
        <w:numPr>
          <w:ilvl w:val="0"/>
          <w:numId w:val="1"/>
        </w:numPr>
      </w:pPr>
      <w:r>
        <w:t>Istruttori in merito all’utilizzo del backoffice e di tutte le funzionalità utili al fine dell’istruttoria</w:t>
      </w:r>
    </w:p>
    <w:p w14:paraId="0B2D3908" w14:textId="77777777" w:rsidR="004270A3" w:rsidRDefault="00000000">
      <w:r>
        <w:t>Di seguito è riportato un esempio di piano formativo.</w:t>
      </w:r>
    </w:p>
    <w:p w14:paraId="60F1971C" w14:textId="77777777" w:rsidR="004270A3" w:rsidRDefault="004270A3"/>
    <w:tbl>
      <w:tblPr>
        <w:tblStyle w:val="a"/>
        <w:tblW w:w="100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5"/>
        <w:gridCol w:w="7275"/>
      </w:tblGrid>
      <w:tr w:rsidR="004270A3" w14:paraId="6A11F8F4" w14:textId="77777777">
        <w:tc>
          <w:tcPr>
            <w:tcW w:w="2775" w:type="dxa"/>
          </w:tcPr>
          <w:p w14:paraId="2F3EF7A5" w14:textId="77777777" w:rsidR="004270A3" w:rsidRDefault="00000000">
            <w:pPr>
              <w:jc w:val="left"/>
              <w:rPr>
                <w:b/>
              </w:rPr>
            </w:pPr>
            <w:r>
              <w:rPr>
                <w:b/>
              </w:rPr>
              <w:t>FORMAZIONE</w:t>
            </w:r>
          </w:p>
        </w:tc>
        <w:tc>
          <w:tcPr>
            <w:tcW w:w="7275" w:type="dxa"/>
          </w:tcPr>
          <w:p w14:paraId="1DAF530E" w14:textId="77777777" w:rsidR="004270A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ARGOMENTI</w:t>
            </w:r>
          </w:p>
        </w:tc>
      </w:tr>
      <w:tr w:rsidR="004270A3" w14:paraId="625E9601" w14:textId="77777777">
        <w:tc>
          <w:tcPr>
            <w:tcW w:w="2775" w:type="dxa"/>
          </w:tcPr>
          <w:p w14:paraId="4E88A3AC" w14:textId="77777777" w:rsidR="004270A3" w:rsidRDefault="00000000">
            <w:pPr>
              <w:jc w:val="left"/>
            </w:pPr>
            <w:r>
              <w:t>Formazione Base</w:t>
            </w:r>
          </w:p>
          <w:p w14:paraId="6AFBE110" w14:textId="77777777" w:rsidR="004270A3" w:rsidRDefault="004270A3">
            <w:pPr>
              <w:jc w:val="left"/>
            </w:pPr>
          </w:p>
          <w:p w14:paraId="5BF60C03" w14:textId="77777777" w:rsidR="004270A3" w:rsidRDefault="00000000">
            <w:pPr>
              <w:jc w:val="left"/>
            </w:pPr>
            <w:r>
              <w:t>Procedimento AUA\AIA Telematico e cooperazione applicativa</w:t>
            </w:r>
          </w:p>
        </w:tc>
        <w:tc>
          <w:tcPr>
            <w:tcW w:w="7275" w:type="dxa"/>
          </w:tcPr>
          <w:p w14:paraId="0937A9D5" w14:textId="77777777" w:rsidR="004270A3" w:rsidRDefault="00000000">
            <w:pPr>
              <w:spacing w:before="240" w:after="240"/>
              <w:jc w:val="left"/>
            </w:pPr>
            <w:r>
              <w:t>Panoramica applicativi (Backoffice, Console globale e locale, Area riservata)</w:t>
            </w:r>
          </w:p>
          <w:p w14:paraId="377B0295" w14:textId="77777777" w:rsidR="004270A3" w:rsidRDefault="00000000">
            <w:pPr>
              <w:spacing w:before="240" w:after="240"/>
              <w:jc w:val="left"/>
            </w:pPr>
            <w:r>
              <w:t>Area riservata e presentazione di una domanda (spiegazione degli step)</w:t>
            </w:r>
          </w:p>
          <w:p w14:paraId="051EDC6F" w14:textId="77777777" w:rsidR="004270A3" w:rsidRDefault="00000000">
            <w:pPr>
              <w:spacing w:before="240" w:after="240"/>
              <w:jc w:val="left"/>
            </w:pPr>
            <w:r>
              <w:t>Introduzione al backoffice e nomenclatura</w:t>
            </w:r>
          </w:p>
          <w:p w14:paraId="0BFB3AAF" w14:textId="77777777" w:rsidR="004270A3" w:rsidRDefault="00000000">
            <w:pPr>
              <w:spacing w:before="240" w:after="240"/>
              <w:jc w:val="left"/>
            </w:pPr>
            <w:r>
              <w:t>Gestione Flusso Comune/Regione</w:t>
            </w:r>
          </w:p>
          <w:p w14:paraId="4007136E" w14:textId="77777777" w:rsidR="004270A3" w:rsidRDefault="00000000">
            <w:pPr>
              <w:spacing w:before="240" w:after="240"/>
              <w:jc w:val="left"/>
            </w:pPr>
            <w:r>
              <w:t>Configurazione cooperazione Comune – Regione (Notifica Comune - Regione e Regione Comune)</w:t>
            </w:r>
          </w:p>
          <w:p w14:paraId="6A814437" w14:textId="77777777" w:rsidR="004270A3" w:rsidRDefault="00000000">
            <w:pPr>
              <w:spacing w:before="240" w:after="240"/>
              <w:jc w:val="left"/>
            </w:pPr>
            <w:r>
              <w:t>Panoramica AIA e AUR</w:t>
            </w:r>
          </w:p>
          <w:p w14:paraId="7C22E956" w14:textId="77777777" w:rsidR="004270A3" w:rsidRDefault="00000000">
            <w:pPr>
              <w:spacing w:before="240" w:after="240"/>
              <w:jc w:val="left"/>
            </w:pPr>
            <w:r>
              <w:t>Modelli e Lettere di comunicazione</w:t>
            </w:r>
          </w:p>
        </w:tc>
      </w:tr>
      <w:tr w:rsidR="004270A3" w14:paraId="5814EBFA" w14:textId="77777777">
        <w:tc>
          <w:tcPr>
            <w:tcW w:w="2775" w:type="dxa"/>
          </w:tcPr>
          <w:p w14:paraId="61AD97AD" w14:textId="77777777" w:rsidR="004270A3" w:rsidRDefault="00000000">
            <w:r>
              <w:t>Formazione Avanzata</w:t>
            </w:r>
          </w:p>
        </w:tc>
        <w:tc>
          <w:tcPr>
            <w:tcW w:w="7275" w:type="dxa"/>
          </w:tcPr>
          <w:p w14:paraId="5BA0B697" w14:textId="77777777" w:rsidR="004270A3" w:rsidRDefault="00000000">
            <w:pPr>
              <w:spacing w:before="240" w:after="240"/>
              <w:jc w:val="left"/>
            </w:pPr>
            <w:r>
              <w:t>Configurazione Backoffice</w:t>
            </w:r>
          </w:p>
          <w:p w14:paraId="3F89AA87" w14:textId="77777777" w:rsidR="004270A3" w:rsidRDefault="00000000">
            <w:pPr>
              <w:spacing w:before="240" w:after="240"/>
              <w:jc w:val="left"/>
            </w:pPr>
            <w:r>
              <w:t>1. Procedimenti</w:t>
            </w:r>
          </w:p>
          <w:p w14:paraId="1F5FD78F" w14:textId="77777777" w:rsidR="004270A3" w:rsidRDefault="00000000">
            <w:pPr>
              <w:spacing w:before="240" w:after="240"/>
              <w:jc w:val="left"/>
            </w:pPr>
            <w:r>
              <w:t>2. Flussi</w:t>
            </w:r>
          </w:p>
          <w:p w14:paraId="3ADD4C9C" w14:textId="77777777" w:rsidR="004270A3" w:rsidRDefault="00000000">
            <w:pPr>
              <w:spacing w:before="240" w:after="240"/>
              <w:jc w:val="left"/>
            </w:pPr>
            <w:r>
              <w:t>3. Amministrazioni</w:t>
            </w:r>
          </w:p>
          <w:p w14:paraId="56D0D756" w14:textId="77777777" w:rsidR="004270A3" w:rsidRDefault="00000000">
            <w:pPr>
              <w:spacing w:before="240" w:after="240"/>
              <w:jc w:val="left"/>
            </w:pPr>
            <w:r>
              <w:t>4. Movimenti</w:t>
            </w:r>
          </w:p>
          <w:p w14:paraId="24E1CFD7" w14:textId="77777777" w:rsidR="004270A3" w:rsidRDefault="00000000">
            <w:pPr>
              <w:spacing w:before="240" w:after="240"/>
              <w:jc w:val="left"/>
            </w:pPr>
            <w:r>
              <w:lastRenderedPageBreak/>
              <w:t>5. Notifiche</w:t>
            </w:r>
          </w:p>
          <w:p w14:paraId="05EF3D88" w14:textId="77777777" w:rsidR="004270A3" w:rsidRDefault="00000000">
            <w:pPr>
              <w:spacing w:before="240" w:after="240"/>
              <w:jc w:val="left"/>
            </w:pPr>
            <w:r>
              <w:t xml:space="preserve">6. Documenti \ Lettere </w:t>
            </w:r>
            <w:proofErr w:type="gramStart"/>
            <w:r>
              <w:t>e mail</w:t>
            </w:r>
            <w:proofErr w:type="gramEnd"/>
            <w:r>
              <w:t xml:space="preserve"> tipo</w:t>
            </w:r>
          </w:p>
          <w:p w14:paraId="46183664" w14:textId="77777777" w:rsidR="004270A3" w:rsidRDefault="00000000">
            <w:pPr>
              <w:spacing w:before="240" w:after="240"/>
              <w:jc w:val="left"/>
            </w:pPr>
            <w:r>
              <w:t xml:space="preserve">7. </w:t>
            </w:r>
            <w:proofErr w:type="spellStart"/>
            <w:r>
              <w:t>Frontend</w:t>
            </w:r>
            <w:proofErr w:type="spellEnd"/>
          </w:p>
          <w:p w14:paraId="29EB65B5" w14:textId="77777777" w:rsidR="004270A3" w:rsidRDefault="00000000">
            <w:pPr>
              <w:spacing w:before="240" w:after="240"/>
              <w:jc w:val="left"/>
            </w:pPr>
            <w:r>
              <w:t>Certificato di invio</w:t>
            </w:r>
          </w:p>
          <w:p w14:paraId="46A9A041" w14:textId="77777777" w:rsidR="004270A3" w:rsidRDefault="00000000">
            <w:pPr>
              <w:spacing w:before="240" w:after="240"/>
              <w:jc w:val="left"/>
            </w:pPr>
            <w:r>
              <w:t>1. Modifica del contenuto</w:t>
            </w:r>
          </w:p>
          <w:p w14:paraId="7475ACBC" w14:textId="77777777" w:rsidR="004270A3" w:rsidRDefault="00000000">
            <w:pPr>
              <w:spacing w:before="240" w:after="240"/>
              <w:jc w:val="left"/>
            </w:pPr>
            <w:r>
              <w:t xml:space="preserve">2. </w:t>
            </w:r>
            <w:proofErr w:type="spellStart"/>
            <w:r>
              <w:t>RiGenerazione</w:t>
            </w:r>
            <w:proofErr w:type="spellEnd"/>
            <w:r>
              <w:t xml:space="preserve"> certificato</w:t>
            </w:r>
          </w:p>
          <w:p w14:paraId="6170A14E" w14:textId="77777777" w:rsidR="004270A3" w:rsidRDefault="00000000">
            <w:pPr>
              <w:spacing w:before="240" w:after="240"/>
              <w:jc w:val="left"/>
            </w:pPr>
            <w:r>
              <w:t>Numerazione Pratiche</w:t>
            </w:r>
          </w:p>
          <w:p w14:paraId="38E914AA" w14:textId="77777777" w:rsidR="004270A3" w:rsidRDefault="00000000">
            <w:pPr>
              <w:spacing w:before="240" w:after="240"/>
              <w:jc w:val="left"/>
            </w:pPr>
            <w:r>
              <w:t>1. Configurazione Numerazione Pratiche</w:t>
            </w:r>
          </w:p>
          <w:p w14:paraId="60CA83BD" w14:textId="77777777" w:rsidR="004270A3" w:rsidRDefault="00000000">
            <w:pPr>
              <w:spacing w:before="240" w:after="240"/>
              <w:jc w:val="left"/>
            </w:pPr>
            <w:r>
              <w:t>2. Azzeramenti\Modifica\Numerazione da intervento</w:t>
            </w:r>
          </w:p>
          <w:p w14:paraId="542CDC86" w14:textId="77777777" w:rsidR="004270A3" w:rsidRDefault="004270A3">
            <w:pPr>
              <w:spacing w:before="240" w:after="240"/>
              <w:jc w:val="left"/>
            </w:pPr>
          </w:p>
        </w:tc>
      </w:tr>
      <w:tr w:rsidR="004270A3" w14:paraId="40645339" w14:textId="77777777">
        <w:tc>
          <w:tcPr>
            <w:tcW w:w="2775" w:type="dxa"/>
          </w:tcPr>
          <w:p w14:paraId="35ADB3DB" w14:textId="77777777" w:rsidR="004270A3" w:rsidRDefault="00000000">
            <w:pPr>
              <w:rPr>
                <w:highlight w:val="yellow"/>
              </w:rPr>
            </w:pPr>
            <w:r>
              <w:lastRenderedPageBreak/>
              <w:t xml:space="preserve">Formazione </w:t>
            </w:r>
            <w:proofErr w:type="gramStart"/>
            <w:r>
              <w:t>tecnica  Avanzata</w:t>
            </w:r>
            <w:proofErr w:type="gramEnd"/>
          </w:p>
        </w:tc>
        <w:tc>
          <w:tcPr>
            <w:tcW w:w="7275" w:type="dxa"/>
          </w:tcPr>
          <w:p w14:paraId="63D9B0D2" w14:textId="77777777" w:rsidR="004270A3" w:rsidRDefault="00000000">
            <w:pPr>
              <w:spacing w:before="240" w:after="240"/>
              <w:jc w:val="left"/>
            </w:pPr>
            <w:r>
              <w:t>Struttura dei dati (3h) –</w:t>
            </w:r>
          </w:p>
          <w:p w14:paraId="31616772" w14:textId="77777777" w:rsidR="004270A3" w:rsidRDefault="00000000">
            <w:pPr>
              <w:spacing w:before="240" w:after="240"/>
              <w:jc w:val="left"/>
            </w:pPr>
            <w:r>
              <w:t>1.       MySQL /Oracle (CONSOLE, COMUNI, SECURITY)</w:t>
            </w:r>
          </w:p>
          <w:p w14:paraId="00CA3D43" w14:textId="77777777" w:rsidR="004270A3" w:rsidRDefault="00000000">
            <w:pPr>
              <w:spacing w:before="240" w:after="240"/>
              <w:jc w:val="left"/>
            </w:pPr>
            <w:r>
              <w:t>3.       Esempi di query</w:t>
            </w:r>
          </w:p>
          <w:p w14:paraId="699CD355" w14:textId="77777777" w:rsidR="004270A3" w:rsidRDefault="004270A3">
            <w:pPr>
              <w:ind w:left="360"/>
              <w:rPr>
                <w:highlight w:val="yellow"/>
              </w:rPr>
            </w:pPr>
          </w:p>
        </w:tc>
      </w:tr>
      <w:tr w:rsidR="004270A3" w14:paraId="1CE68647" w14:textId="77777777">
        <w:tc>
          <w:tcPr>
            <w:tcW w:w="2775" w:type="dxa"/>
          </w:tcPr>
          <w:p w14:paraId="63D993DC" w14:textId="77777777" w:rsidR="004270A3" w:rsidRDefault="00000000">
            <w:pPr>
              <w:rPr>
                <w:highlight w:val="yellow"/>
              </w:rPr>
            </w:pPr>
            <w:r>
              <w:t xml:space="preserve">Formazione </w:t>
            </w:r>
            <w:proofErr w:type="gramStart"/>
            <w:r>
              <w:t>tecnica  Avanzata</w:t>
            </w:r>
            <w:proofErr w:type="gramEnd"/>
          </w:p>
        </w:tc>
        <w:tc>
          <w:tcPr>
            <w:tcW w:w="7275" w:type="dxa"/>
          </w:tcPr>
          <w:p w14:paraId="2D0A5D2D" w14:textId="77777777" w:rsidR="004270A3" w:rsidRDefault="00000000">
            <w:pPr>
              <w:spacing w:before="240" w:after="240"/>
              <w:jc w:val="left"/>
            </w:pPr>
            <w:r>
              <w:t xml:space="preserve">Architettura applicazioni (3h) – </w:t>
            </w:r>
          </w:p>
          <w:p w14:paraId="01A563AA" w14:textId="77777777" w:rsidR="004270A3" w:rsidRDefault="004270A3">
            <w:pPr>
              <w:spacing w:before="240" w:after="240"/>
              <w:jc w:val="left"/>
            </w:pPr>
          </w:p>
          <w:p w14:paraId="40ED1BD8" w14:textId="77777777" w:rsidR="004270A3" w:rsidRDefault="00000000">
            <w:pPr>
              <w:numPr>
                <w:ilvl w:val="0"/>
                <w:numId w:val="2"/>
              </w:numPr>
              <w:spacing w:before="240"/>
              <w:jc w:val="left"/>
            </w:pPr>
            <w:r>
              <w:t>Distribuzione AS Tomcat (vecchia e nuova installazione)</w:t>
            </w:r>
          </w:p>
          <w:p w14:paraId="6351F1F4" w14:textId="77777777" w:rsidR="004270A3" w:rsidRDefault="00000000">
            <w:pPr>
              <w:numPr>
                <w:ilvl w:val="0"/>
                <w:numId w:val="2"/>
              </w:numPr>
              <w:jc w:val="left"/>
            </w:pPr>
            <w:r>
              <w:t>Distribuzione applicazioni java</w:t>
            </w:r>
          </w:p>
          <w:p w14:paraId="59BC03B1" w14:textId="77777777" w:rsidR="004270A3" w:rsidRDefault="00000000">
            <w:pPr>
              <w:numPr>
                <w:ilvl w:val="0"/>
                <w:numId w:val="2"/>
              </w:numPr>
              <w:spacing w:after="240"/>
              <w:jc w:val="left"/>
            </w:pPr>
            <w:r>
              <w:t>Distribuzione applicazione .net</w:t>
            </w:r>
          </w:p>
        </w:tc>
      </w:tr>
      <w:tr w:rsidR="004270A3" w14:paraId="18D23CA5" w14:textId="77777777">
        <w:tc>
          <w:tcPr>
            <w:tcW w:w="2775" w:type="dxa"/>
          </w:tcPr>
          <w:p w14:paraId="52BA17A0" w14:textId="77777777" w:rsidR="004270A3" w:rsidRDefault="00000000">
            <w:pPr>
              <w:rPr>
                <w:highlight w:val="yellow"/>
              </w:rPr>
            </w:pPr>
            <w:r>
              <w:t xml:space="preserve">Formazione </w:t>
            </w:r>
            <w:proofErr w:type="gramStart"/>
            <w:r>
              <w:t>tecnica  Avanzata</w:t>
            </w:r>
            <w:proofErr w:type="gramEnd"/>
          </w:p>
        </w:tc>
        <w:tc>
          <w:tcPr>
            <w:tcW w:w="7275" w:type="dxa"/>
          </w:tcPr>
          <w:p w14:paraId="48293A0E" w14:textId="77777777" w:rsidR="004270A3" w:rsidRDefault="00000000">
            <w:pPr>
              <w:spacing w:before="240" w:after="240"/>
              <w:jc w:val="left"/>
            </w:pPr>
            <w:r>
              <w:t xml:space="preserve">Gestione dei problemi (3h) </w:t>
            </w:r>
          </w:p>
          <w:p w14:paraId="70A4F842" w14:textId="77777777" w:rsidR="004270A3" w:rsidRDefault="00000000">
            <w:pPr>
              <w:numPr>
                <w:ilvl w:val="0"/>
                <w:numId w:val="3"/>
              </w:numPr>
              <w:spacing w:before="240"/>
              <w:jc w:val="left"/>
            </w:pPr>
            <w:r>
              <w:t xml:space="preserve"> Logs </w:t>
            </w:r>
            <w:proofErr w:type="spellStart"/>
            <w:r>
              <w:t>backend</w:t>
            </w:r>
            <w:proofErr w:type="spellEnd"/>
          </w:p>
          <w:p w14:paraId="03D4FFA1" w14:textId="77777777" w:rsidR="004270A3" w:rsidRDefault="00000000">
            <w:pPr>
              <w:numPr>
                <w:ilvl w:val="0"/>
                <w:numId w:val="3"/>
              </w:numPr>
              <w:jc w:val="left"/>
            </w:pPr>
            <w:r>
              <w:t>Logs protocollazione</w:t>
            </w:r>
          </w:p>
          <w:p w14:paraId="1D5F7C83" w14:textId="77777777" w:rsidR="004270A3" w:rsidRDefault="00000000">
            <w:pPr>
              <w:numPr>
                <w:ilvl w:val="0"/>
                <w:numId w:val="3"/>
              </w:numPr>
              <w:jc w:val="left"/>
            </w:pPr>
            <w:r>
              <w:t xml:space="preserve">Logs </w:t>
            </w:r>
            <w:proofErr w:type="spellStart"/>
            <w:r>
              <w:t>frontend</w:t>
            </w:r>
            <w:proofErr w:type="spellEnd"/>
          </w:p>
          <w:p w14:paraId="733869D4" w14:textId="77777777" w:rsidR="004270A3" w:rsidRDefault="00000000">
            <w:pPr>
              <w:numPr>
                <w:ilvl w:val="0"/>
                <w:numId w:val="3"/>
              </w:numPr>
              <w:jc w:val="left"/>
            </w:pPr>
            <w:r>
              <w:t>Pannello amministrativo</w:t>
            </w:r>
          </w:p>
          <w:p w14:paraId="5640EBB7" w14:textId="77777777" w:rsidR="004270A3" w:rsidRDefault="00000000">
            <w:pPr>
              <w:numPr>
                <w:ilvl w:val="0"/>
                <w:numId w:val="3"/>
              </w:numPr>
              <w:jc w:val="left"/>
            </w:pPr>
            <w:r>
              <w:t xml:space="preserve">Allineamento console -&gt; </w:t>
            </w:r>
            <w:proofErr w:type="spellStart"/>
            <w:r>
              <w:t>backend</w:t>
            </w:r>
            <w:proofErr w:type="spellEnd"/>
          </w:p>
          <w:p w14:paraId="139FB582" w14:textId="77777777" w:rsidR="004270A3" w:rsidRDefault="00000000">
            <w:pPr>
              <w:numPr>
                <w:ilvl w:val="0"/>
                <w:numId w:val="3"/>
              </w:numPr>
              <w:spacing w:after="240"/>
              <w:jc w:val="left"/>
            </w:pPr>
            <w:r>
              <w:t>Dati derivanti da import --&gt; duplicazione anagrafiche</w:t>
            </w:r>
          </w:p>
          <w:p w14:paraId="7102F086" w14:textId="77777777" w:rsidR="004270A3" w:rsidRDefault="004270A3">
            <w:pPr>
              <w:rPr>
                <w:highlight w:val="yellow"/>
              </w:rPr>
            </w:pPr>
          </w:p>
        </w:tc>
      </w:tr>
      <w:tr w:rsidR="004270A3" w14:paraId="220ADD4B" w14:textId="77777777">
        <w:tc>
          <w:tcPr>
            <w:tcW w:w="2775" w:type="dxa"/>
          </w:tcPr>
          <w:p w14:paraId="546D3213" w14:textId="77777777" w:rsidR="004270A3" w:rsidRDefault="00000000">
            <w:pPr>
              <w:rPr>
                <w:highlight w:val="yellow"/>
              </w:rPr>
            </w:pPr>
            <w:r>
              <w:lastRenderedPageBreak/>
              <w:t xml:space="preserve">Formazione </w:t>
            </w:r>
            <w:proofErr w:type="gramStart"/>
            <w:r>
              <w:t>tecnica  Avanzata</w:t>
            </w:r>
            <w:proofErr w:type="gramEnd"/>
          </w:p>
        </w:tc>
        <w:tc>
          <w:tcPr>
            <w:tcW w:w="7275" w:type="dxa"/>
          </w:tcPr>
          <w:p w14:paraId="7C26DC37" w14:textId="77777777" w:rsidR="004270A3" w:rsidRDefault="00000000">
            <w:pPr>
              <w:spacing w:before="240" w:after="240"/>
              <w:jc w:val="left"/>
            </w:pPr>
            <w:r>
              <w:t xml:space="preserve">Pratiche in errore, firma e modifica file (3h) – </w:t>
            </w:r>
          </w:p>
          <w:p w14:paraId="79DB1799" w14:textId="77777777" w:rsidR="004270A3" w:rsidRDefault="00000000">
            <w:pPr>
              <w:spacing w:before="240" w:after="240"/>
              <w:jc w:val="left"/>
            </w:pPr>
            <w:r>
              <w:t>1.       Mancato collegamento con allegati (ver. 2.30)</w:t>
            </w:r>
          </w:p>
          <w:p w14:paraId="65253EE4" w14:textId="77777777" w:rsidR="004270A3" w:rsidRDefault="00000000">
            <w:pPr>
              <w:spacing w:before="240" w:after="240"/>
              <w:jc w:val="left"/>
            </w:pPr>
            <w:r>
              <w:t>2.       Tipo Soggetto mancante nel Back (console ---&gt; allineamento del Back)</w:t>
            </w:r>
          </w:p>
          <w:p w14:paraId="60EAA9D6" w14:textId="77777777" w:rsidR="004270A3" w:rsidRDefault="00000000">
            <w:pPr>
              <w:spacing w:before="240" w:after="240"/>
              <w:jc w:val="left"/>
            </w:pPr>
            <w:r>
              <w:t>3.       Configurazioni mancanti</w:t>
            </w:r>
          </w:p>
          <w:p w14:paraId="25825DFF" w14:textId="77777777" w:rsidR="004270A3" w:rsidRDefault="00000000">
            <w:pPr>
              <w:spacing w:before="240" w:after="240"/>
              <w:jc w:val="left"/>
            </w:pPr>
            <w:r>
              <w:t>4.       plugin anteprima documento su browser</w:t>
            </w:r>
          </w:p>
          <w:p w14:paraId="155CBEA8" w14:textId="77777777" w:rsidR="004270A3" w:rsidRDefault="00000000">
            <w:pPr>
              <w:spacing w:before="240" w:after="240"/>
              <w:jc w:val="left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5.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highlight w:val="white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editDocs</w:t>
            </w:r>
            <w:proofErr w:type="spellEnd"/>
          </w:p>
        </w:tc>
      </w:tr>
    </w:tbl>
    <w:p w14:paraId="15D84ACF" w14:textId="77777777" w:rsidR="004270A3" w:rsidRDefault="004270A3"/>
    <w:sectPr w:rsidR="004270A3">
      <w:headerReference w:type="default" r:id="rId10"/>
      <w:footerReference w:type="default" r:id="rId11"/>
      <w:pgSz w:w="11906" w:h="16838"/>
      <w:pgMar w:top="1935" w:right="1134" w:bottom="1850" w:left="1134" w:header="567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011B2" w14:textId="77777777" w:rsidR="003E66CF" w:rsidRDefault="003E66CF">
      <w:pPr>
        <w:spacing w:after="0" w:line="240" w:lineRule="auto"/>
      </w:pPr>
      <w:r>
        <w:separator/>
      </w:r>
    </w:p>
  </w:endnote>
  <w:endnote w:type="continuationSeparator" w:id="0">
    <w:p w14:paraId="2DC774ED" w14:textId="77777777" w:rsidR="003E66CF" w:rsidRDefault="003E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ED443" w14:textId="5C5666C1" w:rsidR="004270A3" w:rsidRDefault="00FF03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60F9021" wp14:editId="6792453C">
          <wp:simplePos x="0" y="0"/>
          <wp:positionH relativeFrom="column">
            <wp:posOffset>-97790</wp:posOffset>
          </wp:positionH>
          <wp:positionV relativeFrom="paragraph">
            <wp:posOffset>5080</wp:posOffset>
          </wp:positionV>
          <wp:extent cx="1333500" cy="463550"/>
          <wp:effectExtent l="0" t="0" r="0" b="0"/>
          <wp:wrapNone/>
          <wp:docPr id="76" name="Immagin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magine 7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F11E8A1" w14:textId="736A9EAE" w:rsidR="004270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FF03EE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5D163D9B" w14:textId="77777777" w:rsidR="004270A3" w:rsidRDefault="004270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B19B" w14:textId="77777777" w:rsidR="003E66CF" w:rsidRDefault="003E66CF">
      <w:pPr>
        <w:spacing w:after="0" w:line="240" w:lineRule="auto"/>
      </w:pPr>
      <w:r>
        <w:separator/>
      </w:r>
    </w:p>
  </w:footnote>
  <w:footnote w:type="continuationSeparator" w:id="0">
    <w:p w14:paraId="4CA9104F" w14:textId="77777777" w:rsidR="003E66CF" w:rsidRDefault="003E66CF">
      <w:pPr>
        <w:spacing w:after="0" w:line="240" w:lineRule="auto"/>
      </w:pPr>
      <w:r>
        <w:continuationSeparator/>
      </w:r>
    </w:p>
  </w:footnote>
  <w:footnote w:id="1">
    <w:p w14:paraId="7B9A95A9" w14:textId="77777777" w:rsidR="004270A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3" w:name="_heading=h.26in1rg" w:colFirst="0" w:colLast="0"/>
      <w:bookmarkEnd w:id="3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F927" w14:textId="77777777" w:rsidR="004270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56E26A77" wp14:editId="471B4107">
          <wp:extent cx="6108700" cy="609600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DA3"/>
    <w:multiLevelType w:val="multilevel"/>
    <w:tmpl w:val="51105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51D93"/>
    <w:multiLevelType w:val="multilevel"/>
    <w:tmpl w:val="92E277FA"/>
    <w:lvl w:ilvl="0">
      <w:start w:val="1"/>
      <w:numFmt w:val="bullet"/>
      <w:pStyle w:val="Titolo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itolo3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tolo4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F46C9"/>
    <w:multiLevelType w:val="multilevel"/>
    <w:tmpl w:val="91BEA09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6D29B8"/>
    <w:multiLevelType w:val="multilevel"/>
    <w:tmpl w:val="83B2C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A57024"/>
    <w:multiLevelType w:val="multilevel"/>
    <w:tmpl w:val="AB960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BF055F"/>
    <w:multiLevelType w:val="multilevel"/>
    <w:tmpl w:val="5C4C679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C2E04"/>
    <w:multiLevelType w:val="multilevel"/>
    <w:tmpl w:val="0BD0664C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734372">
    <w:abstractNumId w:val="1"/>
  </w:num>
  <w:num w:numId="2" w16cid:durableId="758676618">
    <w:abstractNumId w:val="6"/>
  </w:num>
  <w:num w:numId="3" w16cid:durableId="1660573239">
    <w:abstractNumId w:val="0"/>
  </w:num>
  <w:num w:numId="4" w16cid:durableId="1307975768">
    <w:abstractNumId w:val="2"/>
  </w:num>
  <w:num w:numId="5" w16cid:durableId="388067881">
    <w:abstractNumId w:val="3"/>
  </w:num>
  <w:num w:numId="6" w16cid:durableId="1308048679">
    <w:abstractNumId w:val="5"/>
  </w:num>
  <w:num w:numId="7" w16cid:durableId="1730954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3"/>
    <w:rsid w:val="0009258A"/>
    <w:rsid w:val="003E66CF"/>
    <w:rsid w:val="004270A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8DCD"/>
  <w15:docId w15:val="{A4D1CE15-F329-4528-AA85-1D7DF247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5ed9xyiv5vp0eTZC9MPlo9v5A==">AMUW2mX7JlSkmcxRYfsRaKNmMvZnHKf+3lkjfXaKf6Kc9iCrMNxFQl6zrcZXPiNl3RElN5MxBtBsaTYkmEa+V+CrfFuH4/p3tEFvASrRuq7UR7RliYzP4p+8urG71h3JOMIz2CJ1eNjAUo4Wv0jrNW5YRCVW2fRG+CYVes2vOyClQiIrwPLntNDc++isEyW90qJpwcwSTuGI3BGp/pxqeJo6TvvzL4fyvZsNVI1NrZ42W4jUx+ZKbevz2v2miQTF5gNWE/7p3ADSymVc1RhMov6eb0MDqTMdFTZTY0oWniJkzSKxctLqFc+/29om9fuL1kwUeJPMCy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3</cp:revision>
  <cp:lastPrinted>2022-10-29T10:21:00Z</cp:lastPrinted>
  <dcterms:created xsi:type="dcterms:W3CDTF">2022-05-13T16:10:00Z</dcterms:created>
  <dcterms:modified xsi:type="dcterms:W3CDTF">2022-10-29T10:21:00Z</dcterms:modified>
</cp:coreProperties>
</file>