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1AAD" w14:textId="77777777" w:rsidR="00BD543A" w:rsidRDefault="00000000">
      <w:pPr>
        <w:pStyle w:val="Titolo"/>
      </w:pPr>
      <w:r>
        <w:rPr>
          <w:noProof/>
        </w:rPr>
        <w:drawing>
          <wp:inline distT="0" distB="0" distL="0" distR="0" wp14:anchorId="6410A1D3" wp14:editId="6D1D16C2">
            <wp:extent cx="6120130" cy="821499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0A7D3BEA" w14:textId="77777777" w:rsidR="00BD543A" w:rsidRDefault="00BD543A">
      <w:pPr>
        <w:pStyle w:val="Titolo"/>
      </w:pPr>
    </w:p>
    <w:p w14:paraId="0170240D" w14:textId="77777777" w:rsidR="00BD543A" w:rsidRDefault="00BD543A">
      <w:pPr>
        <w:pStyle w:val="Titolo"/>
      </w:pPr>
    </w:p>
    <w:p w14:paraId="4623C85C" w14:textId="77777777" w:rsidR="00BD543A" w:rsidRDefault="00000000">
      <w:pPr>
        <w:pStyle w:val="Titolo"/>
        <w:ind w:left="567"/>
        <w:jc w:val="left"/>
        <w:rPr>
          <w:rFonts w:ascii="Calibri" w:eastAsia="Calibri" w:hAnsi="Calibri" w:cs="Calibri"/>
          <w:b/>
          <w:color w:val="2F5496"/>
          <w:sz w:val="48"/>
          <w:szCs w:val="48"/>
        </w:rPr>
      </w:pPr>
      <w:r>
        <w:rPr>
          <w:b/>
          <w:color w:val="2F5496"/>
          <w:sz w:val="48"/>
          <w:szCs w:val="48"/>
        </w:rPr>
        <w:t>Riuso VBG/SUAPE 3.0</w:t>
      </w:r>
    </w:p>
    <w:p w14:paraId="65CA4FC1" w14:textId="77777777" w:rsidR="00BD543A" w:rsidRDefault="00000000">
      <w:pPr>
        <w:ind w:left="567"/>
        <w:jc w:val="left"/>
        <w:rPr>
          <w:rFonts w:ascii="Calibri" w:hAnsi="Calibri"/>
          <w:b/>
          <w:color w:val="2F5496"/>
          <w:sz w:val="38"/>
          <w:szCs w:val="38"/>
        </w:rPr>
      </w:pPr>
      <w:r>
        <w:rPr>
          <w:rFonts w:ascii="Calibri" w:hAnsi="Calibri"/>
          <w:b/>
          <w:color w:val="2F5496"/>
          <w:sz w:val="38"/>
          <w:szCs w:val="38"/>
        </w:rPr>
        <w:t>KIT di riuso Fase C – Gestione a regime della soluzione</w:t>
      </w:r>
    </w:p>
    <w:p w14:paraId="1D629EB8" w14:textId="77777777" w:rsidR="00BD543A" w:rsidRDefault="00000000">
      <w:pPr>
        <w:ind w:left="567"/>
        <w:jc w:val="left"/>
        <w:rPr>
          <w:rFonts w:ascii="Calibri" w:hAnsi="Calibri"/>
          <w:b/>
          <w:color w:val="2F5496"/>
          <w:sz w:val="36"/>
          <w:szCs w:val="36"/>
          <w:u w:val="single"/>
        </w:rPr>
      </w:pPr>
      <w:r>
        <w:rPr>
          <w:rFonts w:ascii="Calibri" w:hAnsi="Calibri"/>
          <w:b/>
          <w:color w:val="2F5496"/>
          <w:sz w:val="36"/>
          <w:szCs w:val="36"/>
          <w:u w:val="single"/>
        </w:rPr>
        <w:t>C2. Strumenti organizzativi</w:t>
      </w:r>
    </w:p>
    <w:p w14:paraId="6B6FB921" w14:textId="77777777" w:rsidR="00BD543A" w:rsidRDefault="00000000">
      <w:pPr>
        <w:ind w:left="567"/>
        <w:jc w:val="left"/>
        <w:rPr>
          <w:rFonts w:ascii="Calibri" w:hAnsi="Calibri"/>
          <w:b/>
          <w:color w:val="2F5496"/>
          <w:sz w:val="28"/>
          <w:szCs w:val="28"/>
        </w:rPr>
      </w:pPr>
      <w:r>
        <w:rPr>
          <w:rFonts w:ascii="Calibri" w:hAnsi="Calibri"/>
          <w:b/>
          <w:color w:val="2F5496"/>
          <w:sz w:val="28"/>
          <w:szCs w:val="28"/>
        </w:rPr>
        <w:t>C2.1 Fattori organizzativi</w:t>
      </w:r>
    </w:p>
    <w:p w14:paraId="381E2159" w14:textId="77777777" w:rsidR="00BD543A" w:rsidRDefault="00000000">
      <w:pPr>
        <w:ind w:left="567"/>
        <w:jc w:val="left"/>
        <w:rPr>
          <w:rFonts w:ascii="Calibri" w:hAnsi="Calibri"/>
          <w:b/>
          <w:color w:val="2F5496"/>
          <w:sz w:val="28"/>
          <w:szCs w:val="28"/>
        </w:rPr>
      </w:pPr>
      <w:r>
        <w:rPr>
          <w:rFonts w:ascii="Calibri" w:hAnsi="Calibri"/>
          <w:b/>
          <w:color w:val="2F5496"/>
          <w:sz w:val="28"/>
          <w:szCs w:val="28"/>
        </w:rPr>
        <w:t>C2.2 Check list aspetti organizzativi</w:t>
      </w:r>
    </w:p>
    <w:p w14:paraId="76F21EA2" w14:textId="77777777" w:rsidR="00BD543A" w:rsidRDefault="00BD543A">
      <w:pPr>
        <w:ind w:left="567"/>
        <w:jc w:val="left"/>
        <w:rPr>
          <w:rFonts w:ascii="Calibri" w:hAnsi="Calibri"/>
          <w:b/>
          <w:color w:val="2F5496"/>
          <w:sz w:val="40"/>
          <w:szCs w:val="40"/>
        </w:rPr>
      </w:pPr>
    </w:p>
    <w:p w14:paraId="418E1BBF" w14:textId="77777777" w:rsidR="00BD543A" w:rsidRDefault="00BD543A">
      <w:pPr>
        <w:ind w:left="567"/>
        <w:jc w:val="left"/>
        <w:rPr>
          <w:rFonts w:ascii="Calibri" w:hAnsi="Calibri"/>
          <w:b/>
          <w:color w:val="2F5496"/>
          <w:sz w:val="40"/>
          <w:szCs w:val="40"/>
        </w:rPr>
      </w:pPr>
    </w:p>
    <w:p w14:paraId="03CB41A3" w14:textId="77777777" w:rsidR="00BD543A" w:rsidRDefault="00BD543A">
      <w:pPr>
        <w:ind w:left="567"/>
        <w:jc w:val="left"/>
        <w:rPr>
          <w:rFonts w:ascii="Calibri" w:hAnsi="Calibri"/>
          <w:b/>
          <w:color w:val="2F5496"/>
          <w:sz w:val="40"/>
          <w:szCs w:val="40"/>
        </w:rPr>
      </w:pPr>
    </w:p>
    <w:p w14:paraId="27A1B620" w14:textId="77777777" w:rsidR="00BD543A" w:rsidRDefault="00BD543A">
      <w:pPr>
        <w:ind w:left="567"/>
        <w:jc w:val="left"/>
        <w:rPr>
          <w:rFonts w:ascii="Calibri" w:hAnsi="Calibri"/>
          <w:b/>
          <w:color w:val="2F5496"/>
          <w:sz w:val="40"/>
          <w:szCs w:val="40"/>
        </w:rPr>
      </w:pPr>
    </w:p>
    <w:p w14:paraId="01D4AE0A" w14:textId="77777777" w:rsidR="00BD543A" w:rsidRDefault="00000000">
      <w:pPr>
        <w:ind w:left="567"/>
        <w:rPr>
          <w:rFonts w:ascii="Calibri" w:hAnsi="Calibri"/>
        </w:rPr>
      </w:pPr>
      <w:r>
        <w:rPr>
          <w:rFonts w:ascii="Calibri" w:hAnsi="Calibri"/>
        </w:rPr>
        <w:t>Versione: 1.0</w:t>
      </w:r>
    </w:p>
    <w:p w14:paraId="572562E3" w14:textId="77777777" w:rsidR="00BD543A" w:rsidRDefault="00000000">
      <w:pPr>
        <w:rPr>
          <w:rFonts w:ascii="Calibri" w:hAnsi="Calibri"/>
        </w:rPr>
      </w:pPr>
      <w:r>
        <w:br w:type="page"/>
      </w:r>
    </w:p>
    <w:p w14:paraId="504F9394" w14:textId="77777777" w:rsidR="00BD543A" w:rsidRDefault="00BD543A">
      <w:pPr>
        <w:pStyle w:val="Titolo1"/>
        <w:rPr>
          <w:rFonts w:ascii="Calibri" w:eastAsia="Calibri" w:hAnsi="Calibri" w:cs="Calibri"/>
        </w:rPr>
      </w:pPr>
    </w:p>
    <w:p w14:paraId="17DD81F0" w14:textId="77777777" w:rsidR="00BD543A" w:rsidRDefault="00000000">
      <w:pPr>
        <w:keepNext/>
        <w:pBdr>
          <w:top w:val="single" w:sz="4" w:space="6" w:color="808080"/>
          <w:left w:val="nil"/>
          <w:bottom w:val="nil"/>
          <w:right w:val="nil"/>
          <w:between w:val="nil"/>
        </w:pBdr>
        <w:spacing w:before="480" w:after="120" w:line="276" w:lineRule="auto"/>
        <w:ind w:left="431" w:hanging="431"/>
        <w:jc w:val="left"/>
        <w:rPr>
          <w:rFonts w:ascii="Calibri" w:hAnsi="Calibri"/>
          <w:b/>
          <w:color w:val="2F5496"/>
          <w:sz w:val="28"/>
          <w:szCs w:val="28"/>
        </w:rPr>
      </w:pPr>
      <w:r>
        <w:rPr>
          <w:rFonts w:ascii="Calibri" w:hAnsi="Calibri"/>
          <w:b/>
          <w:color w:val="2F5496"/>
          <w:sz w:val="28"/>
          <w:szCs w:val="28"/>
        </w:rPr>
        <w:t>Sommario</w:t>
      </w:r>
    </w:p>
    <w:sdt>
      <w:sdtPr>
        <w:id w:val="83432138"/>
        <w:docPartObj>
          <w:docPartGallery w:val="Table of Contents"/>
          <w:docPartUnique/>
        </w:docPartObj>
      </w:sdtPr>
      <w:sdtContent>
        <w:p w14:paraId="27CEA09E" w14:textId="77777777" w:rsidR="00BD543A" w:rsidRDefault="00000000">
          <w:pPr>
            <w:pBdr>
              <w:top w:val="nil"/>
              <w:left w:val="nil"/>
              <w:bottom w:val="nil"/>
              <w:right w:val="nil"/>
              <w:between w:val="nil"/>
            </w:pBdr>
            <w:tabs>
              <w:tab w:val="right" w:pos="9628"/>
            </w:tabs>
            <w:spacing w:before="120" w:after="0"/>
            <w:jc w:val="left"/>
            <w:rPr>
              <w:rFonts w:ascii="Calibri" w:hAnsi="Calibri"/>
              <w:color w:val="000000"/>
            </w:rPr>
          </w:pPr>
          <w:r>
            <w:fldChar w:fldCharType="begin"/>
          </w:r>
          <w:r>
            <w:instrText xml:space="preserve"> TOC \h \u \z </w:instrText>
          </w:r>
          <w:r>
            <w:fldChar w:fldCharType="separate"/>
          </w:r>
          <w:hyperlink w:anchor="_heading=h.gjdgxs">
            <w:r>
              <w:rPr>
                <w:rFonts w:ascii="Calibri" w:hAnsi="Calibri"/>
                <w:b/>
                <w:color w:val="000000"/>
                <w:sz w:val="24"/>
                <w:szCs w:val="24"/>
              </w:rPr>
              <w:t>Premessa</w:t>
            </w:r>
          </w:hyperlink>
          <w:hyperlink w:anchor="_heading=h.gjdgxs">
            <w:r>
              <w:rPr>
                <w:rFonts w:ascii="Calibri" w:hAnsi="Calibri"/>
                <w:b/>
                <w:i/>
                <w:color w:val="000000"/>
                <w:sz w:val="24"/>
                <w:szCs w:val="24"/>
              </w:rPr>
              <w:tab/>
              <w:t>3</w:t>
            </w:r>
          </w:hyperlink>
        </w:p>
        <w:p w14:paraId="3CF48B5D" w14:textId="3D6AAFD0" w:rsidR="00BD543A" w:rsidRDefault="00000000">
          <w:pPr>
            <w:pBdr>
              <w:top w:val="nil"/>
              <w:left w:val="nil"/>
              <w:bottom w:val="nil"/>
              <w:right w:val="nil"/>
              <w:between w:val="nil"/>
            </w:pBdr>
            <w:tabs>
              <w:tab w:val="left" w:pos="600"/>
              <w:tab w:val="right" w:pos="9628"/>
            </w:tabs>
            <w:spacing w:before="120" w:after="0"/>
            <w:ind w:left="200"/>
            <w:jc w:val="left"/>
            <w:rPr>
              <w:rFonts w:ascii="Calibri" w:hAnsi="Calibri"/>
              <w:color w:val="000000"/>
            </w:rPr>
          </w:pPr>
          <w:hyperlink w:anchor="_heading=h.1fob9te">
            <w:r>
              <w:rPr>
                <w:rFonts w:ascii="Calibri" w:hAnsi="Calibri"/>
                <w:b/>
                <w:color w:val="000000"/>
              </w:rPr>
              <w:t>1.</w:t>
            </w:r>
          </w:hyperlink>
          <w:hyperlink w:anchor="_heading=h.1fob9te">
            <w:r>
              <w:rPr>
                <w:rFonts w:ascii="Calibri" w:hAnsi="Calibri"/>
                <w:color w:val="000000"/>
              </w:rPr>
              <w:tab/>
            </w:r>
          </w:hyperlink>
          <w:r>
            <w:fldChar w:fldCharType="begin"/>
          </w:r>
          <w:r>
            <w:instrText xml:space="preserve"> PAGEREF _heading=h.1fob9te \h </w:instrText>
          </w:r>
          <w:r>
            <w:fldChar w:fldCharType="separate"/>
          </w:r>
          <w:r w:rsidR="00003260">
            <w:rPr>
              <w:noProof/>
            </w:rPr>
            <w:t>3</w:t>
          </w:r>
          <w:r>
            <w:fldChar w:fldCharType="end"/>
          </w:r>
        </w:p>
        <w:p w14:paraId="0C9350F2" w14:textId="77777777" w:rsidR="00BD543A"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2et92p0">
            <w:r>
              <w:rPr>
                <w:rFonts w:ascii="Calibri" w:hAnsi="Calibri"/>
                <w:color w:val="000000"/>
              </w:rPr>
              <w:t>1.1.</w:t>
            </w:r>
            <w:r>
              <w:rPr>
                <w:rFonts w:ascii="Calibri" w:hAnsi="Calibri"/>
                <w:color w:val="000000"/>
              </w:rPr>
              <w:tab/>
              <w:t>Rafforzamento amministrativo</w:t>
            </w:r>
            <w:r>
              <w:rPr>
                <w:rFonts w:ascii="Calibri" w:hAnsi="Calibri"/>
                <w:color w:val="000000"/>
              </w:rPr>
              <w:tab/>
              <w:t>4</w:t>
            </w:r>
          </w:hyperlink>
        </w:p>
        <w:p w14:paraId="0A950572" w14:textId="77777777" w:rsidR="00BD543A"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tyjcwt">
            <w:r>
              <w:rPr>
                <w:rFonts w:ascii="Calibri" w:hAnsi="Calibri"/>
                <w:color w:val="000000"/>
              </w:rPr>
              <w:t>1.2.</w:t>
            </w:r>
            <w:r>
              <w:rPr>
                <w:rFonts w:ascii="Calibri" w:hAnsi="Calibri"/>
                <w:color w:val="000000"/>
              </w:rPr>
              <w:tab/>
              <w:t>Governo della soluzione</w:t>
            </w:r>
            <w:r>
              <w:rPr>
                <w:rFonts w:ascii="Calibri" w:hAnsi="Calibri"/>
                <w:color w:val="000000"/>
              </w:rPr>
              <w:tab/>
              <w:t>4</w:t>
            </w:r>
          </w:hyperlink>
        </w:p>
        <w:p w14:paraId="11FE9C5E" w14:textId="0F727D3B" w:rsidR="00BD543A" w:rsidRDefault="00000000">
          <w:pPr>
            <w:pBdr>
              <w:top w:val="nil"/>
              <w:left w:val="nil"/>
              <w:bottom w:val="nil"/>
              <w:right w:val="nil"/>
              <w:between w:val="nil"/>
            </w:pBdr>
            <w:tabs>
              <w:tab w:val="left" w:pos="600"/>
              <w:tab w:val="right" w:pos="9628"/>
            </w:tabs>
            <w:spacing w:before="120" w:after="0"/>
            <w:ind w:left="200"/>
            <w:jc w:val="left"/>
            <w:rPr>
              <w:rFonts w:ascii="Calibri" w:hAnsi="Calibri"/>
              <w:color w:val="000000"/>
            </w:rPr>
          </w:pPr>
          <w:hyperlink w:anchor="_heading=h.3dy6vkm">
            <w:r>
              <w:rPr>
                <w:rFonts w:ascii="Calibri" w:hAnsi="Calibri"/>
                <w:b/>
                <w:color w:val="000000"/>
              </w:rPr>
              <w:t>2.</w:t>
            </w:r>
          </w:hyperlink>
          <w:hyperlink w:anchor="_heading=h.3dy6vkm">
            <w:r>
              <w:rPr>
                <w:rFonts w:ascii="Calibri" w:hAnsi="Calibri"/>
                <w:color w:val="000000"/>
              </w:rPr>
              <w:tab/>
            </w:r>
          </w:hyperlink>
          <w:r>
            <w:fldChar w:fldCharType="begin"/>
          </w:r>
          <w:r>
            <w:instrText xml:space="preserve"> PAGEREF _heading=h.3dy6vkm \h </w:instrText>
          </w:r>
          <w:r>
            <w:fldChar w:fldCharType="separate"/>
          </w:r>
          <w:r w:rsidR="00003260">
            <w:rPr>
              <w:noProof/>
            </w:rPr>
            <w:t>4</w:t>
          </w:r>
          <w:r>
            <w:fldChar w:fldCharType="end"/>
          </w:r>
        </w:p>
        <w:p w14:paraId="6FC16D3B" w14:textId="77777777" w:rsidR="00BD543A" w:rsidRDefault="00000000">
          <w:pPr>
            <w:rPr>
              <w:rFonts w:ascii="Calibri" w:hAnsi="Calibri"/>
            </w:rPr>
          </w:pPr>
          <w:r>
            <w:fldChar w:fldCharType="end"/>
          </w:r>
        </w:p>
      </w:sdtContent>
    </w:sdt>
    <w:p w14:paraId="6A885B47" w14:textId="77777777" w:rsidR="00BD543A" w:rsidRDefault="00000000">
      <w:pPr>
        <w:rPr>
          <w:rFonts w:ascii="Calibri" w:hAnsi="Calibri"/>
        </w:rPr>
      </w:pPr>
      <w:r>
        <w:br w:type="page"/>
      </w:r>
    </w:p>
    <w:p w14:paraId="0C22B3E6" w14:textId="77777777" w:rsidR="00BD543A" w:rsidRDefault="00000000">
      <w:pPr>
        <w:pStyle w:val="Titolo1"/>
        <w:rPr>
          <w:rFonts w:ascii="Calibri" w:eastAsia="Calibri" w:hAnsi="Calibri" w:cs="Calibri"/>
        </w:rPr>
      </w:pPr>
      <w:bookmarkStart w:id="0" w:name="_heading=h.gjdgxs" w:colFirst="0" w:colLast="0"/>
      <w:bookmarkEnd w:id="0"/>
      <w:r>
        <w:rPr>
          <w:rFonts w:ascii="Calibri" w:eastAsia="Calibri" w:hAnsi="Calibri" w:cs="Calibri"/>
        </w:rPr>
        <w:lastRenderedPageBreak/>
        <w:t>Premessa</w:t>
      </w:r>
    </w:p>
    <w:p w14:paraId="2A5C30C2" w14:textId="77777777" w:rsidR="00BD543A" w:rsidRDefault="00000000">
      <w:pPr>
        <w:rPr>
          <w:rFonts w:ascii="Calibri" w:hAnsi="Calibri"/>
        </w:rPr>
      </w:pPr>
      <w:bookmarkStart w:id="1" w:name="_heading=h.30j0zll" w:colFirst="0" w:colLast="0"/>
      <w:bookmarkEnd w:id="1"/>
      <w:r>
        <w:rPr>
          <w:rFonts w:ascii="Calibri" w:hAnsi="Calibri"/>
        </w:rPr>
        <w:t>Il presente documento raccoglie gli strumenti organizzativi del kit di riuso per la fase C – Gestione a regime della Soluzione, come previsto dall’Avviso OCPA2020</w:t>
      </w:r>
      <w:r>
        <w:rPr>
          <w:rFonts w:ascii="Calibri" w:hAnsi="Calibri"/>
          <w:vertAlign w:val="superscript"/>
        </w:rPr>
        <w:footnoteReference w:id="1"/>
      </w:r>
      <w:r>
        <w:rPr>
          <w:rFonts w:ascii="Calibri" w:hAnsi="Calibri"/>
        </w:rPr>
        <w:t>, e ha lo scopo di illustrare il modello stabilizzato di trattamento della soluzione successivo alla acquisizione della stessa avvenuto nella FASE B. In questo contesto di regime sono essenziali due aspetti che connotano in modo forte il processo complessivo di riuso di un soggetto pubblico:</w:t>
      </w:r>
    </w:p>
    <w:p w14:paraId="2DC750C7" w14:textId="77777777" w:rsidR="00BD543A" w:rsidRDefault="00000000">
      <w:pPr>
        <w:numPr>
          <w:ilvl w:val="0"/>
          <w:numId w:val="1"/>
        </w:numPr>
        <w:pBdr>
          <w:top w:val="nil"/>
          <w:left w:val="nil"/>
          <w:bottom w:val="nil"/>
          <w:right w:val="nil"/>
          <w:between w:val="nil"/>
        </w:pBdr>
        <w:spacing w:before="120" w:after="0"/>
        <w:ind w:left="425" w:hanging="357"/>
        <w:rPr>
          <w:rFonts w:ascii="Calibri" w:hAnsi="Calibri"/>
          <w:color w:val="000000"/>
        </w:rPr>
      </w:pPr>
      <w:r>
        <w:rPr>
          <w:rFonts w:ascii="Calibri" w:hAnsi="Calibri"/>
          <w:color w:val="000000"/>
        </w:rPr>
        <w:t>il rafforzamento amministrativo del Riusante (se del caso Comunità) conseguente al riuso da mantenere;</w:t>
      </w:r>
    </w:p>
    <w:p w14:paraId="5272B503" w14:textId="77777777" w:rsidR="00BD543A" w:rsidRDefault="00000000">
      <w:pPr>
        <w:numPr>
          <w:ilvl w:val="0"/>
          <w:numId w:val="1"/>
        </w:numPr>
        <w:pBdr>
          <w:top w:val="nil"/>
          <w:left w:val="nil"/>
          <w:bottom w:val="nil"/>
          <w:right w:val="nil"/>
          <w:between w:val="nil"/>
        </w:pBdr>
        <w:spacing w:before="120" w:after="0"/>
        <w:ind w:left="425" w:hanging="357"/>
        <w:rPr>
          <w:rFonts w:ascii="Calibri" w:hAnsi="Calibri"/>
          <w:color w:val="000000"/>
        </w:rPr>
      </w:pPr>
      <w:r>
        <w:rPr>
          <w:rFonts w:ascii="Calibri" w:hAnsi="Calibri"/>
          <w:color w:val="000000"/>
        </w:rPr>
        <w:t>la gestione della soluzione, inteso come investimento, mantenimento e valorizzazione dello stesso.</w:t>
      </w:r>
    </w:p>
    <w:p w14:paraId="15972250" w14:textId="77777777" w:rsidR="00BD543A" w:rsidRDefault="00BD543A">
      <w:pPr>
        <w:rPr>
          <w:rFonts w:ascii="Calibri" w:hAnsi="Calibri"/>
        </w:rPr>
      </w:pPr>
    </w:p>
    <w:p w14:paraId="620C11F4" w14:textId="77777777" w:rsidR="00BD543A" w:rsidRDefault="00000000">
      <w:pPr>
        <w:pStyle w:val="Titolo2"/>
        <w:numPr>
          <w:ilvl w:val="0"/>
          <w:numId w:val="3"/>
        </w:numPr>
        <w:rPr>
          <w:rFonts w:ascii="Calibri" w:hAnsi="Calibri" w:cs="Calibri"/>
        </w:rPr>
      </w:pPr>
      <w:bookmarkStart w:id="3" w:name="_heading=h.1fob9te" w:colFirst="0" w:colLast="0"/>
      <w:bookmarkEnd w:id="3"/>
      <w:r>
        <w:rPr>
          <w:rFonts w:ascii="Calibri" w:hAnsi="Calibri" w:cs="Calibri"/>
        </w:rPr>
        <w:t>Fattori organizzativi</w:t>
      </w:r>
    </w:p>
    <w:p w14:paraId="0419B501" w14:textId="77777777" w:rsidR="00BD543A" w:rsidRDefault="00000000">
      <w:pPr>
        <w:rPr>
          <w:rFonts w:ascii="Calibri" w:hAnsi="Calibri"/>
        </w:rPr>
      </w:pPr>
      <w:bookmarkStart w:id="4" w:name="_heading=h.3znysh7" w:colFirst="0" w:colLast="0"/>
      <w:bookmarkEnd w:id="4"/>
      <w:r>
        <w:rPr>
          <w:rFonts w:ascii="Calibri" w:hAnsi="Calibri"/>
        </w:rPr>
        <w:t xml:space="preserve">Il processo di acquisizione </w:t>
      </w:r>
      <w:r>
        <w:t>della soluzione VBG/SUAPE 3.0</w:t>
      </w:r>
      <w:r>
        <w:rPr>
          <w:rFonts w:ascii="Calibri" w:hAnsi="Calibri"/>
        </w:rPr>
        <w:t xml:space="preserve"> comporta normalmente la revisione del modello organizzativo della struttura e del lavoro. La soluzione affronta infatti contemporaneamente aspetti di diversa natura:</w:t>
      </w:r>
    </w:p>
    <w:p w14:paraId="6941A866" w14:textId="77777777" w:rsidR="00BD543A"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color w:val="000000"/>
        </w:rPr>
        <w:t>organizzativi (in riferimento agli Enti interessati); in quanto il riuso può essere effettuato da un singolo Ente o da un insieme di Enti o da un territorio intero di vastità oltre “comprensoriale” (es. regionale). A tal fine è necessario, come indicato nel piano di azione della Fase B, definire un proprio progetto di fabbisogno comprendente anche l’aspetto organizzativo, sia per la configurazione tecnica della piattaforma digitale a supporto della soluzione, ma anche per una analisi e revisione organizzativa della struttura, del lavoro e dei processi;</w:t>
      </w:r>
    </w:p>
    <w:p w14:paraId="16E6445F" w14:textId="77777777" w:rsidR="00BD543A"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color w:val="000000"/>
        </w:rPr>
        <w:t>organizzativi (in riferimento alla gestione delle informazioni); il processo di riuso in tal senso deve: i) mirare ad un’ampia disponibilità alle informazioni (in termini di rapidità di accesso ed efficacia delle stesse); ii) garantire la corretta riservatezza e protezione (con uno specifico approfondimento sull’assegnazione del titolo di accesso); iii) assicurare l’interoperabilità dei sistemi in uso (trattandosi di una pratica di tipo multilivello amministrativo ed operativo orizzontale e verticale, per problematiche di erogazione delle prestazioni e di gestione amministrativa delle stesse);</w:t>
      </w:r>
    </w:p>
    <w:p w14:paraId="1AD9B8E5" w14:textId="77777777" w:rsidR="00BD543A" w:rsidRDefault="00000000">
      <w:pPr>
        <w:numPr>
          <w:ilvl w:val="0"/>
          <w:numId w:val="2"/>
        </w:numPr>
        <w:pBdr>
          <w:top w:val="nil"/>
          <w:left w:val="nil"/>
          <w:bottom w:val="nil"/>
          <w:right w:val="nil"/>
          <w:between w:val="nil"/>
        </w:pBdr>
        <w:rPr>
          <w:rFonts w:ascii="Calibri" w:hAnsi="Calibri"/>
          <w:color w:val="000000"/>
        </w:rPr>
      </w:pPr>
      <w:r>
        <w:rPr>
          <w:rFonts w:ascii="Calibri" w:hAnsi="Calibri"/>
          <w:color w:val="000000"/>
        </w:rPr>
        <w:t>organizzativi (in riferimento alla gestione delle funzioni e degli iter che caratterizzano i servizi insiti nel concetto stesso di prestazione sociale a servizio individuale verso il cittadino); tali servizi vengono gestiti in aree comprensoriali che, a seconda della Regione, possono assumere nomi diversi (ambiti, zone, distretti, ATS, etc.). Quest’ultimo aspetto poi ha una ulteriore specificità legata ai trattamenti che caratterizzano i servizi, che possono essere di tipo preventivo o di istanza di parte. Hanno funzioni di ascolto, di proposta, di valutazione di erogazione e di consuntivazione differenziati sia come strutture che come soggetti.</w:t>
      </w:r>
    </w:p>
    <w:p w14:paraId="2D96EE80" w14:textId="77777777" w:rsidR="00BD543A" w:rsidRDefault="00000000">
      <w:pPr>
        <w:rPr>
          <w:rFonts w:ascii="Calibri" w:hAnsi="Calibri"/>
        </w:rPr>
      </w:pPr>
      <w:r>
        <w:rPr>
          <w:rFonts w:ascii="Calibri" w:hAnsi="Calibri"/>
        </w:rPr>
        <w:t>Questo contesto così articolato non può non influenzare le tre fasi del riuso, sia sotto l’aspetto valutativo di scelta, sia sotto l’aspetto progettuale di attivazione e, ancor di più, rispetto a quello di gestione che, unito al progetto di attivazione, consente uno sviluppo del processo di riuso in modo stabile e funzionale nel tempo.</w:t>
      </w:r>
    </w:p>
    <w:p w14:paraId="12487F04" w14:textId="77777777" w:rsidR="00BD543A" w:rsidRDefault="00BD543A">
      <w:pPr>
        <w:rPr>
          <w:rFonts w:ascii="Calibri" w:hAnsi="Calibri"/>
        </w:rPr>
      </w:pPr>
    </w:p>
    <w:p w14:paraId="023D801E" w14:textId="77777777" w:rsidR="00BD543A" w:rsidRDefault="00000000">
      <w:pPr>
        <w:pStyle w:val="Titolo3"/>
        <w:numPr>
          <w:ilvl w:val="1"/>
          <w:numId w:val="3"/>
        </w:numPr>
        <w:rPr>
          <w:rFonts w:ascii="Calibri" w:hAnsi="Calibri" w:cs="Calibri"/>
        </w:rPr>
      </w:pPr>
      <w:bookmarkStart w:id="5" w:name="_heading=h.2et92p0" w:colFirst="0" w:colLast="0"/>
      <w:bookmarkEnd w:id="5"/>
      <w:r>
        <w:rPr>
          <w:rFonts w:ascii="Calibri" w:hAnsi="Calibri" w:cs="Calibri"/>
        </w:rPr>
        <w:lastRenderedPageBreak/>
        <w:t>Rafforzamento amministrativo</w:t>
      </w:r>
    </w:p>
    <w:p w14:paraId="0C68B334" w14:textId="77777777" w:rsidR="00BD543A" w:rsidRDefault="00000000">
      <w:pPr>
        <w:rPr>
          <w:rFonts w:ascii="Calibri" w:hAnsi="Calibri"/>
        </w:rPr>
      </w:pPr>
      <w:r>
        <w:rPr>
          <w:rFonts w:ascii="Calibri" w:hAnsi="Calibri"/>
        </w:rPr>
        <w:t>In tutto ciò punto di riferimento, per la valutazione dell’impegno necessario, è l’obiettivo di rafforzamento amministrativo perseguito attraverso l’intero processo.</w:t>
      </w:r>
    </w:p>
    <w:p w14:paraId="27AF7D21" w14:textId="77777777" w:rsidR="00BD543A" w:rsidRDefault="00000000">
      <w:pPr>
        <w:rPr>
          <w:rFonts w:ascii="Calibri" w:hAnsi="Calibri"/>
        </w:rPr>
      </w:pPr>
      <w:r>
        <w:rPr>
          <w:rFonts w:ascii="Calibri" w:hAnsi="Calibri"/>
        </w:rPr>
        <w:t>Questo, a seconda del tipo di utilizzatore e del modello di lavoro, diventa un elemento essenziale di valutazione del progetto di trasferimento realizzato, ma soprattutto del modello di gestione a regime.</w:t>
      </w:r>
    </w:p>
    <w:p w14:paraId="12601E0B" w14:textId="77777777" w:rsidR="00BD543A" w:rsidRPr="00F32988" w:rsidRDefault="00000000">
      <w:pPr>
        <w:rPr>
          <w:rFonts w:cstheme="majorHAnsi"/>
        </w:rPr>
      </w:pPr>
      <w:r w:rsidRPr="00F32988">
        <w:rPr>
          <w:rFonts w:cstheme="majorHAnsi"/>
        </w:rPr>
        <w:t>A riguardo si riportano alcuni indicatori utili a supportare una corretta valutazione dei livelli di servizio definiti e auspicati per la fase di gestione a regime</w:t>
      </w:r>
    </w:p>
    <w:tbl>
      <w:tblPr>
        <w:tblStyle w:val="a"/>
        <w:tblW w:w="9634"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738"/>
        <w:gridCol w:w="1029"/>
        <w:gridCol w:w="1215"/>
        <w:gridCol w:w="2652"/>
      </w:tblGrid>
      <w:tr w:rsidR="00BD543A" w14:paraId="01A9DC36" w14:textId="77777777">
        <w:trPr>
          <w:tblHeader/>
        </w:trPr>
        <w:tc>
          <w:tcPr>
            <w:tcW w:w="4738" w:type="dxa"/>
          </w:tcPr>
          <w:p w14:paraId="0C6D4608" w14:textId="77777777" w:rsidR="00BD543A" w:rsidRDefault="00000000">
            <w:pPr>
              <w:spacing w:before="120" w:after="120"/>
              <w:jc w:val="center"/>
              <w:rPr>
                <w:rFonts w:ascii="Calibri" w:hAnsi="Calibri"/>
                <w:b/>
                <w:sz w:val="20"/>
                <w:szCs w:val="20"/>
              </w:rPr>
            </w:pPr>
            <w:r>
              <w:rPr>
                <w:rFonts w:ascii="Calibri" w:hAnsi="Calibri"/>
                <w:b/>
                <w:sz w:val="20"/>
                <w:szCs w:val="20"/>
              </w:rPr>
              <w:t>Indicatore</w:t>
            </w:r>
          </w:p>
        </w:tc>
        <w:tc>
          <w:tcPr>
            <w:tcW w:w="1029" w:type="dxa"/>
          </w:tcPr>
          <w:p w14:paraId="57245B50" w14:textId="77777777" w:rsidR="00BD543A" w:rsidRDefault="00000000">
            <w:pPr>
              <w:spacing w:before="120" w:after="120"/>
              <w:jc w:val="center"/>
              <w:rPr>
                <w:rFonts w:ascii="Calibri" w:hAnsi="Calibri"/>
                <w:b/>
                <w:sz w:val="20"/>
                <w:szCs w:val="20"/>
              </w:rPr>
            </w:pPr>
            <w:r>
              <w:rPr>
                <w:rFonts w:ascii="Calibri" w:hAnsi="Calibri"/>
                <w:b/>
                <w:sz w:val="20"/>
                <w:szCs w:val="20"/>
              </w:rPr>
              <w:t>Valore target</w:t>
            </w:r>
          </w:p>
        </w:tc>
        <w:tc>
          <w:tcPr>
            <w:tcW w:w="1215" w:type="dxa"/>
          </w:tcPr>
          <w:p w14:paraId="28CFE950" w14:textId="77777777" w:rsidR="00BD543A" w:rsidRDefault="00000000">
            <w:pPr>
              <w:spacing w:before="120" w:after="120"/>
              <w:jc w:val="center"/>
              <w:rPr>
                <w:rFonts w:ascii="Calibri" w:hAnsi="Calibri"/>
                <w:b/>
                <w:sz w:val="20"/>
                <w:szCs w:val="20"/>
              </w:rPr>
            </w:pPr>
            <w:r>
              <w:rPr>
                <w:rFonts w:ascii="Calibri" w:hAnsi="Calibri"/>
                <w:b/>
                <w:sz w:val="20"/>
                <w:szCs w:val="20"/>
              </w:rPr>
              <w:t>Tollerabilità di successo</w:t>
            </w:r>
          </w:p>
        </w:tc>
        <w:tc>
          <w:tcPr>
            <w:tcW w:w="2652" w:type="dxa"/>
          </w:tcPr>
          <w:p w14:paraId="4B366ABE" w14:textId="77777777" w:rsidR="00BD543A" w:rsidRDefault="00000000">
            <w:pPr>
              <w:spacing w:before="120" w:after="120"/>
              <w:rPr>
                <w:rFonts w:ascii="Calibri" w:hAnsi="Calibri"/>
                <w:b/>
                <w:sz w:val="20"/>
                <w:szCs w:val="20"/>
              </w:rPr>
            </w:pPr>
            <w:r>
              <w:rPr>
                <w:rFonts w:ascii="Calibri" w:hAnsi="Calibri"/>
                <w:b/>
                <w:sz w:val="20"/>
                <w:szCs w:val="20"/>
              </w:rPr>
              <w:t>Nota descrittiva</w:t>
            </w:r>
          </w:p>
        </w:tc>
      </w:tr>
      <w:tr w:rsidR="00BD543A" w14:paraId="66E60B7C" w14:textId="77777777">
        <w:tc>
          <w:tcPr>
            <w:tcW w:w="4738" w:type="dxa"/>
          </w:tcPr>
          <w:p w14:paraId="6C71A748" w14:textId="77777777" w:rsidR="00BD543A" w:rsidRDefault="00000000">
            <w:pPr>
              <w:spacing w:before="120" w:after="120"/>
              <w:rPr>
                <w:rFonts w:ascii="Calibri" w:hAnsi="Calibri"/>
                <w:sz w:val="20"/>
                <w:szCs w:val="20"/>
              </w:rPr>
            </w:pPr>
            <w:r>
              <w:rPr>
                <w:sz w:val="20"/>
                <w:szCs w:val="20"/>
              </w:rPr>
              <w:t>Tempi Rilascio Autorizzazione</w:t>
            </w:r>
          </w:p>
        </w:tc>
        <w:tc>
          <w:tcPr>
            <w:tcW w:w="1029" w:type="dxa"/>
          </w:tcPr>
          <w:p w14:paraId="5F2B60AE" w14:textId="77777777" w:rsidR="00BD543A" w:rsidRDefault="00000000">
            <w:pPr>
              <w:spacing w:before="120" w:after="120"/>
              <w:jc w:val="center"/>
              <w:rPr>
                <w:rFonts w:ascii="Calibri" w:hAnsi="Calibri"/>
                <w:sz w:val="20"/>
                <w:szCs w:val="20"/>
              </w:rPr>
            </w:pPr>
            <w:r>
              <w:rPr>
                <w:sz w:val="20"/>
                <w:szCs w:val="20"/>
              </w:rPr>
              <w:t>66</w:t>
            </w:r>
            <w:r>
              <w:rPr>
                <w:rFonts w:ascii="Calibri" w:hAnsi="Calibri"/>
                <w:sz w:val="20"/>
                <w:szCs w:val="20"/>
              </w:rPr>
              <w:t>%</w:t>
            </w:r>
          </w:p>
        </w:tc>
        <w:tc>
          <w:tcPr>
            <w:tcW w:w="1215" w:type="dxa"/>
          </w:tcPr>
          <w:p w14:paraId="1E28CB67" w14:textId="77777777" w:rsidR="00BD543A" w:rsidRDefault="00000000">
            <w:pPr>
              <w:spacing w:before="120" w:after="120"/>
              <w:jc w:val="center"/>
              <w:rPr>
                <w:rFonts w:ascii="Calibri" w:hAnsi="Calibri"/>
                <w:sz w:val="20"/>
                <w:szCs w:val="20"/>
              </w:rPr>
            </w:pPr>
            <w:r>
              <w:rPr>
                <w:rFonts w:ascii="Calibri" w:hAnsi="Calibri"/>
                <w:sz w:val="20"/>
                <w:szCs w:val="20"/>
              </w:rPr>
              <w:t>10%</w:t>
            </w:r>
          </w:p>
        </w:tc>
        <w:tc>
          <w:tcPr>
            <w:tcW w:w="2652" w:type="dxa"/>
          </w:tcPr>
          <w:p w14:paraId="1E10003E" w14:textId="77777777" w:rsidR="00BD543A" w:rsidRDefault="00000000">
            <w:pPr>
              <w:spacing w:before="120" w:after="120"/>
              <w:rPr>
                <w:rFonts w:ascii="Calibri" w:hAnsi="Calibri"/>
                <w:sz w:val="20"/>
                <w:szCs w:val="20"/>
              </w:rPr>
            </w:pPr>
            <w:r>
              <w:rPr>
                <w:sz w:val="20"/>
                <w:szCs w:val="20"/>
              </w:rPr>
              <w:t>Riduzione dei tempi di rilascio di un'autorizzazione che è stimata pari ai 2/3</w:t>
            </w:r>
          </w:p>
        </w:tc>
      </w:tr>
      <w:tr w:rsidR="00BD543A" w14:paraId="12B7262B" w14:textId="77777777">
        <w:tc>
          <w:tcPr>
            <w:tcW w:w="4738" w:type="dxa"/>
          </w:tcPr>
          <w:p w14:paraId="22538065" w14:textId="77777777" w:rsidR="00BD543A" w:rsidRDefault="00000000">
            <w:pPr>
              <w:spacing w:before="120" w:after="120"/>
              <w:rPr>
                <w:rFonts w:ascii="Calibri" w:hAnsi="Calibri"/>
                <w:sz w:val="20"/>
                <w:szCs w:val="20"/>
              </w:rPr>
            </w:pPr>
            <w:r>
              <w:rPr>
                <w:sz w:val="20"/>
                <w:szCs w:val="20"/>
              </w:rPr>
              <w:t>% Pratiche trasmesse in formato full digital</w:t>
            </w:r>
          </w:p>
        </w:tc>
        <w:tc>
          <w:tcPr>
            <w:tcW w:w="1029" w:type="dxa"/>
          </w:tcPr>
          <w:p w14:paraId="78716F31" w14:textId="77777777" w:rsidR="00BD543A" w:rsidRDefault="00000000">
            <w:pPr>
              <w:spacing w:before="120" w:after="120"/>
              <w:jc w:val="center"/>
              <w:rPr>
                <w:rFonts w:ascii="Calibri" w:hAnsi="Calibri"/>
                <w:sz w:val="20"/>
                <w:szCs w:val="20"/>
              </w:rPr>
            </w:pPr>
            <w:r>
              <w:rPr>
                <w:sz w:val="20"/>
                <w:szCs w:val="20"/>
              </w:rPr>
              <w:t>80 %</w:t>
            </w:r>
          </w:p>
        </w:tc>
        <w:tc>
          <w:tcPr>
            <w:tcW w:w="1215" w:type="dxa"/>
          </w:tcPr>
          <w:p w14:paraId="32C39619" w14:textId="77777777" w:rsidR="00BD543A" w:rsidRDefault="00000000">
            <w:pPr>
              <w:spacing w:before="120" w:after="120"/>
              <w:jc w:val="center"/>
              <w:rPr>
                <w:rFonts w:ascii="Calibri" w:hAnsi="Calibri"/>
                <w:sz w:val="20"/>
                <w:szCs w:val="20"/>
              </w:rPr>
            </w:pPr>
            <w:r>
              <w:rPr>
                <w:sz w:val="20"/>
                <w:szCs w:val="20"/>
              </w:rPr>
              <w:t>10%</w:t>
            </w:r>
          </w:p>
        </w:tc>
        <w:tc>
          <w:tcPr>
            <w:tcW w:w="2652" w:type="dxa"/>
          </w:tcPr>
          <w:p w14:paraId="14621B1F" w14:textId="77777777" w:rsidR="00BD543A" w:rsidRDefault="00000000">
            <w:pPr>
              <w:spacing w:before="120" w:after="120"/>
              <w:rPr>
                <w:rFonts w:ascii="Calibri" w:hAnsi="Calibri"/>
                <w:sz w:val="20"/>
                <w:szCs w:val="20"/>
              </w:rPr>
            </w:pPr>
            <w:r>
              <w:rPr>
                <w:sz w:val="20"/>
                <w:szCs w:val="20"/>
              </w:rPr>
              <w:t>Incremento delle pratiche ricevute e gestite totalmente in modalità digitale, riducendo il numero di pratiche cartacee</w:t>
            </w:r>
          </w:p>
        </w:tc>
      </w:tr>
    </w:tbl>
    <w:p w14:paraId="173FF20D" w14:textId="77777777" w:rsidR="00BD543A" w:rsidRDefault="00BD543A">
      <w:pPr>
        <w:rPr>
          <w:rFonts w:ascii="Calibri" w:hAnsi="Calibri"/>
        </w:rPr>
      </w:pPr>
    </w:p>
    <w:p w14:paraId="0B359991" w14:textId="77777777" w:rsidR="00BD543A" w:rsidRDefault="00000000">
      <w:pPr>
        <w:pStyle w:val="Titolo2"/>
        <w:numPr>
          <w:ilvl w:val="0"/>
          <w:numId w:val="3"/>
        </w:numPr>
        <w:rPr>
          <w:rFonts w:ascii="Calibri" w:hAnsi="Calibri" w:cs="Calibri"/>
        </w:rPr>
      </w:pPr>
      <w:bookmarkStart w:id="6" w:name="_heading=h.3dy6vkm" w:colFirst="0" w:colLast="0"/>
      <w:bookmarkEnd w:id="6"/>
      <w:r>
        <w:rPr>
          <w:rFonts w:ascii="Calibri" w:hAnsi="Calibri" w:cs="Calibri"/>
        </w:rPr>
        <w:t>Check list di capacità gestionale</w:t>
      </w:r>
    </w:p>
    <w:p w14:paraId="22511609" w14:textId="77777777" w:rsidR="00BD543A" w:rsidRDefault="00000000">
      <w:pPr>
        <w:rPr>
          <w:rFonts w:ascii="Calibri" w:hAnsi="Calibri"/>
        </w:rPr>
      </w:pPr>
      <w:r>
        <w:rPr>
          <w:rFonts w:ascii="Calibri" w:hAnsi="Calibri"/>
        </w:rPr>
        <w:t>Una volta identificato il modello e l’organizzazione operativa della gestione sarà utile interrogarsi su quali e quante funzioni necessarie alla gestione completa e alla evoluzione del sistema siano previste, presenti e/o disponibili.</w:t>
      </w:r>
    </w:p>
    <w:p w14:paraId="1BC72041" w14:textId="77777777" w:rsidR="00BD543A" w:rsidRDefault="00000000">
      <w:pPr>
        <w:rPr>
          <w:rFonts w:ascii="Calibri" w:hAnsi="Calibri"/>
        </w:rPr>
      </w:pPr>
      <w:r w:rsidRPr="00F32988">
        <w:rPr>
          <w:rFonts w:cstheme="majorHAnsi"/>
        </w:rPr>
        <w:t>Si riportano, nella tabella che segue, alcune esigenze/strutture necessarie per la gestione del progetto di riuso VBG/SUAPE 3.0 rispetto alle quali è necessario effettuare una valutazione sulle possibili soluzioni di adozione. Per quanto riguarda gli Enti della Regione</w:t>
      </w:r>
      <w:r>
        <w:t xml:space="preserve"> Umbria, potranno avere come riferimento </w:t>
      </w:r>
      <w:proofErr w:type="gramStart"/>
      <w:r>
        <w:t>PuntoZero</w:t>
      </w:r>
      <w:proofErr w:type="gramEnd"/>
      <w:r>
        <w:t xml:space="preserve"> </w:t>
      </w:r>
      <w:proofErr w:type="spellStart"/>
      <w:r>
        <w:t>scarl</w:t>
      </w:r>
      <w:proofErr w:type="spellEnd"/>
      <w:r>
        <w:t xml:space="preserve"> per l’erogazione di uno o più servizi indicati nella tabella sottostante. Per gli enti riusanti fuori Regione si potrà far riferimento alla tabella sottostante con le possibili soluzioni.</w:t>
      </w:r>
    </w:p>
    <w:tbl>
      <w:tblPr>
        <w:tblStyle w:val="a0"/>
        <w:tblW w:w="9628"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09"/>
        <w:gridCol w:w="3209"/>
        <w:gridCol w:w="3210"/>
      </w:tblGrid>
      <w:tr w:rsidR="00BD543A" w14:paraId="70D8609B" w14:textId="77777777">
        <w:tc>
          <w:tcPr>
            <w:tcW w:w="3209" w:type="dxa"/>
          </w:tcPr>
          <w:p w14:paraId="412D0DF1" w14:textId="77777777" w:rsidR="00BD543A" w:rsidRDefault="00000000">
            <w:pPr>
              <w:spacing w:before="120" w:after="120"/>
              <w:rPr>
                <w:rFonts w:ascii="Calibri" w:hAnsi="Calibri"/>
                <w:b/>
                <w:sz w:val="20"/>
                <w:szCs w:val="20"/>
              </w:rPr>
            </w:pPr>
            <w:r>
              <w:rPr>
                <w:rFonts w:ascii="Calibri" w:hAnsi="Calibri"/>
                <w:b/>
                <w:sz w:val="20"/>
                <w:szCs w:val="20"/>
              </w:rPr>
              <w:t>Esigenza/st</w:t>
            </w:r>
            <w:r>
              <w:rPr>
                <w:b/>
                <w:sz w:val="20"/>
                <w:szCs w:val="20"/>
              </w:rPr>
              <w:t>ruttura organizzativa</w:t>
            </w:r>
          </w:p>
        </w:tc>
        <w:tc>
          <w:tcPr>
            <w:tcW w:w="3209" w:type="dxa"/>
          </w:tcPr>
          <w:p w14:paraId="787CB675" w14:textId="77777777" w:rsidR="00BD543A" w:rsidRDefault="00000000">
            <w:pPr>
              <w:spacing w:before="120" w:after="120"/>
              <w:rPr>
                <w:rFonts w:ascii="Calibri" w:hAnsi="Calibri"/>
                <w:b/>
                <w:sz w:val="20"/>
                <w:szCs w:val="20"/>
              </w:rPr>
            </w:pPr>
            <w:r>
              <w:rPr>
                <w:rFonts w:ascii="Calibri" w:hAnsi="Calibri"/>
                <w:b/>
                <w:sz w:val="20"/>
                <w:szCs w:val="20"/>
              </w:rPr>
              <w:t>Presenza organizzativa</w:t>
            </w:r>
          </w:p>
        </w:tc>
        <w:tc>
          <w:tcPr>
            <w:tcW w:w="3210" w:type="dxa"/>
          </w:tcPr>
          <w:p w14:paraId="63709386" w14:textId="77777777" w:rsidR="00BD543A" w:rsidRDefault="00000000">
            <w:pPr>
              <w:spacing w:before="120" w:after="120"/>
              <w:rPr>
                <w:rFonts w:ascii="Calibri" w:hAnsi="Calibri"/>
                <w:b/>
                <w:sz w:val="20"/>
                <w:szCs w:val="20"/>
              </w:rPr>
            </w:pPr>
            <w:r>
              <w:rPr>
                <w:rFonts w:ascii="Calibri" w:hAnsi="Calibri"/>
                <w:b/>
                <w:sz w:val="20"/>
                <w:szCs w:val="20"/>
              </w:rPr>
              <w:t>Possibile soluzione</w:t>
            </w:r>
          </w:p>
        </w:tc>
      </w:tr>
      <w:tr w:rsidR="00BD543A" w14:paraId="7B8E1BB0" w14:textId="77777777">
        <w:tc>
          <w:tcPr>
            <w:tcW w:w="3209" w:type="dxa"/>
          </w:tcPr>
          <w:p w14:paraId="37FF0DD9" w14:textId="77777777" w:rsidR="00BD543A" w:rsidRDefault="00000000">
            <w:pPr>
              <w:spacing w:before="120" w:after="120"/>
              <w:jc w:val="left"/>
              <w:rPr>
                <w:rFonts w:ascii="Calibri" w:hAnsi="Calibri"/>
                <w:sz w:val="18"/>
                <w:szCs w:val="18"/>
              </w:rPr>
            </w:pPr>
            <w:r>
              <w:rPr>
                <w:rFonts w:ascii="Calibri" w:hAnsi="Calibri"/>
                <w:sz w:val="18"/>
                <w:szCs w:val="18"/>
              </w:rPr>
              <w:t xml:space="preserve">Laboratorio di manutenzione soluzione digitale </w:t>
            </w:r>
          </w:p>
        </w:tc>
        <w:tc>
          <w:tcPr>
            <w:tcW w:w="3209" w:type="dxa"/>
          </w:tcPr>
          <w:p w14:paraId="4EC31B44" w14:textId="77777777" w:rsidR="00BD543A" w:rsidRDefault="00000000">
            <w:pPr>
              <w:spacing w:before="120" w:after="120"/>
              <w:jc w:val="left"/>
              <w:rPr>
                <w:rFonts w:ascii="Calibri" w:hAnsi="Calibri"/>
                <w:sz w:val="18"/>
                <w:szCs w:val="18"/>
              </w:rPr>
            </w:pPr>
            <w:r>
              <w:rPr>
                <w:rFonts w:ascii="Calibri" w:hAnsi="Calibri"/>
                <w:sz w:val="18"/>
                <w:szCs w:val="18"/>
              </w:rPr>
              <w:t>Presenza competenze sviluppo software</w:t>
            </w:r>
          </w:p>
        </w:tc>
        <w:tc>
          <w:tcPr>
            <w:tcW w:w="3210" w:type="dxa"/>
          </w:tcPr>
          <w:p w14:paraId="2DF9ECF3" w14:textId="77777777" w:rsidR="00BD543A" w:rsidRDefault="00000000">
            <w:pPr>
              <w:spacing w:before="120" w:after="120"/>
              <w:rPr>
                <w:rFonts w:ascii="Calibri" w:hAnsi="Calibri"/>
                <w:strike/>
                <w:sz w:val="18"/>
                <w:szCs w:val="18"/>
              </w:rPr>
            </w:pPr>
            <w:r>
              <w:rPr>
                <w:rFonts w:ascii="Calibri" w:hAnsi="Calibri"/>
                <w:b/>
                <w:strike/>
                <w:sz w:val="18"/>
                <w:szCs w:val="18"/>
              </w:rPr>
              <w:t>Si:</w:t>
            </w:r>
            <w:r>
              <w:rPr>
                <w:rFonts w:ascii="Calibri" w:hAnsi="Calibri"/>
                <w:strike/>
                <w:sz w:val="18"/>
                <w:szCs w:val="18"/>
              </w:rPr>
              <w:t xml:space="preserve"> accordi di collaborazione con Laboratorio cedente</w:t>
            </w:r>
          </w:p>
          <w:p w14:paraId="6803F9AC" w14:textId="77777777" w:rsidR="00BD543A" w:rsidRDefault="00000000">
            <w:pPr>
              <w:spacing w:before="120" w:after="120"/>
              <w:rPr>
                <w:rFonts w:ascii="Calibri" w:hAnsi="Calibri"/>
                <w:sz w:val="18"/>
                <w:szCs w:val="18"/>
              </w:rPr>
            </w:pPr>
            <w:r>
              <w:rPr>
                <w:rFonts w:ascii="Calibri" w:hAnsi="Calibri"/>
                <w:b/>
                <w:sz w:val="18"/>
                <w:szCs w:val="18"/>
              </w:rPr>
              <w:t>No:</w:t>
            </w:r>
            <w:r>
              <w:rPr>
                <w:rFonts w:ascii="Calibri" w:hAnsi="Calibri"/>
                <w:sz w:val="18"/>
                <w:szCs w:val="18"/>
              </w:rPr>
              <w:t xml:space="preserve"> affidamento esterno o accordi con Cedente (Comunità o convenzione) o ricerca su mercato con eventuale accordo con cedente</w:t>
            </w:r>
          </w:p>
        </w:tc>
      </w:tr>
      <w:tr w:rsidR="00BD543A" w14:paraId="36392E18" w14:textId="77777777">
        <w:tc>
          <w:tcPr>
            <w:tcW w:w="3209" w:type="dxa"/>
          </w:tcPr>
          <w:p w14:paraId="15C937D6" w14:textId="77777777" w:rsidR="00BD543A" w:rsidRDefault="00000000">
            <w:pPr>
              <w:spacing w:before="120" w:after="120"/>
              <w:rPr>
                <w:rFonts w:ascii="Calibri" w:hAnsi="Calibri"/>
                <w:sz w:val="18"/>
                <w:szCs w:val="18"/>
              </w:rPr>
            </w:pPr>
            <w:r>
              <w:rPr>
                <w:rFonts w:ascii="Calibri" w:hAnsi="Calibri"/>
                <w:sz w:val="18"/>
                <w:szCs w:val="18"/>
              </w:rPr>
              <w:t>Hub di conoscenza</w:t>
            </w:r>
          </w:p>
        </w:tc>
        <w:tc>
          <w:tcPr>
            <w:tcW w:w="3209" w:type="dxa"/>
          </w:tcPr>
          <w:p w14:paraId="636FBAD2" w14:textId="77777777" w:rsidR="00BD543A" w:rsidRDefault="00000000">
            <w:pPr>
              <w:spacing w:before="120" w:after="120"/>
              <w:rPr>
                <w:rFonts w:ascii="Calibri" w:hAnsi="Calibri"/>
                <w:sz w:val="18"/>
                <w:szCs w:val="18"/>
              </w:rPr>
            </w:pPr>
            <w:r>
              <w:rPr>
                <w:rFonts w:ascii="Calibri" w:hAnsi="Calibri"/>
                <w:sz w:val="18"/>
                <w:szCs w:val="18"/>
              </w:rPr>
              <w:t>Presenza di personale con capacità di analisi di bisogni e di definizione di specifiche</w:t>
            </w:r>
          </w:p>
        </w:tc>
        <w:tc>
          <w:tcPr>
            <w:tcW w:w="3210" w:type="dxa"/>
          </w:tcPr>
          <w:p w14:paraId="505EFF54" w14:textId="77777777" w:rsidR="00BD543A" w:rsidRDefault="00000000">
            <w:pPr>
              <w:spacing w:before="120" w:after="120"/>
              <w:rPr>
                <w:rFonts w:ascii="Calibri" w:hAnsi="Calibri"/>
                <w:sz w:val="18"/>
                <w:szCs w:val="18"/>
              </w:rPr>
            </w:pPr>
            <w:r>
              <w:rPr>
                <w:rFonts w:ascii="Calibri" w:hAnsi="Calibri"/>
                <w:b/>
                <w:sz w:val="18"/>
                <w:szCs w:val="18"/>
              </w:rPr>
              <w:t>Si:</w:t>
            </w:r>
            <w:r>
              <w:rPr>
                <w:rFonts w:ascii="Calibri" w:hAnsi="Calibri"/>
                <w:sz w:val="18"/>
                <w:szCs w:val="18"/>
              </w:rPr>
              <w:t xml:space="preserve"> accordi di collaborazione con Comunità cedente</w:t>
            </w:r>
          </w:p>
          <w:p w14:paraId="677608B6" w14:textId="77777777" w:rsidR="00BD543A" w:rsidRDefault="00000000">
            <w:pPr>
              <w:spacing w:before="120" w:after="120"/>
              <w:rPr>
                <w:rFonts w:ascii="Calibri" w:hAnsi="Calibri"/>
                <w:strike/>
                <w:sz w:val="18"/>
                <w:szCs w:val="18"/>
              </w:rPr>
            </w:pPr>
            <w:r>
              <w:rPr>
                <w:rFonts w:ascii="Calibri" w:hAnsi="Calibri"/>
                <w:b/>
                <w:sz w:val="18"/>
                <w:szCs w:val="18"/>
              </w:rPr>
              <w:lastRenderedPageBreak/>
              <w:t>No:</w:t>
            </w:r>
            <w:r>
              <w:rPr>
                <w:rFonts w:ascii="Calibri" w:hAnsi="Calibri"/>
                <w:sz w:val="18"/>
                <w:szCs w:val="18"/>
              </w:rPr>
              <w:t xml:space="preserve"> </w:t>
            </w:r>
            <w:r>
              <w:rPr>
                <w:rFonts w:ascii="Calibri" w:hAnsi="Calibri"/>
                <w:strike/>
                <w:sz w:val="18"/>
                <w:szCs w:val="18"/>
              </w:rPr>
              <w:t>Convenzione di Consulenza con Centro di Competenza o accordi con Cedente (Comunità o convenzione)</w:t>
            </w:r>
          </w:p>
        </w:tc>
      </w:tr>
      <w:tr w:rsidR="00BD543A" w14:paraId="02DC2613" w14:textId="77777777">
        <w:tc>
          <w:tcPr>
            <w:tcW w:w="3209" w:type="dxa"/>
          </w:tcPr>
          <w:p w14:paraId="4AAA31D9" w14:textId="77777777" w:rsidR="00BD543A" w:rsidRDefault="00000000">
            <w:pPr>
              <w:spacing w:before="120" w:after="120"/>
              <w:rPr>
                <w:rFonts w:ascii="Calibri" w:hAnsi="Calibri"/>
                <w:sz w:val="18"/>
                <w:szCs w:val="18"/>
              </w:rPr>
            </w:pPr>
            <w:r>
              <w:rPr>
                <w:rFonts w:ascii="Calibri" w:hAnsi="Calibri"/>
                <w:sz w:val="18"/>
                <w:szCs w:val="18"/>
              </w:rPr>
              <w:lastRenderedPageBreak/>
              <w:t>Help desk I livello</w:t>
            </w:r>
          </w:p>
        </w:tc>
        <w:tc>
          <w:tcPr>
            <w:tcW w:w="3209" w:type="dxa"/>
          </w:tcPr>
          <w:p w14:paraId="7E473795" w14:textId="77777777" w:rsidR="00BD543A" w:rsidRDefault="00000000">
            <w:pPr>
              <w:spacing w:before="120" w:after="120"/>
              <w:rPr>
                <w:rFonts w:ascii="Calibri" w:hAnsi="Calibri"/>
                <w:sz w:val="18"/>
                <w:szCs w:val="18"/>
              </w:rPr>
            </w:pPr>
            <w:r>
              <w:rPr>
                <w:rFonts w:ascii="Calibri" w:hAnsi="Calibri"/>
                <w:sz w:val="18"/>
                <w:szCs w:val="18"/>
              </w:rPr>
              <w:t>Presenza di personale degli uffici in grado di raccogliere e filtrare le esigenze</w:t>
            </w:r>
          </w:p>
        </w:tc>
        <w:tc>
          <w:tcPr>
            <w:tcW w:w="3210" w:type="dxa"/>
          </w:tcPr>
          <w:p w14:paraId="0D2C4299" w14:textId="77777777" w:rsidR="00BD543A" w:rsidRDefault="00000000">
            <w:pPr>
              <w:spacing w:before="120" w:after="120"/>
              <w:rPr>
                <w:rFonts w:ascii="Calibri" w:hAnsi="Calibri"/>
                <w:strike/>
                <w:sz w:val="18"/>
                <w:szCs w:val="18"/>
              </w:rPr>
            </w:pPr>
            <w:r>
              <w:rPr>
                <w:rFonts w:ascii="Calibri" w:hAnsi="Calibri"/>
                <w:b/>
                <w:sz w:val="18"/>
                <w:szCs w:val="18"/>
              </w:rPr>
              <w:t>S</w:t>
            </w:r>
            <w:r>
              <w:rPr>
                <w:rFonts w:ascii="Calibri" w:hAnsi="Calibri"/>
                <w:b/>
                <w:strike/>
                <w:sz w:val="18"/>
                <w:szCs w:val="18"/>
              </w:rPr>
              <w:t>i:</w:t>
            </w:r>
            <w:r>
              <w:rPr>
                <w:rFonts w:ascii="Calibri" w:hAnsi="Calibri"/>
                <w:strike/>
                <w:sz w:val="18"/>
                <w:szCs w:val="18"/>
              </w:rPr>
              <w:t xml:space="preserve"> Formazione e accordi con Cedente per avvio funzione di assistenza interna</w:t>
            </w:r>
          </w:p>
          <w:p w14:paraId="7603979C" w14:textId="77777777" w:rsidR="00BD543A" w:rsidRDefault="00000000">
            <w:pPr>
              <w:tabs>
                <w:tab w:val="center" w:pos="1497"/>
              </w:tabs>
              <w:spacing w:before="120" w:after="120"/>
              <w:rPr>
                <w:rFonts w:ascii="Calibri" w:hAnsi="Calibri"/>
                <w:b/>
                <w:sz w:val="18"/>
                <w:szCs w:val="18"/>
              </w:rPr>
            </w:pPr>
            <w:r>
              <w:rPr>
                <w:rFonts w:ascii="Calibri" w:hAnsi="Calibri"/>
                <w:b/>
                <w:sz w:val="18"/>
                <w:szCs w:val="18"/>
              </w:rPr>
              <w:t>No:</w:t>
            </w:r>
            <w:r>
              <w:rPr>
                <w:rFonts w:ascii="Calibri" w:hAnsi="Calibri"/>
                <w:sz w:val="18"/>
                <w:szCs w:val="18"/>
              </w:rPr>
              <w:t xml:space="preserve"> Convenzione con Centro di Competenza, fornitore mercato, o accordi con Cedente (Comunità o convenzione)</w:t>
            </w:r>
          </w:p>
        </w:tc>
      </w:tr>
      <w:tr w:rsidR="00BD543A" w14:paraId="43AAD20A" w14:textId="77777777">
        <w:tc>
          <w:tcPr>
            <w:tcW w:w="3209" w:type="dxa"/>
          </w:tcPr>
          <w:p w14:paraId="52AD57AE" w14:textId="77777777" w:rsidR="00BD543A" w:rsidRDefault="00000000">
            <w:pPr>
              <w:spacing w:before="120" w:after="120"/>
              <w:rPr>
                <w:rFonts w:ascii="Calibri" w:hAnsi="Calibri"/>
                <w:sz w:val="18"/>
                <w:szCs w:val="18"/>
              </w:rPr>
            </w:pPr>
            <w:r>
              <w:rPr>
                <w:rFonts w:ascii="Calibri" w:hAnsi="Calibri"/>
                <w:sz w:val="18"/>
                <w:szCs w:val="18"/>
              </w:rPr>
              <w:t>Help Desk II livello</w:t>
            </w:r>
          </w:p>
        </w:tc>
        <w:tc>
          <w:tcPr>
            <w:tcW w:w="3209" w:type="dxa"/>
          </w:tcPr>
          <w:p w14:paraId="5F099191" w14:textId="77777777" w:rsidR="00BD543A" w:rsidRDefault="00000000">
            <w:pPr>
              <w:spacing w:before="120" w:after="120"/>
              <w:rPr>
                <w:rFonts w:ascii="Calibri" w:hAnsi="Calibri"/>
                <w:sz w:val="18"/>
                <w:szCs w:val="18"/>
              </w:rPr>
            </w:pPr>
            <w:r>
              <w:rPr>
                <w:rFonts w:ascii="Calibri" w:hAnsi="Calibri"/>
                <w:sz w:val="18"/>
                <w:szCs w:val="18"/>
              </w:rPr>
              <w:t>Presenza di personale degli uffici in grado di raccogliere e filtrare le esigenze e del personale di competenza tecnica su sviluppo software</w:t>
            </w:r>
          </w:p>
        </w:tc>
        <w:tc>
          <w:tcPr>
            <w:tcW w:w="3210" w:type="dxa"/>
          </w:tcPr>
          <w:p w14:paraId="0D2252FA" w14:textId="77777777" w:rsidR="00BD543A" w:rsidRDefault="00000000">
            <w:pPr>
              <w:spacing w:before="120" w:after="120"/>
              <w:rPr>
                <w:rFonts w:ascii="Calibri" w:hAnsi="Calibri"/>
                <w:strike/>
                <w:sz w:val="18"/>
                <w:szCs w:val="18"/>
              </w:rPr>
            </w:pPr>
            <w:r>
              <w:rPr>
                <w:rFonts w:ascii="Calibri" w:hAnsi="Calibri"/>
                <w:b/>
                <w:sz w:val="18"/>
                <w:szCs w:val="18"/>
              </w:rPr>
              <w:t>Si:</w:t>
            </w:r>
            <w:r>
              <w:rPr>
                <w:rFonts w:ascii="Calibri" w:hAnsi="Calibri"/>
                <w:sz w:val="18"/>
                <w:szCs w:val="18"/>
              </w:rPr>
              <w:t xml:space="preserve"> </w:t>
            </w:r>
            <w:r>
              <w:rPr>
                <w:rFonts w:ascii="Calibri" w:hAnsi="Calibri"/>
                <w:strike/>
                <w:sz w:val="18"/>
                <w:szCs w:val="18"/>
              </w:rPr>
              <w:t>Formazione e accordi con Cedente per avvio funzione di assistenza interna</w:t>
            </w:r>
          </w:p>
          <w:p w14:paraId="78D5F87D" w14:textId="77777777" w:rsidR="00BD543A" w:rsidRDefault="00000000">
            <w:pPr>
              <w:tabs>
                <w:tab w:val="center" w:pos="1497"/>
              </w:tabs>
              <w:spacing w:before="120" w:after="120"/>
              <w:rPr>
                <w:rFonts w:ascii="Calibri" w:hAnsi="Calibri"/>
                <w:b/>
                <w:sz w:val="18"/>
                <w:szCs w:val="18"/>
              </w:rPr>
            </w:pPr>
            <w:r>
              <w:rPr>
                <w:rFonts w:ascii="Calibri" w:hAnsi="Calibri"/>
                <w:b/>
                <w:sz w:val="18"/>
                <w:szCs w:val="18"/>
              </w:rPr>
              <w:t>No:</w:t>
            </w:r>
            <w:r>
              <w:rPr>
                <w:rFonts w:ascii="Calibri" w:hAnsi="Calibri"/>
                <w:sz w:val="18"/>
                <w:szCs w:val="18"/>
              </w:rPr>
              <w:t xml:space="preserve"> Convenzione con Centro di Competenza, fornitore mercato, o accordi con Cedente (Comunità o convenzione)</w:t>
            </w:r>
          </w:p>
        </w:tc>
      </w:tr>
      <w:tr w:rsidR="00BD543A" w14:paraId="44803B00" w14:textId="77777777">
        <w:tc>
          <w:tcPr>
            <w:tcW w:w="3209" w:type="dxa"/>
          </w:tcPr>
          <w:p w14:paraId="0B48A294" w14:textId="77777777" w:rsidR="00BD543A" w:rsidRDefault="00000000">
            <w:pPr>
              <w:spacing w:before="120" w:after="120"/>
              <w:rPr>
                <w:rFonts w:ascii="Calibri" w:hAnsi="Calibri"/>
                <w:sz w:val="18"/>
                <w:szCs w:val="18"/>
              </w:rPr>
            </w:pPr>
            <w:r>
              <w:rPr>
                <w:rFonts w:ascii="Calibri" w:hAnsi="Calibri"/>
                <w:sz w:val="18"/>
                <w:szCs w:val="18"/>
              </w:rPr>
              <w:t>Formazione e consulenza</w:t>
            </w:r>
          </w:p>
        </w:tc>
        <w:tc>
          <w:tcPr>
            <w:tcW w:w="3209" w:type="dxa"/>
          </w:tcPr>
          <w:p w14:paraId="7C91AC2D" w14:textId="77777777" w:rsidR="00BD543A" w:rsidRDefault="00000000">
            <w:pPr>
              <w:spacing w:before="120" w:after="120"/>
              <w:rPr>
                <w:rFonts w:ascii="Calibri" w:hAnsi="Calibri"/>
                <w:sz w:val="18"/>
                <w:szCs w:val="18"/>
              </w:rPr>
            </w:pPr>
            <w:r>
              <w:rPr>
                <w:rFonts w:ascii="Calibri" w:hAnsi="Calibri"/>
                <w:sz w:val="18"/>
                <w:szCs w:val="18"/>
              </w:rPr>
              <w:t>Presenza di personale degli uffici in grado di raccogliere le esigenze e pianificare interventi o analisi</w:t>
            </w:r>
          </w:p>
        </w:tc>
        <w:tc>
          <w:tcPr>
            <w:tcW w:w="3210" w:type="dxa"/>
          </w:tcPr>
          <w:p w14:paraId="7B874530" w14:textId="77777777" w:rsidR="00BD543A" w:rsidRDefault="00000000">
            <w:pPr>
              <w:spacing w:before="120" w:after="120"/>
              <w:rPr>
                <w:rFonts w:ascii="Calibri" w:hAnsi="Calibri"/>
                <w:strike/>
                <w:sz w:val="18"/>
                <w:szCs w:val="18"/>
              </w:rPr>
            </w:pPr>
            <w:r>
              <w:rPr>
                <w:rFonts w:ascii="Calibri" w:hAnsi="Calibri"/>
                <w:b/>
                <w:sz w:val="18"/>
                <w:szCs w:val="18"/>
              </w:rPr>
              <w:t>Si:</w:t>
            </w:r>
            <w:r>
              <w:rPr>
                <w:rFonts w:ascii="Calibri" w:hAnsi="Calibri"/>
                <w:sz w:val="18"/>
                <w:szCs w:val="18"/>
              </w:rPr>
              <w:t xml:space="preserve"> </w:t>
            </w:r>
            <w:r>
              <w:rPr>
                <w:rFonts w:ascii="Calibri" w:hAnsi="Calibri"/>
                <w:strike/>
                <w:sz w:val="18"/>
                <w:szCs w:val="18"/>
              </w:rPr>
              <w:t>Formazione e accordi con Cedente per avvio funzione di formazione interna</w:t>
            </w:r>
          </w:p>
          <w:p w14:paraId="0F76329C" w14:textId="77777777" w:rsidR="00BD543A" w:rsidRDefault="00000000">
            <w:pPr>
              <w:tabs>
                <w:tab w:val="center" w:pos="1497"/>
              </w:tabs>
              <w:spacing w:before="120" w:after="120"/>
              <w:rPr>
                <w:rFonts w:ascii="Calibri" w:hAnsi="Calibri"/>
                <w:b/>
                <w:sz w:val="18"/>
                <w:szCs w:val="18"/>
              </w:rPr>
            </w:pPr>
            <w:r>
              <w:rPr>
                <w:rFonts w:ascii="Calibri" w:hAnsi="Calibri"/>
                <w:b/>
                <w:sz w:val="18"/>
                <w:szCs w:val="18"/>
              </w:rPr>
              <w:t>No:</w:t>
            </w:r>
            <w:r>
              <w:rPr>
                <w:rFonts w:ascii="Calibri" w:hAnsi="Calibri"/>
                <w:sz w:val="18"/>
                <w:szCs w:val="18"/>
              </w:rPr>
              <w:t xml:space="preserve"> Convenzione con Centro di Competenza, fornitore mercato, o accordi con Cedente (Comunità o convenzione)</w:t>
            </w:r>
          </w:p>
        </w:tc>
      </w:tr>
      <w:tr w:rsidR="00BD543A" w14:paraId="78C66C1C" w14:textId="77777777">
        <w:tc>
          <w:tcPr>
            <w:tcW w:w="3209" w:type="dxa"/>
          </w:tcPr>
          <w:p w14:paraId="06644EE9" w14:textId="77777777" w:rsidR="00BD543A" w:rsidRDefault="00000000">
            <w:pPr>
              <w:spacing w:before="120" w:after="120"/>
              <w:rPr>
                <w:rFonts w:ascii="Calibri" w:hAnsi="Calibri"/>
                <w:sz w:val="18"/>
                <w:szCs w:val="18"/>
              </w:rPr>
            </w:pPr>
            <w:r>
              <w:rPr>
                <w:rFonts w:ascii="Calibri" w:hAnsi="Calibri"/>
                <w:sz w:val="18"/>
                <w:szCs w:val="18"/>
              </w:rPr>
              <w:t>Centro di Competenza (se Regione)</w:t>
            </w:r>
          </w:p>
        </w:tc>
        <w:tc>
          <w:tcPr>
            <w:tcW w:w="3209" w:type="dxa"/>
          </w:tcPr>
          <w:p w14:paraId="5134074D" w14:textId="77777777" w:rsidR="00BD543A" w:rsidRDefault="00000000">
            <w:pPr>
              <w:spacing w:before="120" w:after="120"/>
              <w:rPr>
                <w:rFonts w:ascii="Calibri" w:hAnsi="Calibri"/>
                <w:sz w:val="18"/>
                <w:szCs w:val="18"/>
              </w:rPr>
            </w:pPr>
            <w:r>
              <w:rPr>
                <w:rFonts w:ascii="Calibri" w:hAnsi="Calibri"/>
                <w:sz w:val="18"/>
                <w:szCs w:val="18"/>
              </w:rPr>
              <w:t>Presenza di modelli o processi di predisposizione di un centro di Competenza</w:t>
            </w:r>
          </w:p>
        </w:tc>
        <w:tc>
          <w:tcPr>
            <w:tcW w:w="3210" w:type="dxa"/>
          </w:tcPr>
          <w:p w14:paraId="5408F9D3" w14:textId="77777777" w:rsidR="00BD543A" w:rsidRDefault="00000000">
            <w:pPr>
              <w:spacing w:before="120" w:after="120"/>
              <w:rPr>
                <w:rFonts w:ascii="Calibri" w:hAnsi="Calibri"/>
                <w:strike/>
                <w:sz w:val="18"/>
                <w:szCs w:val="18"/>
              </w:rPr>
            </w:pPr>
            <w:r>
              <w:rPr>
                <w:rFonts w:ascii="Calibri" w:hAnsi="Calibri"/>
                <w:b/>
                <w:sz w:val="18"/>
                <w:szCs w:val="18"/>
              </w:rPr>
              <w:t>Si:</w:t>
            </w:r>
            <w:r>
              <w:rPr>
                <w:rFonts w:ascii="Calibri" w:hAnsi="Calibri"/>
                <w:sz w:val="18"/>
                <w:szCs w:val="18"/>
              </w:rPr>
              <w:t xml:space="preserve"> </w:t>
            </w:r>
            <w:r>
              <w:rPr>
                <w:rFonts w:ascii="Calibri" w:hAnsi="Calibri"/>
                <w:strike/>
                <w:sz w:val="18"/>
                <w:szCs w:val="18"/>
              </w:rPr>
              <w:t>acquisizione competenze con Comunità Cedente</w:t>
            </w:r>
          </w:p>
          <w:p w14:paraId="77650038" w14:textId="77777777" w:rsidR="00BD543A" w:rsidRDefault="00000000">
            <w:pPr>
              <w:tabs>
                <w:tab w:val="center" w:pos="1497"/>
              </w:tabs>
              <w:spacing w:before="120" w:after="120"/>
              <w:rPr>
                <w:rFonts w:ascii="Calibri" w:hAnsi="Calibri"/>
                <w:b/>
                <w:sz w:val="18"/>
                <w:szCs w:val="18"/>
              </w:rPr>
            </w:pPr>
            <w:r>
              <w:rPr>
                <w:rFonts w:ascii="Calibri" w:hAnsi="Calibri"/>
                <w:b/>
                <w:sz w:val="18"/>
                <w:szCs w:val="18"/>
              </w:rPr>
              <w:t>No:</w:t>
            </w:r>
            <w:r>
              <w:rPr>
                <w:rFonts w:ascii="Calibri" w:hAnsi="Calibri"/>
                <w:sz w:val="18"/>
                <w:szCs w:val="18"/>
              </w:rPr>
              <w:t xml:space="preserve"> Accordo con Cedente di ingresso o istituzione Centro di competenza</w:t>
            </w:r>
          </w:p>
        </w:tc>
      </w:tr>
    </w:tbl>
    <w:p w14:paraId="6F2E7377" w14:textId="77777777" w:rsidR="00BD543A" w:rsidRDefault="00BD543A">
      <w:pPr>
        <w:rPr>
          <w:rFonts w:ascii="Calibri" w:hAnsi="Calibri"/>
        </w:rPr>
      </w:pPr>
    </w:p>
    <w:sectPr w:rsidR="00BD543A">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176B" w14:textId="77777777" w:rsidR="00BA47FF" w:rsidRDefault="00BA47FF">
      <w:pPr>
        <w:spacing w:after="0" w:line="240" w:lineRule="auto"/>
      </w:pPr>
      <w:r>
        <w:separator/>
      </w:r>
    </w:p>
  </w:endnote>
  <w:endnote w:type="continuationSeparator" w:id="0">
    <w:p w14:paraId="7C46D1BE" w14:textId="77777777" w:rsidR="00BA47FF" w:rsidRDefault="00BA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2B64C" w14:textId="77777777" w:rsidR="00BD543A" w:rsidRDefault="00BD543A">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8752" w14:textId="77777777" w:rsidR="00BD543A"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F32988">
      <w:rPr>
        <w:rFonts w:ascii="Calibri" w:hAnsi="Calibri"/>
        <w:noProof/>
        <w:color w:val="000000"/>
      </w:rPr>
      <w:t>1</w:t>
    </w:r>
    <w:r>
      <w:rPr>
        <w:rFonts w:ascii="Calibri" w:hAnsi="Calibri"/>
        <w:color w:val="000000"/>
      </w:rPr>
      <w:fldChar w:fldCharType="end"/>
    </w:r>
    <w:r>
      <w:rPr>
        <w:noProof/>
      </w:rPr>
      <w:drawing>
        <wp:anchor distT="0" distB="0" distL="114300" distR="114300" simplePos="0" relativeHeight="251658240" behindDoc="0" locked="0" layoutInCell="1" hidden="0" allowOverlap="1" wp14:anchorId="387E5AB2" wp14:editId="626A3F2C">
          <wp:simplePos x="0" y="0"/>
          <wp:positionH relativeFrom="column">
            <wp:posOffset>1</wp:posOffset>
          </wp:positionH>
          <wp:positionV relativeFrom="paragraph">
            <wp:posOffset>-29492</wp:posOffset>
          </wp:positionV>
          <wp:extent cx="1104900" cy="31432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04900" cy="314325"/>
                  </a:xfrm>
                  <a:prstGeom prst="rect">
                    <a:avLst/>
                  </a:prstGeom>
                  <a:ln/>
                </pic:spPr>
              </pic:pic>
            </a:graphicData>
          </a:graphic>
        </wp:anchor>
      </w:drawing>
    </w:r>
  </w:p>
  <w:p w14:paraId="3203F71B" w14:textId="77777777" w:rsidR="00BD543A" w:rsidRDefault="00BD543A">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BF4B" w14:textId="77777777" w:rsidR="00BD543A" w:rsidRDefault="00BD543A">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47C9" w14:textId="77777777" w:rsidR="00BA47FF" w:rsidRDefault="00BA47FF">
      <w:pPr>
        <w:spacing w:after="0" w:line="240" w:lineRule="auto"/>
      </w:pPr>
      <w:r>
        <w:separator/>
      </w:r>
    </w:p>
  </w:footnote>
  <w:footnote w:type="continuationSeparator" w:id="0">
    <w:p w14:paraId="2F205B2A" w14:textId="77777777" w:rsidR="00BA47FF" w:rsidRDefault="00BA47FF">
      <w:pPr>
        <w:spacing w:after="0" w:line="240" w:lineRule="auto"/>
      </w:pPr>
      <w:r>
        <w:continuationSeparator/>
      </w:r>
    </w:p>
  </w:footnote>
  <w:footnote w:id="1">
    <w:p w14:paraId="21065307" w14:textId="77777777" w:rsidR="00BD543A" w:rsidRDefault="00000000">
      <w:pPr>
        <w:pBdr>
          <w:top w:val="nil"/>
          <w:left w:val="nil"/>
          <w:bottom w:val="nil"/>
          <w:right w:val="nil"/>
          <w:between w:val="nil"/>
        </w:pBdr>
        <w:spacing w:after="0" w:line="240" w:lineRule="auto"/>
        <w:rPr>
          <w:rFonts w:ascii="Calibri" w:hAnsi="Calibri"/>
          <w:color w:val="000000"/>
          <w:sz w:val="20"/>
          <w:szCs w:val="20"/>
        </w:rPr>
      </w:pPr>
      <w:bookmarkStart w:id="2" w:name="_heading=h.1t3h5sf" w:colFirst="0" w:colLast="0"/>
      <w:bookmarkEnd w:id="2"/>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0021" w14:textId="77777777" w:rsidR="00BD543A" w:rsidRDefault="00BD543A">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6A61" w14:textId="77777777" w:rsidR="00BD543A"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D0CC404" wp14:editId="1DC8B96D">
          <wp:extent cx="6108700" cy="6096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9C4E" w14:textId="77777777" w:rsidR="00BD543A" w:rsidRDefault="00BD543A">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489B"/>
    <w:multiLevelType w:val="multilevel"/>
    <w:tmpl w:val="62920CF2"/>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CA4925"/>
    <w:multiLevelType w:val="multilevel"/>
    <w:tmpl w:val="968E60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B50384"/>
    <w:multiLevelType w:val="multilevel"/>
    <w:tmpl w:val="229E5370"/>
    <w:lvl w:ilvl="0">
      <w:start w:val="1"/>
      <w:numFmt w:val="decimal"/>
      <w:pStyle w:val="Titolo2"/>
      <w:lvlText w:val="%1."/>
      <w:lvlJc w:val="left"/>
      <w:pPr>
        <w:ind w:left="720" w:hanging="360"/>
      </w:pPr>
    </w:lvl>
    <w:lvl w:ilvl="1">
      <w:start w:val="1"/>
      <w:numFmt w:val="lowerLetter"/>
      <w:pStyle w:val="Titolo3"/>
      <w:lvlText w:val="%2."/>
      <w:lvlJc w:val="left"/>
      <w:pPr>
        <w:ind w:left="1440" w:hanging="360"/>
      </w:pPr>
    </w:lvl>
    <w:lvl w:ilvl="2">
      <w:start w:val="1"/>
      <w:numFmt w:val="lowerRoman"/>
      <w:pStyle w:val="Titolo4"/>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1513680">
    <w:abstractNumId w:val="2"/>
  </w:num>
  <w:num w:numId="2" w16cid:durableId="925380655">
    <w:abstractNumId w:val="0"/>
  </w:num>
  <w:num w:numId="3" w16cid:durableId="179706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43A"/>
    <w:rsid w:val="00003260"/>
    <w:rsid w:val="00BA47FF"/>
    <w:rsid w:val="00BD543A"/>
    <w:rsid w:val="00F329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36DA"/>
  <w15:docId w15:val="{16B091AB-C981-4A7D-8B36-42FD9483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C85CE6"/>
    <w:pPr>
      <w:keepNext/>
      <w:pBdr>
        <w:top w:val="single" w:sz="4" w:space="6" w:color="808080"/>
      </w:pBdr>
      <w:tabs>
        <w:tab w:val="num" w:pos="432"/>
      </w:tabs>
      <w:spacing w:before="480" w:after="120" w:line="240" w:lineRule="auto"/>
      <w:ind w:left="431" w:hanging="431"/>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F72126"/>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85CE6"/>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F72126"/>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iym2v7Xwny2Y8p2PJ4FuM8Z+Q==">AMUW2mXUgfqa8+L/0gmEtXbXxGnpnts/kcPjcPQLlcd01sKY2svrCsOyetB0yYP8O+5GkX9a1MvOHoqI6HbNmQswK2QSD9OEUM357n+eD2fj1sk51xqr8VrynMR7LgnnsYHh+kd8n+cJOnDHbsk2mAPRVvRQT/OAZK3U6QVYJvEX94lHyS+1p3p8mFsfgGvcuxuKj0rFAhBhQkOmgG9Yxhx2dQJVpeT0sA60VZFWaMncXQB6zl5uuxJZErBTjDuo3t2teGXBuCfEihT1oZ7F1SkrU9Csi/Wo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3</cp:revision>
  <cp:lastPrinted>2022-10-29T08:31:00Z</cp:lastPrinted>
  <dcterms:created xsi:type="dcterms:W3CDTF">2022-05-13T16:13:00Z</dcterms:created>
  <dcterms:modified xsi:type="dcterms:W3CDTF">2022-10-29T08:38:00Z</dcterms:modified>
</cp:coreProperties>
</file>