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ED45" w14:textId="77777777" w:rsidR="001A1446" w:rsidRDefault="00000000">
      <w:pPr>
        <w:pStyle w:val="Titolo"/>
        <w:ind w:left="0"/>
      </w:pPr>
      <w:r>
        <w:rPr>
          <w:noProof/>
        </w:rPr>
        <w:drawing>
          <wp:inline distT="0" distB="0" distL="0" distR="0" wp14:anchorId="2D236E42" wp14:editId="4349B311">
            <wp:extent cx="6120130" cy="821499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45A3" w14:textId="77777777" w:rsidR="001A1446" w:rsidRDefault="00000000">
      <w:pPr>
        <w:pStyle w:val="Titolo"/>
        <w:ind w:firstLine="567"/>
        <w:rPr>
          <w:rFonts w:ascii="Calibri" w:hAnsi="Calibri"/>
          <w:b w:val="0"/>
        </w:rPr>
      </w:pPr>
      <w:r>
        <w:lastRenderedPageBreak/>
        <w:t>Riuso VBG/SUAPE 3.0</w:t>
      </w:r>
    </w:p>
    <w:p w14:paraId="475D4253" w14:textId="77777777" w:rsidR="001A1446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C – Gestione a regime della soluzione</w:t>
      </w:r>
    </w:p>
    <w:p w14:paraId="5FC64843" w14:textId="77777777" w:rsidR="001A1446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C3. Strumenti tecnologici</w:t>
      </w:r>
    </w:p>
    <w:p w14:paraId="54CF1193" w14:textId="77777777" w:rsidR="001A1446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C3.1 Installazione della soluzione tecnologica</w:t>
      </w:r>
    </w:p>
    <w:p w14:paraId="26E20913" w14:textId="77777777" w:rsidR="001A1446" w:rsidRDefault="001A1446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4882DB1E" w14:textId="77777777" w:rsidR="001A1446" w:rsidRDefault="001A1446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5F1CF719" w14:textId="77777777" w:rsidR="001A1446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754054D1" w14:textId="77777777" w:rsidR="001A1446" w:rsidRDefault="00000000">
      <w:pPr>
        <w:rPr>
          <w:rFonts w:ascii="Calibri" w:hAnsi="Calibri"/>
        </w:rPr>
      </w:pPr>
      <w:r>
        <w:br w:type="page"/>
      </w:r>
    </w:p>
    <w:p w14:paraId="4002D4DB" w14:textId="77777777" w:rsidR="001A1446" w:rsidRDefault="001A1446">
      <w:pPr>
        <w:pStyle w:val="Titolo1"/>
        <w:rPr>
          <w:rFonts w:ascii="Calibri" w:eastAsia="Calibri" w:hAnsi="Calibri" w:cs="Calibri"/>
        </w:rPr>
      </w:pPr>
    </w:p>
    <w:p w14:paraId="47ACA402" w14:textId="77777777" w:rsidR="001A1446" w:rsidRDefault="00000000">
      <w:pPr>
        <w:keepNext/>
        <w:pBdr>
          <w:top w:val="single" w:sz="4" w:space="6" w:color="808080"/>
          <w:left w:val="nil"/>
          <w:bottom w:val="nil"/>
          <w:right w:val="nil"/>
          <w:between w:val="nil"/>
        </w:pBdr>
        <w:spacing w:before="480" w:line="276" w:lineRule="auto"/>
        <w:ind w:left="431" w:hanging="431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Sommario</w:t>
      </w:r>
    </w:p>
    <w:sdt>
      <w:sdtPr>
        <w:id w:val="-522316388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6C41AB44" w14:textId="393AA564" w:rsidR="002C2614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932284" w:history="1">
            <w:r w:rsidR="002C2614" w:rsidRPr="003F3FA5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2C2614">
              <w:rPr>
                <w:noProof/>
                <w:webHidden/>
              </w:rPr>
              <w:tab/>
            </w:r>
            <w:r w:rsidR="002C2614">
              <w:rPr>
                <w:noProof/>
                <w:webHidden/>
              </w:rPr>
              <w:fldChar w:fldCharType="begin"/>
            </w:r>
            <w:r w:rsidR="002C2614">
              <w:rPr>
                <w:noProof/>
                <w:webHidden/>
              </w:rPr>
              <w:instrText xml:space="preserve"> PAGEREF _Toc117932284 \h </w:instrText>
            </w:r>
            <w:r w:rsidR="002C2614">
              <w:rPr>
                <w:noProof/>
                <w:webHidden/>
              </w:rPr>
            </w:r>
            <w:r w:rsidR="002C2614"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3</w:t>
            </w:r>
            <w:r w:rsidR="002C2614">
              <w:rPr>
                <w:noProof/>
                <w:webHidden/>
              </w:rPr>
              <w:fldChar w:fldCharType="end"/>
            </w:r>
          </w:hyperlink>
        </w:p>
        <w:p w14:paraId="2E5444BE" w14:textId="46522525" w:rsidR="002C2614" w:rsidRDefault="002C2614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7932285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Contributo alla “Valutazione comparativa tecnico - economica”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FC5F" w14:textId="235AB0E8" w:rsidR="002C2614" w:rsidRDefault="002C2614">
          <w:pPr>
            <w:pStyle w:val="Sommario2"/>
            <w:tabs>
              <w:tab w:val="left" w:pos="66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2286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Installazione della piattaforma tecnologica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B00F" w14:textId="10864900" w:rsidR="002C2614" w:rsidRDefault="002C2614">
          <w:pPr>
            <w:pStyle w:val="Sommario3"/>
            <w:tabs>
              <w:tab w:val="left" w:pos="11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2287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Localizzazione infrastrutturale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30DA" w14:textId="675A3E34" w:rsidR="002C2614" w:rsidRDefault="002C2614">
          <w:pPr>
            <w:pStyle w:val="Sommario3"/>
            <w:tabs>
              <w:tab w:val="left" w:pos="11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2288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Modalità di adozione dei supporti tecnici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959" w14:textId="0CCE9502" w:rsidR="002C2614" w:rsidRDefault="002C2614">
          <w:pPr>
            <w:pStyle w:val="Sommario3"/>
            <w:tabs>
              <w:tab w:val="left" w:pos="11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2289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Organizzazione del contesto tecnico a disposizione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C01E" w14:textId="1D62D2A3" w:rsidR="002C2614" w:rsidRDefault="002C2614">
          <w:pPr>
            <w:pStyle w:val="Sommario3"/>
            <w:tabs>
              <w:tab w:val="left" w:pos="11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2290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Organizzazione del contesto di gestione del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0EFE" w14:textId="33CAAE85" w:rsidR="002C2614" w:rsidRDefault="002C2614">
          <w:pPr>
            <w:pStyle w:val="Sommario3"/>
            <w:tabs>
              <w:tab w:val="left" w:pos="11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2291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1.5.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Ruoli e responsabilità di gestione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2D26" w14:textId="71AE9CED" w:rsidR="002C2614" w:rsidRDefault="002C2614">
          <w:pPr>
            <w:pStyle w:val="Sommario2"/>
            <w:tabs>
              <w:tab w:val="left" w:pos="66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2292" w:history="1">
            <w:r w:rsidRPr="003F3FA5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F3FA5">
              <w:rPr>
                <w:rStyle w:val="Collegamentoipertestuale"/>
                <w:rFonts w:ascii="Calibri" w:hAnsi="Calibri" w:cs="Calibri"/>
                <w:noProof/>
              </w:rPr>
              <w:t>Allegato - Check list di controllo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E151" w14:textId="139FBC7C" w:rsidR="001A1446" w:rsidRDefault="00000000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14:paraId="5DE0DC22" w14:textId="77777777" w:rsidR="001A1446" w:rsidRDefault="001A1446">
      <w:pPr>
        <w:rPr>
          <w:rFonts w:ascii="Calibri" w:hAnsi="Calibri"/>
        </w:rPr>
      </w:pPr>
    </w:p>
    <w:p w14:paraId="1669D9FF" w14:textId="77777777" w:rsidR="001A1446" w:rsidRDefault="001A1446">
      <w:pPr>
        <w:rPr>
          <w:rFonts w:ascii="Calibri" w:hAnsi="Calibri"/>
        </w:rPr>
      </w:pPr>
    </w:p>
    <w:p w14:paraId="75DCD6B6" w14:textId="77777777" w:rsidR="001A1446" w:rsidRDefault="001A1446">
      <w:pPr>
        <w:rPr>
          <w:rFonts w:ascii="Calibri" w:hAnsi="Calibri"/>
        </w:rPr>
      </w:pPr>
    </w:p>
    <w:p w14:paraId="34260478" w14:textId="77777777" w:rsidR="001A1446" w:rsidRDefault="00000000">
      <w:pPr>
        <w:spacing w:after="160"/>
        <w:jc w:val="left"/>
        <w:rPr>
          <w:rFonts w:ascii="Calibri" w:hAnsi="Calibri"/>
        </w:rPr>
      </w:pPr>
      <w:r>
        <w:br w:type="page"/>
      </w:r>
    </w:p>
    <w:p w14:paraId="31864F47" w14:textId="77777777" w:rsidR="001A1446" w:rsidRDefault="00000000">
      <w:pPr>
        <w:pStyle w:val="Titolo1"/>
        <w:rPr>
          <w:rFonts w:ascii="Calibri" w:eastAsia="Calibri" w:hAnsi="Calibri" w:cs="Calibri"/>
        </w:rPr>
      </w:pPr>
      <w:bookmarkStart w:id="0" w:name="_Toc117932284"/>
      <w:r>
        <w:rPr>
          <w:rFonts w:ascii="Calibri" w:eastAsia="Calibri" w:hAnsi="Calibri" w:cs="Calibri"/>
        </w:rPr>
        <w:lastRenderedPageBreak/>
        <w:t>Premessa</w:t>
      </w:r>
      <w:bookmarkEnd w:id="0"/>
    </w:p>
    <w:p w14:paraId="089C2EEA" w14:textId="77777777" w:rsidR="001A1446" w:rsidRDefault="00000000">
      <w:pPr>
        <w:rPr>
          <w:rFonts w:ascii="Calibri" w:hAnsi="Calibri"/>
        </w:rPr>
      </w:pPr>
      <w:bookmarkStart w:id="1" w:name="_heading=h.30j0zll" w:colFirst="0" w:colLast="0"/>
      <w:bookmarkEnd w:id="1"/>
      <w:r>
        <w:rPr>
          <w:rFonts w:ascii="Calibri" w:hAnsi="Calibri"/>
        </w:rPr>
        <w:t>Il presente documento descrive gli strumenti tecnologici del kit di riuso per la fase C – Gestione a Regime della Soluzione,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 xml:space="preserve"> e riepiloga le decisioni prese circa: la localizzazione e la disponibilità d’uso della soluzione, i servizi previsti per il mantenimento operativo dell’installazione, i rapporti pubblico-privati previsti per i fornitori dei servizi di assistenza e/o organizzazione rivolti alla struttura tecnica dell’Amministrazione incaricata della gestione. Fornisce, infine una check list di controllo per verificare l’effettiva risposta al fabbisogno alla base dell’esercizio della soluzione.</w:t>
      </w:r>
    </w:p>
    <w:p w14:paraId="6AC06B7F" w14:textId="77777777" w:rsidR="001A1446" w:rsidRDefault="00000000">
      <w:pPr>
        <w:rPr>
          <w:rFonts w:ascii="Calibri" w:hAnsi="Calibri"/>
        </w:rPr>
      </w:pPr>
      <w:r>
        <w:rPr>
          <w:rFonts w:ascii="Calibri" w:hAnsi="Calibri"/>
        </w:rPr>
        <w:t>Il documento deve fornire le seguenti informazioni: codice software sorgente compilato della soluzione, con la debita documentazione a corredo, ivi inclusa la descrizione dell’infrastruttura tecnologica della soluzione; documento di licenza d’uso individuata per il software che ne titola la fruibilità come riuso di software pubblico e identificazione e valorizzazione dei servizi per l’interoperabilità, di rete e di sicurezza.</w:t>
      </w:r>
    </w:p>
    <w:p w14:paraId="72E8D295" w14:textId="77777777" w:rsidR="001A1446" w:rsidRDefault="00000000">
      <w:pPr>
        <w:pStyle w:val="Titolo1"/>
        <w:rPr>
          <w:rFonts w:ascii="Calibri" w:eastAsia="Calibri" w:hAnsi="Calibri" w:cs="Calibri"/>
          <w:sz w:val="28"/>
          <w:szCs w:val="28"/>
        </w:rPr>
      </w:pPr>
      <w:bookmarkStart w:id="3" w:name="_Toc117932285"/>
      <w:r>
        <w:rPr>
          <w:rFonts w:ascii="Calibri" w:eastAsia="Calibri" w:hAnsi="Calibri" w:cs="Calibri"/>
          <w:sz w:val="28"/>
          <w:szCs w:val="28"/>
        </w:rPr>
        <w:t>Contributo alla “Valutazione comparativa tecnico - economica”</w:t>
      </w:r>
      <w:bookmarkEnd w:id="3"/>
    </w:p>
    <w:p w14:paraId="68E38A19" w14:textId="77777777" w:rsidR="001A1446" w:rsidRDefault="00000000">
      <w:r>
        <w:t>I costi relativi ai servizi indicati nella tabella sono compresi nei costi totali del cloud per l’erogazione del servizio che ammontano per un valore medio pari a 341,11 € per gli enti della comunità del territorio della Regione Umbria.</w:t>
      </w:r>
    </w:p>
    <w:p w14:paraId="7C35D78A" w14:textId="77777777" w:rsidR="001A1446" w:rsidRDefault="001A1446">
      <w:pPr>
        <w:spacing w:before="120" w:after="0" w:line="240" w:lineRule="auto"/>
        <w:rPr>
          <w:rFonts w:ascii="Calibri" w:hAnsi="Calibri"/>
        </w:rPr>
      </w:pPr>
    </w:p>
    <w:tbl>
      <w:tblPr>
        <w:tblStyle w:val="a"/>
        <w:tblW w:w="9493" w:type="dxa"/>
        <w:tblLayout w:type="fixed"/>
        <w:tblLook w:val="0400" w:firstRow="0" w:lastRow="0" w:firstColumn="0" w:lastColumn="0" w:noHBand="0" w:noVBand="1"/>
      </w:tblPr>
      <w:tblGrid>
        <w:gridCol w:w="1121"/>
        <w:gridCol w:w="6529"/>
        <w:gridCol w:w="1843"/>
      </w:tblGrid>
      <w:tr w:rsidR="001A1446" w14:paraId="7DE83C53" w14:textId="77777777">
        <w:trPr>
          <w:trHeight w:val="40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D001" w14:textId="77777777" w:rsidR="001A1446" w:rsidRDefault="00000000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COD Voce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8E68" w14:textId="77777777" w:rsidR="001A1446" w:rsidRDefault="00000000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Descrizione sintetica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5EFAB" w14:textId="77777777" w:rsidR="001A1446" w:rsidRDefault="00000000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Valore</w:t>
            </w:r>
          </w:p>
        </w:tc>
      </w:tr>
      <w:tr w:rsidR="001A1446" w14:paraId="4C37599E" w14:textId="77777777">
        <w:trPr>
          <w:trHeight w:val="2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F27C0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OP06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4C44B" w14:textId="77777777" w:rsidR="001A1446" w:rsidRDefault="0000000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</w:rPr>
              <w:t>Servizi per l’interoperabilità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B5F64" w14:textId="77777777" w:rsidR="001A1446" w:rsidRDefault="00000000">
            <w:pPr>
              <w:spacing w:line="240" w:lineRule="auto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1A1446" w14:paraId="09098B19" w14:textId="77777777">
        <w:trPr>
          <w:trHeight w:val="31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5D785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OP07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C9FA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Servizi di rete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72A9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1A1446" w14:paraId="50B9A0E7" w14:textId="7777777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FF6B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OP08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94B2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Servizi di sicurezza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4EEC" w14:textId="77777777" w:rsidR="001A1446" w:rsidRDefault="0000000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7C5EB0B4" w14:textId="77777777" w:rsidR="001A1446" w:rsidRDefault="001A1446">
      <w:pPr>
        <w:rPr>
          <w:rFonts w:ascii="Calibri" w:hAnsi="Calibri"/>
        </w:rPr>
      </w:pPr>
    </w:p>
    <w:p w14:paraId="1DC69C29" w14:textId="77777777" w:rsidR="00FB3569" w:rsidRDefault="00000000" w:rsidP="00FB3569">
      <w:pPr>
        <w:pStyle w:val="Titolo2"/>
        <w:numPr>
          <w:ilvl w:val="0"/>
          <w:numId w:val="2"/>
        </w:numPr>
        <w:rPr>
          <w:rFonts w:ascii="Calibri" w:hAnsi="Calibri" w:cs="Calibri"/>
        </w:rPr>
      </w:pPr>
      <w:bookmarkStart w:id="4" w:name="_Toc117932286"/>
      <w:r>
        <w:rPr>
          <w:rFonts w:ascii="Calibri" w:hAnsi="Calibri" w:cs="Calibri"/>
        </w:rPr>
        <w:t>Installazione della piattaforma tecnologica della soluzione</w:t>
      </w:r>
      <w:bookmarkEnd w:id="4"/>
    </w:p>
    <w:p w14:paraId="4779ABDC" w14:textId="50EA0B41" w:rsidR="001A1446" w:rsidRPr="002C2614" w:rsidRDefault="00000000" w:rsidP="002C2614">
      <w:r w:rsidRPr="002C2614">
        <w:t xml:space="preserve">Le informazioni di interesse relative al prodotto sono descritte nei documenti di KIT omonimi delle FASI A e B e le specifiche sono riportate nelle </w:t>
      </w:r>
      <w:proofErr w:type="gramStart"/>
      <w:r w:rsidRPr="002C2614">
        <w:t>relative  directory</w:t>
      </w:r>
      <w:proofErr w:type="gramEnd"/>
      <w:r w:rsidRPr="002C2614">
        <w:t xml:space="preserve"> del KIT delle rispettive fasi citate.</w:t>
      </w:r>
    </w:p>
    <w:p w14:paraId="21C2F5C9" w14:textId="77777777" w:rsidR="001A1446" w:rsidRDefault="00000000">
      <w:r>
        <w:t>Di seguito i link per accedere al Repository di VBG.</w:t>
      </w:r>
    </w:p>
    <w:p w14:paraId="4F5BD1D9" w14:textId="77777777" w:rsidR="001A1446" w:rsidRDefault="00000000">
      <w:pPr>
        <w:numPr>
          <w:ilvl w:val="0"/>
          <w:numId w:val="1"/>
        </w:numPr>
        <w:spacing w:after="0"/>
        <w:rPr>
          <w:rFonts w:ascii="Roboto" w:eastAsia="Roboto" w:hAnsi="Roboto" w:cs="Roboto"/>
          <w:sz w:val="21"/>
          <w:szCs w:val="21"/>
          <w:highlight w:val="white"/>
        </w:rPr>
      </w:pPr>
      <w:hyperlink r:id="rId9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https://github.com/OCPA-OpenCommunityPA/KIT-del-riuso-VBG---Regione-Umbria</w:t>
        </w:r>
      </w:hyperlink>
    </w:p>
    <w:p w14:paraId="108E43A8" w14:textId="77777777" w:rsidR="001A1446" w:rsidRDefault="00000000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hyperlink r:id="rId10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https://github.com/RegioneUmbria/VBG</w:t>
        </w:r>
      </w:hyperlink>
    </w:p>
    <w:p w14:paraId="3CC644FF" w14:textId="77777777" w:rsidR="001A1446" w:rsidRDefault="00000000">
      <w:pPr>
        <w:pStyle w:val="Titolo3"/>
        <w:numPr>
          <w:ilvl w:val="1"/>
          <w:numId w:val="2"/>
        </w:numPr>
        <w:rPr>
          <w:rFonts w:ascii="Calibri" w:eastAsia="Calibri" w:hAnsi="Calibri" w:cs="Calibri"/>
        </w:rPr>
      </w:pPr>
      <w:bookmarkStart w:id="5" w:name="_Toc117932287"/>
      <w:r>
        <w:rPr>
          <w:rFonts w:ascii="Calibri" w:eastAsia="Calibri" w:hAnsi="Calibri" w:cs="Calibri"/>
        </w:rPr>
        <w:t>Localizzazione infrastrutturale della soluzione</w:t>
      </w:r>
      <w:bookmarkEnd w:id="5"/>
    </w:p>
    <w:p w14:paraId="1D51B09F" w14:textId="77777777" w:rsidR="001A1446" w:rsidRDefault="00000000">
      <w:pPr>
        <w:rPr>
          <w:rFonts w:ascii="Calibri" w:hAnsi="Calibri"/>
        </w:rPr>
      </w:pPr>
      <w:r>
        <w:rPr>
          <w:rFonts w:ascii="Calibri" w:hAnsi="Calibri"/>
        </w:rPr>
        <w:t>Fornire le informazioni relative alla localizzazione dell’installazione con eventuale dettaglio delle varie componenti. La scelta possibile deve rappresentare quale può essere la localizzazione a regime di quel servizio della soluzione. Per localizzazione si intende se, ad esempio, è dislocata presso un proprio Centro servizi, oppure un Centro regionale o di Comunità o di un operatore di mercato, o altro.</w:t>
      </w:r>
    </w:p>
    <w:p w14:paraId="61F19043" w14:textId="77777777" w:rsidR="001A1446" w:rsidRDefault="00000000">
      <w:r>
        <w:lastRenderedPageBreak/>
        <w:t>Per gli enti della Regione Umbria, la scelta fatta per i servizi e moduli del SUAPE riguarda l’installazione della piattaforma presso il Centro Servizi Regionale. Per gli enti riusanti, si rimanda la scelta alla locazione che ritengo più opportuna.</w:t>
      </w:r>
    </w:p>
    <w:tbl>
      <w:tblPr>
        <w:tblStyle w:val="a0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126"/>
        <w:gridCol w:w="2693"/>
      </w:tblGrid>
      <w:tr w:rsidR="001A1446" w14:paraId="21692FBF" w14:textId="77777777" w:rsidTr="001A1446">
        <w:trPr>
          <w:cantSplit/>
          <w:trHeight w:val="244"/>
          <w:tblHeader/>
          <w:jc w:val="center"/>
        </w:trPr>
        <w:tc>
          <w:tcPr>
            <w:tcW w:w="4957" w:type="dxa"/>
          </w:tcPr>
          <w:p w14:paraId="0B3845A4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Servizi tecnologici presenti nell’impianto</w:t>
            </w:r>
          </w:p>
        </w:tc>
        <w:tc>
          <w:tcPr>
            <w:tcW w:w="2126" w:type="dxa"/>
          </w:tcPr>
          <w:p w14:paraId="08D45C41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Possibile scelta</w:t>
            </w:r>
          </w:p>
        </w:tc>
        <w:tc>
          <w:tcPr>
            <w:tcW w:w="2693" w:type="dxa"/>
          </w:tcPr>
          <w:p w14:paraId="55E3DB84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Scelta Fatta</w:t>
            </w:r>
          </w:p>
        </w:tc>
      </w:tr>
      <w:tr w:rsidR="001A1446" w14:paraId="4AF58C3F" w14:textId="77777777" w:rsidTr="001A1446">
        <w:trPr>
          <w:jc w:val="center"/>
        </w:trPr>
        <w:tc>
          <w:tcPr>
            <w:tcW w:w="4957" w:type="dxa"/>
          </w:tcPr>
          <w:p w14:paraId="5B596F3A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Servizi per l’interoperabilità</w:t>
            </w:r>
          </w:p>
        </w:tc>
        <w:tc>
          <w:tcPr>
            <w:tcW w:w="2126" w:type="dxa"/>
          </w:tcPr>
          <w:p w14:paraId="110CF0CB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  <w:p w14:paraId="387E64BA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 Ente</w:t>
            </w:r>
          </w:p>
        </w:tc>
        <w:tc>
          <w:tcPr>
            <w:tcW w:w="2693" w:type="dxa"/>
          </w:tcPr>
          <w:p w14:paraId="63EB0A43" w14:textId="77777777" w:rsidR="001A1446" w:rsidRDefault="00000000">
            <w:pPr>
              <w:spacing w:before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</w:tc>
      </w:tr>
      <w:tr w:rsidR="001A1446" w14:paraId="5AD22103" w14:textId="77777777" w:rsidTr="001A1446">
        <w:trPr>
          <w:jc w:val="center"/>
        </w:trPr>
        <w:tc>
          <w:tcPr>
            <w:tcW w:w="4957" w:type="dxa"/>
          </w:tcPr>
          <w:p w14:paraId="491239E8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Servizi di rete</w:t>
            </w:r>
          </w:p>
        </w:tc>
        <w:tc>
          <w:tcPr>
            <w:tcW w:w="2126" w:type="dxa"/>
          </w:tcPr>
          <w:p w14:paraId="5B445E22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  <w:p w14:paraId="68DC2AEC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 Ente</w:t>
            </w:r>
          </w:p>
        </w:tc>
        <w:tc>
          <w:tcPr>
            <w:tcW w:w="2693" w:type="dxa"/>
          </w:tcPr>
          <w:p w14:paraId="61678124" w14:textId="77777777" w:rsidR="001A1446" w:rsidRDefault="00000000">
            <w:pPr>
              <w:spacing w:before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</w:tc>
      </w:tr>
      <w:tr w:rsidR="001A1446" w14:paraId="1E442734" w14:textId="77777777" w:rsidTr="001A1446">
        <w:trPr>
          <w:jc w:val="center"/>
        </w:trPr>
        <w:tc>
          <w:tcPr>
            <w:tcW w:w="4957" w:type="dxa"/>
          </w:tcPr>
          <w:p w14:paraId="4A494F40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Servizi di sicurezza</w:t>
            </w:r>
          </w:p>
        </w:tc>
        <w:tc>
          <w:tcPr>
            <w:tcW w:w="2126" w:type="dxa"/>
          </w:tcPr>
          <w:p w14:paraId="797217F3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  <w:p w14:paraId="290DACFB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 Ente</w:t>
            </w:r>
          </w:p>
        </w:tc>
        <w:tc>
          <w:tcPr>
            <w:tcW w:w="2693" w:type="dxa"/>
          </w:tcPr>
          <w:p w14:paraId="0CB1DBA6" w14:textId="77777777" w:rsidR="001A1446" w:rsidRDefault="00000000">
            <w:pPr>
              <w:spacing w:before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</w:tc>
      </w:tr>
    </w:tbl>
    <w:p w14:paraId="37A0BCB3" w14:textId="77777777" w:rsidR="001A1446" w:rsidRDefault="001A1446">
      <w:pPr>
        <w:rPr>
          <w:rFonts w:ascii="Calibri" w:hAnsi="Calibri"/>
        </w:rPr>
      </w:pPr>
    </w:p>
    <w:tbl>
      <w:tblPr>
        <w:tblStyle w:val="a1"/>
        <w:tblW w:w="9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4"/>
        <w:gridCol w:w="2079"/>
        <w:gridCol w:w="2772"/>
      </w:tblGrid>
      <w:tr w:rsidR="001A1446" w14:paraId="077C73CB" w14:textId="77777777" w:rsidTr="001A1446">
        <w:trPr>
          <w:cantSplit/>
          <w:trHeight w:val="505"/>
          <w:tblHeader/>
        </w:trPr>
        <w:tc>
          <w:tcPr>
            <w:tcW w:w="4984" w:type="dxa"/>
          </w:tcPr>
          <w:p w14:paraId="2C73EB75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Servizio applicativo infrastrutturale gestito</w:t>
            </w:r>
          </w:p>
        </w:tc>
        <w:tc>
          <w:tcPr>
            <w:tcW w:w="2079" w:type="dxa"/>
          </w:tcPr>
          <w:p w14:paraId="761CA577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Possibile scelta</w:t>
            </w:r>
          </w:p>
        </w:tc>
        <w:tc>
          <w:tcPr>
            <w:tcW w:w="2772" w:type="dxa"/>
          </w:tcPr>
          <w:p w14:paraId="4404CEC0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Scelta Fatta</w:t>
            </w:r>
          </w:p>
        </w:tc>
      </w:tr>
      <w:tr w:rsidR="001A1446" w14:paraId="2BFB700B" w14:textId="77777777" w:rsidTr="001A1446">
        <w:trPr>
          <w:trHeight w:val="480"/>
        </w:trPr>
        <w:tc>
          <w:tcPr>
            <w:tcW w:w="4984" w:type="dxa"/>
          </w:tcPr>
          <w:p w14:paraId="4C72F6A1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Modulo </w:t>
            </w:r>
            <w:r>
              <w:rPr>
                <w:sz w:val="20"/>
                <w:szCs w:val="20"/>
              </w:rPr>
              <w:t>SUAPE</w:t>
            </w:r>
          </w:p>
        </w:tc>
        <w:tc>
          <w:tcPr>
            <w:tcW w:w="2079" w:type="dxa"/>
          </w:tcPr>
          <w:p w14:paraId="716C6E0E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  <w:p w14:paraId="67C6FAAE" w14:textId="77777777" w:rsidR="001A1446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 Ente</w:t>
            </w:r>
          </w:p>
        </w:tc>
        <w:tc>
          <w:tcPr>
            <w:tcW w:w="2772" w:type="dxa"/>
          </w:tcPr>
          <w:p w14:paraId="578BDF1E" w14:textId="77777777" w:rsidR="001A1446" w:rsidRDefault="00000000">
            <w:pPr>
              <w:spacing w:before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Centro regionale</w:t>
            </w:r>
          </w:p>
        </w:tc>
      </w:tr>
    </w:tbl>
    <w:p w14:paraId="68063048" w14:textId="77777777" w:rsidR="001A1446" w:rsidRDefault="00000000">
      <w:pPr>
        <w:pStyle w:val="Titolo3"/>
        <w:numPr>
          <w:ilvl w:val="1"/>
          <w:numId w:val="2"/>
        </w:numPr>
        <w:rPr>
          <w:rFonts w:ascii="Calibri" w:eastAsia="Calibri" w:hAnsi="Calibri" w:cs="Calibri"/>
        </w:rPr>
      </w:pPr>
      <w:bookmarkStart w:id="6" w:name="_Toc117932288"/>
      <w:r>
        <w:rPr>
          <w:rFonts w:ascii="Calibri" w:eastAsia="Calibri" w:hAnsi="Calibri" w:cs="Calibri"/>
        </w:rPr>
        <w:t>Modalità di adozione dei supporti tecnici</w:t>
      </w:r>
      <w:bookmarkEnd w:id="6"/>
    </w:p>
    <w:p w14:paraId="507735A3" w14:textId="77777777" w:rsidR="001A1446" w:rsidRDefault="00000000">
      <w:pPr>
        <w:spacing w:before="120"/>
        <w:rPr>
          <w:rFonts w:ascii="Calibri" w:hAnsi="Calibri"/>
        </w:rPr>
      </w:pPr>
      <w:r>
        <w:rPr>
          <w:rFonts w:ascii="Calibri" w:hAnsi="Calibri"/>
        </w:rPr>
        <w:t>Inserire in tabella il dettaglio delle decisioni prese in termini di supporto tecnico in relazione alle varie problematiche da affrontare. Qui è rappresentata quale sia stata a regime la scelta fatta per avere a disposizione professionalità tecniche e/o funzionali per l’amministrazione della soluzione: interna all’Ente, da fornitore, da comunità di riusanti, altro.</w:t>
      </w:r>
    </w:p>
    <w:p w14:paraId="0851953F" w14:textId="77777777" w:rsidR="001A1446" w:rsidRDefault="001A1446">
      <w:pPr>
        <w:spacing w:before="120"/>
        <w:rPr>
          <w:rFonts w:ascii="Calibri" w:hAnsi="Calibri"/>
        </w:rPr>
      </w:pPr>
    </w:p>
    <w:tbl>
      <w:tblPr>
        <w:tblStyle w:val="a2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040"/>
        <w:gridCol w:w="1965"/>
        <w:gridCol w:w="2805"/>
      </w:tblGrid>
      <w:tr w:rsidR="001A1446" w14:paraId="3E933180" w14:textId="77777777" w:rsidTr="001A1446">
        <w:trPr>
          <w:cantSplit/>
          <w:tblHeader/>
        </w:trPr>
        <w:tc>
          <w:tcPr>
            <w:tcW w:w="3114" w:type="dxa"/>
          </w:tcPr>
          <w:p w14:paraId="3CD73BFF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Problematica considerata</w:t>
            </w:r>
          </w:p>
        </w:tc>
        <w:tc>
          <w:tcPr>
            <w:tcW w:w="2040" w:type="dxa"/>
          </w:tcPr>
          <w:p w14:paraId="282582A0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Modalità possibile</w:t>
            </w:r>
          </w:p>
        </w:tc>
        <w:tc>
          <w:tcPr>
            <w:tcW w:w="1965" w:type="dxa"/>
          </w:tcPr>
          <w:p w14:paraId="4210F790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Scelta fatta dal riusante</w:t>
            </w:r>
          </w:p>
        </w:tc>
        <w:tc>
          <w:tcPr>
            <w:tcW w:w="2805" w:type="dxa"/>
          </w:tcPr>
          <w:p w14:paraId="1FF61513" w14:textId="77777777" w:rsidR="001A1446" w:rsidRDefault="00000000">
            <w:pPr>
              <w:spacing w:before="12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Fattori di successo e critici considerati</w:t>
            </w:r>
          </w:p>
        </w:tc>
      </w:tr>
      <w:tr w:rsidR="001A1446" w14:paraId="2DEB8F37" w14:textId="77777777" w:rsidTr="001A1446">
        <w:tc>
          <w:tcPr>
            <w:tcW w:w="3114" w:type="dxa"/>
          </w:tcPr>
          <w:p w14:paraId="2FDECCCC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Localizzazione Installazione della Piattaforma</w:t>
            </w:r>
          </w:p>
        </w:tc>
        <w:tc>
          <w:tcPr>
            <w:tcW w:w="2040" w:type="dxa"/>
          </w:tcPr>
          <w:p w14:paraId="11638B06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 all’Ente</w:t>
            </w:r>
          </w:p>
          <w:p w14:paraId="32D921A6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Fornitore Esterno</w:t>
            </w:r>
          </w:p>
        </w:tc>
        <w:tc>
          <w:tcPr>
            <w:tcW w:w="1965" w:type="dxa"/>
          </w:tcPr>
          <w:p w14:paraId="4EECA72F" w14:textId="77777777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Interna all’Ente</w:t>
            </w:r>
          </w:p>
        </w:tc>
        <w:tc>
          <w:tcPr>
            <w:tcW w:w="2805" w:type="dxa"/>
          </w:tcPr>
          <w:p w14:paraId="67D693A8" w14:textId="57F3316C" w:rsidR="001A1446" w:rsidRDefault="00000000">
            <w:pPr>
              <w:spacing w:before="12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Ottimizzazione attività di manutenzione e</w:t>
            </w:r>
            <w:r w:rsidR="00FB356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evoluzione della piattaforma in modo univoco per tutti gli enti. Installazione presso il Datacenter della </w:t>
            </w:r>
            <w:r w:rsidR="00FB3569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egione </w:t>
            </w:r>
            <w:r w:rsidR="00FB3569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mbria, centralizzata per tutti gli </w:t>
            </w:r>
            <w:r w:rsidR="00FB3569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nti della comunità del territorio della Regione Umbria</w:t>
            </w:r>
          </w:p>
        </w:tc>
      </w:tr>
      <w:tr w:rsidR="001A1446" w14:paraId="6F1AC377" w14:textId="77777777" w:rsidTr="001A1446">
        <w:tc>
          <w:tcPr>
            <w:tcW w:w="3114" w:type="dxa"/>
          </w:tcPr>
          <w:p w14:paraId="40E1FC22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Supporto Tecnico per la gestione e manutenzione della piattaforma applicativa</w:t>
            </w:r>
          </w:p>
        </w:tc>
        <w:tc>
          <w:tcPr>
            <w:tcW w:w="2040" w:type="dxa"/>
          </w:tcPr>
          <w:p w14:paraId="3892854F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Comunità</w:t>
            </w:r>
          </w:p>
          <w:p w14:paraId="6811032F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 all’ente</w:t>
            </w:r>
          </w:p>
          <w:p w14:paraId="6FB419F5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Fornitore Esterno</w:t>
            </w:r>
          </w:p>
          <w:p w14:paraId="6B54BDD1" w14:textId="77777777" w:rsidR="001A1446" w:rsidRDefault="001A1446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65" w:type="dxa"/>
          </w:tcPr>
          <w:p w14:paraId="2D02F7D5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 all’Ente</w:t>
            </w:r>
          </w:p>
        </w:tc>
        <w:tc>
          <w:tcPr>
            <w:tcW w:w="2805" w:type="dxa"/>
          </w:tcPr>
          <w:p w14:paraId="65EA786C" w14:textId="77777777" w:rsidR="001A1446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Servizi Regionale</w:t>
            </w:r>
          </w:p>
        </w:tc>
      </w:tr>
    </w:tbl>
    <w:p w14:paraId="7F14E7AD" w14:textId="61CA4D0B" w:rsidR="001A1446" w:rsidRDefault="001A1446">
      <w:pPr>
        <w:spacing w:after="160"/>
        <w:jc w:val="left"/>
        <w:rPr>
          <w:rFonts w:ascii="Calibri" w:hAnsi="Calibri"/>
        </w:rPr>
      </w:pPr>
    </w:p>
    <w:p w14:paraId="6008E5FC" w14:textId="77777777" w:rsidR="001A1446" w:rsidRDefault="00000000">
      <w:pPr>
        <w:pStyle w:val="Titolo3"/>
        <w:numPr>
          <w:ilvl w:val="1"/>
          <w:numId w:val="2"/>
        </w:numPr>
        <w:rPr>
          <w:rFonts w:ascii="Calibri" w:eastAsia="Calibri" w:hAnsi="Calibri" w:cs="Calibri"/>
        </w:rPr>
      </w:pPr>
      <w:bookmarkStart w:id="7" w:name="_Toc117932289"/>
      <w:r>
        <w:rPr>
          <w:rFonts w:ascii="Calibri" w:eastAsia="Calibri" w:hAnsi="Calibri" w:cs="Calibri"/>
        </w:rPr>
        <w:lastRenderedPageBreak/>
        <w:t>Organizzazione del contesto tecnico a disposizione</w:t>
      </w:r>
      <w:bookmarkEnd w:id="7"/>
    </w:p>
    <w:p w14:paraId="506BE46A" w14:textId="77777777" w:rsidR="001A1446" w:rsidRDefault="00000000">
      <w:pPr>
        <w:spacing w:before="120" w:after="0"/>
        <w:rPr>
          <w:rFonts w:ascii="Calibri" w:hAnsi="Calibri"/>
        </w:rPr>
      </w:pPr>
      <w:r>
        <w:t xml:space="preserve">Gli enti della Regione Umbria potranno rivolgersi a Punto Zero in merito all’attività di manutenzione </w:t>
      </w:r>
      <w:proofErr w:type="gramStart"/>
      <w:r>
        <w:t>e</w:t>
      </w:r>
      <w:proofErr w:type="gramEnd"/>
      <w:r>
        <w:t xml:space="preserve"> evoluzione della piattaforma. Per gli Enti fuori regione potranno richiedere al mercato o a Punto Zero eventuali servizi, oltre a poter chiedere l’entrata nella Comunità del Territorio per usufruire dei vantaggi derivanti dalla partecipazione alla community (condivisione della conoscenza, partecipazione alla progettazione delle evolutive, etc.)</w:t>
      </w:r>
    </w:p>
    <w:p w14:paraId="5626979D" w14:textId="77777777" w:rsidR="001A1446" w:rsidRDefault="00000000">
      <w:pPr>
        <w:pStyle w:val="Titolo3"/>
        <w:numPr>
          <w:ilvl w:val="1"/>
          <w:numId w:val="2"/>
        </w:numPr>
        <w:rPr>
          <w:rFonts w:ascii="Calibri" w:eastAsia="Calibri" w:hAnsi="Calibri" w:cs="Calibri"/>
        </w:rPr>
      </w:pPr>
      <w:bookmarkStart w:id="8" w:name="_Toc117932290"/>
      <w:r>
        <w:rPr>
          <w:rFonts w:ascii="Calibri" w:eastAsia="Calibri" w:hAnsi="Calibri" w:cs="Calibri"/>
        </w:rPr>
        <w:t>Organizzazione del contesto di gestione del KIT</w:t>
      </w:r>
      <w:bookmarkEnd w:id="8"/>
    </w:p>
    <w:p w14:paraId="21934B76" w14:textId="4344D6EE" w:rsidR="001A1446" w:rsidRDefault="00000000">
      <w:pPr>
        <w:spacing w:before="120" w:after="0"/>
        <w:rPr>
          <w:rFonts w:ascii="Calibri" w:hAnsi="Calibri"/>
        </w:rPr>
      </w:pPr>
      <w:r>
        <w:t xml:space="preserve">Gli Enti della Regione Umbria tramite </w:t>
      </w:r>
      <w:proofErr w:type="gramStart"/>
      <w:r>
        <w:t>Punto</w:t>
      </w:r>
      <w:r w:rsidR="00470785">
        <w:t>Z</w:t>
      </w:r>
      <w:r>
        <w:t>ero</w:t>
      </w:r>
      <w:proofErr w:type="gramEnd"/>
      <w:r>
        <w:t xml:space="preserve"> potranno gestire eventuali evoluzioni della piattaforma VBG prevedendo quindi la necessità di aggiornare alcuni documenti del KIT di riuso, oltra a generare allegati e documenti di corredo al KIT nella sezione Allegati previsti a supporto dei format.</w:t>
      </w:r>
    </w:p>
    <w:p w14:paraId="2AC2B726" w14:textId="77777777" w:rsidR="001A1446" w:rsidRDefault="00000000">
      <w:pPr>
        <w:pStyle w:val="Titolo3"/>
        <w:numPr>
          <w:ilvl w:val="1"/>
          <w:numId w:val="2"/>
        </w:numPr>
        <w:rPr>
          <w:rFonts w:ascii="Calibri" w:eastAsia="Calibri" w:hAnsi="Calibri" w:cs="Calibri"/>
        </w:rPr>
      </w:pPr>
      <w:bookmarkStart w:id="9" w:name="_Toc117932291"/>
      <w:r>
        <w:rPr>
          <w:rFonts w:ascii="Calibri" w:eastAsia="Calibri" w:hAnsi="Calibri" w:cs="Calibri"/>
        </w:rPr>
        <w:t>Ruoli e responsabilità di gestione della soluzione</w:t>
      </w:r>
      <w:bookmarkEnd w:id="9"/>
    </w:p>
    <w:p w14:paraId="0AF8F903" w14:textId="78E17793" w:rsidR="001A1446" w:rsidRDefault="00000000">
      <w:pPr>
        <w:rPr>
          <w:rFonts w:ascii="Calibri" w:hAnsi="Calibri"/>
        </w:rPr>
      </w:pPr>
      <w:r>
        <w:t xml:space="preserve">Per gli Enti della Regione Umbria eventuali interventi evolutivi e di manutenzione potranno essere gestiti da </w:t>
      </w:r>
      <w:proofErr w:type="gramStart"/>
      <w:r>
        <w:t>PuntoZero</w:t>
      </w:r>
      <w:proofErr w:type="gramEnd"/>
      <w:r>
        <w:t xml:space="preserve"> in quanto in house regionale. Gli </w:t>
      </w:r>
      <w:r w:rsidR="00470785">
        <w:t>E</w:t>
      </w:r>
      <w:r>
        <w:t xml:space="preserve">nti fuori </w:t>
      </w:r>
      <w:r w:rsidR="00470785">
        <w:t>R</w:t>
      </w:r>
      <w:r>
        <w:t xml:space="preserve">egione potranno avvalersi di un fornitore esterno o gestire internamente gli interventi di sviluppo evolutivo e di manutenzione.  </w:t>
      </w:r>
    </w:p>
    <w:p w14:paraId="0C759127" w14:textId="77777777" w:rsidR="001A1446" w:rsidRDefault="001A1446">
      <w:pPr>
        <w:jc w:val="left"/>
        <w:rPr>
          <w:rFonts w:ascii="Calibri" w:hAnsi="Calibri"/>
        </w:rPr>
      </w:pPr>
    </w:p>
    <w:p w14:paraId="154E4D54" w14:textId="77777777" w:rsidR="001A1446" w:rsidRDefault="00000000">
      <w:pPr>
        <w:spacing w:after="160"/>
        <w:jc w:val="left"/>
        <w:rPr>
          <w:rFonts w:ascii="Calibri" w:hAnsi="Calibri"/>
        </w:rPr>
      </w:pPr>
      <w:r>
        <w:br w:type="page"/>
      </w:r>
    </w:p>
    <w:p w14:paraId="77F93FEB" w14:textId="77777777" w:rsidR="001A1446" w:rsidRDefault="00000000">
      <w:pPr>
        <w:pStyle w:val="Titolo2"/>
        <w:numPr>
          <w:ilvl w:val="0"/>
          <w:numId w:val="2"/>
        </w:numPr>
        <w:rPr>
          <w:rFonts w:ascii="Calibri" w:hAnsi="Calibri" w:cs="Calibri"/>
        </w:rPr>
      </w:pPr>
      <w:bookmarkStart w:id="10" w:name="_Toc117932292"/>
      <w:r>
        <w:rPr>
          <w:rFonts w:ascii="Calibri" w:hAnsi="Calibri" w:cs="Calibri"/>
        </w:rPr>
        <w:lastRenderedPageBreak/>
        <w:t>Allegato - Check list di controllo</w:t>
      </w:r>
      <w:bookmarkEnd w:id="10"/>
    </w:p>
    <w:p w14:paraId="30160140" w14:textId="77777777" w:rsidR="001A1446" w:rsidRDefault="001A1446">
      <w:pPr>
        <w:rPr>
          <w:rFonts w:ascii="Calibri" w:hAnsi="Calibri"/>
        </w:rPr>
      </w:pPr>
    </w:p>
    <w:tbl>
      <w:tblPr>
        <w:tblStyle w:val="a3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1"/>
        <w:gridCol w:w="1864"/>
        <w:gridCol w:w="1666"/>
        <w:gridCol w:w="832"/>
        <w:gridCol w:w="744"/>
        <w:gridCol w:w="694"/>
        <w:gridCol w:w="1847"/>
      </w:tblGrid>
      <w:tr w:rsidR="001A1446" w14:paraId="6A0C1DD3" w14:textId="77777777">
        <w:trPr>
          <w:tblHeader/>
        </w:trPr>
        <w:tc>
          <w:tcPr>
            <w:tcW w:w="1981" w:type="dxa"/>
            <w:shd w:val="clear" w:color="auto" w:fill="F4B083"/>
          </w:tcPr>
          <w:p w14:paraId="573AB6DC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Nome prodotto</w:t>
            </w:r>
          </w:p>
        </w:tc>
        <w:tc>
          <w:tcPr>
            <w:tcW w:w="7647" w:type="dxa"/>
            <w:gridSpan w:val="6"/>
            <w:shd w:val="clear" w:color="auto" w:fill="F4B083"/>
          </w:tcPr>
          <w:p w14:paraId="0286021F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VBG /SUAPE 3.0</w:t>
            </w:r>
          </w:p>
        </w:tc>
      </w:tr>
      <w:tr w:rsidR="001A1446" w14:paraId="1065179A" w14:textId="77777777">
        <w:trPr>
          <w:tblHeader/>
        </w:trPr>
        <w:tc>
          <w:tcPr>
            <w:tcW w:w="1981" w:type="dxa"/>
            <w:shd w:val="clear" w:color="auto" w:fill="F4B083"/>
          </w:tcPr>
          <w:p w14:paraId="6DE11B31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Nome modulo</w:t>
            </w:r>
          </w:p>
        </w:tc>
        <w:tc>
          <w:tcPr>
            <w:tcW w:w="7647" w:type="dxa"/>
            <w:gridSpan w:val="6"/>
            <w:shd w:val="clear" w:color="auto" w:fill="F4B083"/>
          </w:tcPr>
          <w:p w14:paraId="6FDD1B16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Edilizia, Attività Produttive, Ambiente</w:t>
            </w:r>
          </w:p>
        </w:tc>
      </w:tr>
      <w:tr w:rsidR="001A1446" w14:paraId="078DF584" w14:textId="77777777">
        <w:trPr>
          <w:tblHeader/>
        </w:trPr>
        <w:tc>
          <w:tcPr>
            <w:tcW w:w="1981" w:type="dxa"/>
            <w:vMerge w:val="restart"/>
            <w:shd w:val="clear" w:color="auto" w:fill="F4B083"/>
          </w:tcPr>
          <w:p w14:paraId="1147251F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Check item</w:t>
            </w:r>
          </w:p>
        </w:tc>
        <w:tc>
          <w:tcPr>
            <w:tcW w:w="1864" w:type="dxa"/>
            <w:vMerge w:val="restart"/>
            <w:shd w:val="clear" w:color="auto" w:fill="F4B083"/>
          </w:tcPr>
          <w:p w14:paraId="7167D63F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Qualità attesa</w:t>
            </w:r>
          </w:p>
        </w:tc>
        <w:tc>
          <w:tcPr>
            <w:tcW w:w="1666" w:type="dxa"/>
            <w:vMerge w:val="restart"/>
            <w:shd w:val="clear" w:color="auto" w:fill="F4B083"/>
          </w:tcPr>
          <w:p w14:paraId="379333BC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Attività di verifica</w:t>
            </w:r>
          </w:p>
        </w:tc>
        <w:tc>
          <w:tcPr>
            <w:tcW w:w="2270" w:type="dxa"/>
            <w:gridSpan w:val="3"/>
            <w:shd w:val="clear" w:color="auto" w:fill="F4B083"/>
          </w:tcPr>
          <w:p w14:paraId="25348F16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Esito di verifica</w:t>
            </w:r>
          </w:p>
        </w:tc>
        <w:tc>
          <w:tcPr>
            <w:tcW w:w="1847" w:type="dxa"/>
            <w:vMerge w:val="restart"/>
            <w:shd w:val="clear" w:color="auto" w:fill="F4B083"/>
          </w:tcPr>
          <w:p w14:paraId="6C620606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Note</w:t>
            </w:r>
          </w:p>
        </w:tc>
      </w:tr>
      <w:tr w:rsidR="001A1446" w14:paraId="5ED40F18" w14:textId="77777777">
        <w:trPr>
          <w:tblHeader/>
        </w:trPr>
        <w:tc>
          <w:tcPr>
            <w:tcW w:w="1981" w:type="dxa"/>
            <w:vMerge/>
            <w:shd w:val="clear" w:color="auto" w:fill="F4B083"/>
          </w:tcPr>
          <w:p w14:paraId="6C107AA1" w14:textId="77777777" w:rsidR="001A1446" w:rsidRDefault="001A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864" w:type="dxa"/>
            <w:vMerge/>
            <w:shd w:val="clear" w:color="auto" w:fill="F4B083"/>
          </w:tcPr>
          <w:p w14:paraId="4F3D5CBC" w14:textId="77777777" w:rsidR="001A1446" w:rsidRDefault="001A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666" w:type="dxa"/>
            <w:vMerge/>
            <w:shd w:val="clear" w:color="auto" w:fill="F4B083"/>
          </w:tcPr>
          <w:p w14:paraId="001B8805" w14:textId="77777777" w:rsidR="001A1446" w:rsidRDefault="001A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F4B083"/>
          </w:tcPr>
          <w:p w14:paraId="3B3DD4A0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VERO</w:t>
            </w:r>
          </w:p>
        </w:tc>
        <w:tc>
          <w:tcPr>
            <w:tcW w:w="744" w:type="dxa"/>
            <w:shd w:val="clear" w:color="auto" w:fill="F4B083"/>
          </w:tcPr>
          <w:p w14:paraId="4E12C96E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FALSO</w:t>
            </w:r>
          </w:p>
        </w:tc>
        <w:tc>
          <w:tcPr>
            <w:tcW w:w="694" w:type="dxa"/>
            <w:shd w:val="clear" w:color="auto" w:fill="F4B083"/>
          </w:tcPr>
          <w:p w14:paraId="41C657E1" w14:textId="77777777" w:rsidR="001A1446" w:rsidRDefault="00000000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N/A</w:t>
            </w:r>
          </w:p>
        </w:tc>
        <w:tc>
          <w:tcPr>
            <w:tcW w:w="1847" w:type="dxa"/>
            <w:vMerge/>
            <w:shd w:val="clear" w:color="auto" w:fill="F4B083"/>
          </w:tcPr>
          <w:p w14:paraId="7126212F" w14:textId="77777777" w:rsidR="001A1446" w:rsidRDefault="001A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1446" w14:paraId="3133EA87" w14:textId="77777777">
        <w:tc>
          <w:tcPr>
            <w:tcW w:w="1981" w:type="dxa"/>
          </w:tcPr>
          <w:p w14:paraId="0853F1DA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Documentazione utente</w:t>
            </w:r>
          </w:p>
        </w:tc>
        <w:tc>
          <w:tcPr>
            <w:tcW w:w="1864" w:type="dxa"/>
          </w:tcPr>
          <w:p w14:paraId="1771DB6A" w14:textId="77777777" w:rsidR="001A1446" w:rsidRDefault="00000000">
            <w:r>
              <w:t>Il prodotto è correlato della necessaria documentazione utente</w:t>
            </w:r>
          </w:p>
        </w:tc>
        <w:tc>
          <w:tcPr>
            <w:tcW w:w="1666" w:type="dxa"/>
          </w:tcPr>
          <w:p w14:paraId="05FB3339" w14:textId="77777777" w:rsidR="001A1446" w:rsidRDefault="00000000">
            <w:r>
              <w:t>Riesame del documento</w:t>
            </w:r>
          </w:p>
        </w:tc>
        <w:tc>
          <w:tcPr>
            <w:tcW w:w="832" w:type="dxa"/>
          </w:tcPr>
          <w:p w14:paraId="10E8D0A6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4E9939F5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67515B0C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371EBC8B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18485D2C" w14:textId="77777777">
        <w:tc>
          <w:tcPr>
            <w:tcW w:w="1981" w:type="dxa"/>
          </w:tcPr>
          <w:p w14:paraId="2FB90234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Manuale/Istruzioni di configurazione (qualora il prodotto sia configurabile / parametrizzabile)</w:t>
            </w:r>
          </w:p>
        </w:tc>
        <w:tc>
          <w:tcPr>
            <w:tcW w:w="1864" w:type="dxa"/>
          </w:tcPr>
          <w:p w14:paraId="67965177" w14:textId="77777777" w:rsidR="001A1446" w:rsidRDefault="00000000">
            <w:r>
              <w:t xml:space="preserve">Il prodotto è correlato di istruzioni o manualistica per la configurazione, riguardo soprattutto alle necessarie istruzioni per il </w:t>
            </w:r>
            <w:proofErr w:type="spellStart"/>
            <w:r>
              <w:t>deploy</w:t>
            </w:r>
            <w:proofErr w:type="spellEnd"/>
            <w:r>
              <w:t xml:space="preserve"> in esercizio e per la profilazione degli utenti e delle funzioni.</w:t>
            </w:r>
          </w:p>
        </w:tc>
        <w:tc>
          <w:tcPr>
            <w:tcW w:w="1666" w:type="dxa"/>
          </w:tcPr>
          <w:p w14:paraId="0CC03480" w14:textId="77777777" w:rsidR="001A1446" w:rsidRDefault="00000000">
            <w:r>
              <w:t>Riesame del documento</w:t>
            </w:r>
          </w:p>
        </w:tc>
        <w:tc>
          <w:tcPr>
            <w:tcW w:w="832" w:type="dxa"/>
          </w:tcPr>
          <w:p w14:paraId="44AAC60D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667CB95C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59DFFA0D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088B9B1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0D9227FB" w14:textId="77777777">
        <w:tc>
          <w:tcPr>
            <w:tcW w:w="1981" w:type="dxa"/>
          </w:tcPr>
          <w:p w14:paraId="2B2B185C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Collaudo tecnico</w:t>
            </w:r>
          </w:p>
        </w:tc>
        <w:tc>
          <w:tcPr>
            <w:tcW w:w="1864" w:type="dxa"/>
          </w:tcPr>
          <w:p w14:paraId="2F524951" w14:textId="77777777" w:rsidR="001A1446" w:rsidRDefault="00000000">
            <w:r>
              <w:t>Il prodotto è funzionante</w:t>
            </w:r>
          </w:p>
        </w:tc>
        <w:tc>
          <w:tcPr>
            <w:tcW w:w="1666" w:type="dxa"/>
          </w:tcPr>
          <w:p w14:paraId="02D379FD" w14:textId="77777777" w:rsidR="001A1446" w:rsidRDefault="00000000">
            <w:r>
              <w:t>Test funzionali</w:t>
            </w:r>
          </w:p>
        </w:tc>
        <w:tc>
          <w:tcPr>
            <w:tcW w:w="832" w:type="dxa"/>
          </w:tcPr>
          <w:p w14:paraId="05FB9AAB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2069535A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03AF5F85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9F02A42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32EECF6D" w14:textId="77777777">
        <w:tc>
          <w:tcPr>
            <w:tcW w:w="1981" w:type="dxa"/>
          </w:tcPr>
          <w:p w14:paraId="3B14815B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Linguaggio, pattern e librerie</w:t>
            </w:r>
          </w:p>
        </w:tc>
        <w:tc>
          <w:tcPr>
            <w:tcW w:w="1864" w:type="dxa"/>
          </w:tcPr>
          <w:p w14:paraId="1CB34A3D" w14:textId="77777777" w:rsidR="001A1446" w:rsidRDefault="00000000">
            <w:r>
              <w:t>Le librerie i pattern e il linguaggio di programmazione utilizzato sono del tutto compatibili agli standard della piattaforma</w:t>
            </w:r>
          </w:p>
        </w:tc>
        <w:tc>
          <w:tcPr>
            <w:tcW w:w="1666" w:type="dxa"/>
          </w:tcPr>
          <w:p w14:paraId="2533D942" w14:textId="77777777" w:rsidR="001A1446" w:rsidRDefault="00000000">
            <w:r>
              <w:t xml:space="preserve">Documentazione o esposizione </w:t>
            </w:r>
            <w:proofErr w:type="gramStart"/>
            <w:r>
              <w:t>al team</w:t>
            </w:r>
            <w:proofErr w:type="gramEnd"/>
            <w:r>
              <w:t xml:space="preserve"> di sviluppo di Umbria Digitale</w:t>
            </w:r>
          </w:p>
        </w:tc>
        <w:tc>
          <w:tcPr>
            <w:tcW w:w="832" w:type="dxa"/>
          </w:tcPr>
          <w:p w14:paraId="51227D4F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332E32B7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0E5C695B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A42777E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1033DCE7" w14:textId="77777777">
        <w:trPr>
          <w:trHeight w:val="70"/>
        </w:trPr>
        <w:tc>
          <w:tcPr>
            <w:tcW w:w="1981" w:type="dxa"/>
          </w:tcPr>
          <w:p w14:paraId="0E985A59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Obiettivi funzionali</w:t>
            </w:r>
          </w:p>
        </w:tc>
        <w:tc>
          <w:tcPr>
            <w:tcW w:w="1864" w:type="dxa"/>
          </w:tcPr>
          <w:p w14:paraId="05CEC255" w14:textId="77777777" w:rsidR="001A1446" w:rsidRDefault="00000000">
            <w:r>
              <w:t xml:space="preserve">Il prodotto incrementa o migliora le funzionalità della piattaforma </w:t>
            </w:r>
          </w:p>
        </w:tc>
        <w:tc>
          <w:tcPr>
            <w:tcW w:w="1666" w:type="dxa"/>
          </w:tcPr>
          <w:p w14:paraId="6801DA9E" w14:textId="77777777" w:rsidR="001A1446" w:rsidRDefault="00000000">
            <w:r>
              <w:t>Valutazione da parte del PM</w:t>
            </w:r>
          </w:p>
        </w:tc>
        <w:tc>
          <w:tcPr>
            <w:tcW w:w="832" w:type="dxa"/>
          </w:tcPr>
          <w:p w14:paraId="2A2CD1E4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147CE049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15B51CCD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601E9480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6E791075" w14:textId="77777777">
        <w:tc>
          <w:tcPr>
            <w:tcW w:w="1981" w:type="dxa"/>
          </w:tcPr>
          <w:p w14:paraId="30AE3AB3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Assenza di conflitti</w:t>
            </w:r>
          </w:p>
        </w:tc>
        <w:tc>
          <w:tcPr>
            <w:tcW w:w="1864" w:type="dxa"/>
          </w:tcPr>
          <w:p w14:paraId="270EA205" w14:textId="77777777" w:rsidR="001A1446" w:rsidRDefault="00000000">
            <w:r>
              <w:t xml:space="preserve">Le funzionalità introdotte non sono in contrasto, </w:t>
            </w:r>
            <w:r>
              <w:lastRenderedPageBreak/>
              <w:t>non modificano oppure migliorano i processi implementati nella piattaforma</w:t>
            </w:r>
          </w:p>
        </w:tc>
        <w:tc>
          <w:tcPr>
            <w:tcW w:w="1666" w:type="dxa"/>
          </w:tcPr>
          <w:p w14:paraId="776A6E1C" w14:textId="77777777" w:rsidR="001A1446" w:rsidRDefault="00000000">
            <w:r>
              <w:lastRenderedPageBreak/>
              <w:t>Valutazione da parte del PM</w:t>
            </w:r>
          </w:p>
        </w:tc>
        <w:tc>
          <w:tcPr>
            <w:tcW w:w="832" w:type="dxa"/>
          </w:tcPr>
          <w:p w14:paraId="490F0F46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61C9C7DF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15058EE1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1147118D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00607454" w14:textId="77777777">
        <w:tc>
          <w:tcPr>
            <w:tcW w:w="1981" w:type="dxa"/>
          </w:tcPr>
          <w:p w14:paraId="35794839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Impatto gestionale (sulla conduzione del sistema)</w:t>
            </w:r>
          </w:p>
        </w:tc>
        <w:tc>
          <w:tcPr>
            <w:tcW w:w="1864" w:type="dxa"/>
          </w:tcPr>
          <w:p w14:paraId="08D485F5" w14:textId="77777777" w:rsidR="001A1446" w:rsidRDefault="00000000">
            <w:r>
              <w:t xml:space="preserve">Il prodotto non introduce un eccessivo onere gestionale aggiuntivo (non previsto o non concordato) nei contesti diversi dall’affidatario </w:t>
            </w:r>
          </w:p>
        </w:tc>
        <w:tc>
          <w:tcPr>
            <w:tcW w:w="1666" w:type="dxa"/>
          </w:tcPr>
          <w:p w14:paraId="5C23B3E9" w14:textId="77777777" w:rsidR="001A1446" w:rsidRDefault="00000000">
            <w:r>
              <w:t>Valutazione da parte del PM</w:t>
            </w:r>
          </w:p>
        </w:tc>
        <w:tc>
          <w:tcPr>
            <w:tcW w:w="832" w:type="dxa"/>
          </w:tcPr>
          <w:p w14:paraId="60B9DC6A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5549C87D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0A9D5887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5159E2D9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A1446" w14:paraId="1626EBA0" w14:textId="77777777">
        <w:tc>
          <w:tcPr>
            <w:tcW w:w="1981" w:type="dxa"/>
          </w:tcPr>
          <w:p w14:paraId="0F5B77A9" w14:textId="77777777" w:rsidR="001A1446" w:rsidRDefault="0000000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Obiettivi strategici</w:t>
            </w:r>
          </w:p>
        </w:tc>
        <w:tc>
          <w:tcPr>
            <w:tcW w:w="1864" w:type="dxa"/>
          </w:tcPr>
          <w:p w14:paraId="430A4A44" w14:textId="77777777" w:rsidR="001A1446" w:rsidRDefault="00000000">
            <w:r>
              <w:t>Il prodotto è in linea oppure non incide sugli obiettivi strategici della piattaforma</w:t>
            </w:r>
          </w:p>
        </w:tc>
        <w:tc>
          <w:tcPr>
            <w:tcW w:w="1666" w:type="dxa"/>
          </w:tcPr>
          <w:p w14:paraId="7CCFD990" w14:textId="77777777" w:rsidR="001A1446" w:rsidRDefault="00000000">
            <w:r>
              <w:t>Valutazione da parte del PM</w:t>
            </w:r>
          </w:p>
        </w:tc>
        <w:tc>
          <w:tcPr>
            <w:tcW w:w="832" w:type="dxa"/>
          </w:tcPr>
          <w:p w14:paraId="4CDA6AF0" w14:textId="77777777" w:rsidR="001A1446" w:rsidRDefault="00000000">
            <w:r>
              <w:t>X</w:t>
            </w:r>
          </w:p>
        </w:tc>
        <w:tc>
          <w:tcPr>
            <w:tcW w:w="744" w:type="dxa"/>
          </w:tcPr>
          <w:p w14:paraId="72455C51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4" w:type="dxa"/>
          </w:tcPr>
          <w:p w14:paraId="69F3752D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7" w:type="dxa"/>
          </w:tcPr>
          <w:p w14:paraId="3BE332F6" w14:textId="77777777" w:rsidR="001A1446" w:rsidRDefault="001A1446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E2A0DF2" w14:textId="77777777" w:rsidR="001A1446" w:rsidRDefault="001A1446">
      <w:pPr>
        <w:rPr>
          <w:rFonts w:ascii="Calibri" w:hAnsi="Calibri"/>
        </w:rPr>
      </w:pPr>
    </w:p>
    <w:p w14:paraId="5E65FF4A" w14:textId="77777777" w:rsidR="001A1446" w:rsidRDefault="001A1446">
      <w:pPr>
        <w:rPr>
          <w:rFonts w:ascii="Calibri" w:hAnsi="Calibri"/>
        </w:rPr>
      </w:pPr>
    </w:p>
    <w:p w14:paraId="09FF95D3" w14:textId="77777777" w:rsidR="001A1446" w:rsidRDefault="001A1446">
      <w:pPr>
        <w:rPr>
          <w:rFonts w:ascii="Calibri" w:hAnsi="Calibri"/>
        </w:rPr>
      </w:pPr>
    </w:p>
    <w:sectPr w:rsidR="001A144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28" w:right="1134" w:bottom="181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A4AC" w14:textId="77777777" w:rsidR="00370730" w:rsidRDefault="00370730">
      <w:pPr>
        <w:spacing w:after="0" w:line="240" w:lineRule="auto"/>
      </w:pPr>
      <w:r>
        <w:separator/>
      </w:r>
    </w:p>
  </w:endnote>
  <w:endnote w:type="continuationSeparator" w:id="0">
    <w:p w14:paraId="572823F6" w14:textId="77777777" w:rsidR="00370730" w:rsidRDefault="0037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BF17" w14:textId="7A11C75D" w:rsidR="001A1446" w:rsidRDefault="00A63F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577403F" wp14:editId="052418AC">
          <wp:simplePos x="0" y="0"/>
          <wp:positionH relativeFrom="column">
            <wp:posOffset>-158750</wp:posOffset>
          </wp:positionH>
          <wp:positionV relativeFrom="paragraph">
            <wp:posOffset>24130</wp:posOffset>
          </wp:positionV>
          <wp:extent cx="1104900" cy="3143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rFonts w:ascii="Calibri" w:hAnsi="Calibri"/>
        <w:color w:val="000000"/>
      </w:rPr>
      <w:fldChar w:fldCharType="begin"/>
    </w:r>
    <w:r w:rsidR="00000000">
      <w:rPr>
        <w:rFonts w:ascii="Calibri" w:hAnsi="Calibri"/>
        <w:color w:val="000000"/>
      </w:rPr>
      <w:instrText>PAGE</w:instrText>
    </w:r>
    <w:r w:rsidR="00000000">
      <w:rPr>
        <w:rFonts w:ascii="Calibri" w:hAnsi="Calibri"/>
        <w:color w:val="000000"/>
      </w:rPr>
      <w:fldChar w:fldCharType="separate"/>
    </w:r>
    <w:r w:rsidR="00FB3569">
      <w:rPr>
        <w:rFonts w:ascii="Calibri" w:hAnsi="Calibri"/>
        <w:noProof/>
        <w:color w:val="000000"/>
      </w:rPr>
      <w:t>1</w:t>
    </w:r>
    <w:r w:rsidR="00000000">
      <w:rPr>
        <w:rFonts w:ascii="Calibri" w:hAnsi="Calibri"/>
        <w:color w:val="000000"/>
      </w:rPr>
      <w:fldChar w:fldCharType="end"/>
    </w:r>
  </w:p>
  <w:p w14:paraId="6871A9CC" w14:textId="26FAAED4" w:rsidR="001A1446" w:rsidRDefault="001A144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630"/>
        <w:tab w:val="left" w:pos="2250"/>
      </w:tabs>
      <w:spacing w:after="0" w:line="240" w:lineRule="auto"/>
      <w:jc w:val="left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56CB" w14:textId="77777777" w:rsidR="001A14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3009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33C4" w14:textId="77777777" w:rsidR="00370730" w:rsidRDefault="00370730">
      <w:pPr>
        <w:spacing w:after="0" w:line="240" w:lineRule="auto"/>
      </w:pPr>
      <w:r>
        <w:separator/>
      </w:r>
    </w:p>
  </w:footnote>
  <w:footnote w:type="continuationSeparator" w:id="0">
    <w:p w14:paraId="526A4A7A" w14:textId="77777777" w:rsidR="00370730" w:rsidRDefault="00370730">
      <w:pPr>
        <w:spacing w:after="0" w:line="240" w:lineRule="auto"/>
      </w:pPr>
      <w:r>
        <w:continuationSeparator/>
      </w:r>
    </w:p>
  </w:footnote>
  <w:footnote w:id="1">
    <w:p w14:paraId="7603F269" w14:textId="77777777" w:rsidR="001A1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2" w:name="_heading=h.lnxbz9" w:colFirst="0" w:colLast="0"/>
      <w:bookmarkEnd w:id="2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4D55" w14:textId="77777777" w:rsidR="001A14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215C022D" wp14:editId="61CC4F1D">
          <wp:extent cx="6108700" cy="609600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3D00" w14:textId="77777777" w:rsidR="001A1446" w:rsidRDefault="001A144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204290E" w14:textId="77777777" w:rsidR="001A1446" w:rsidRDefault="001A144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7D02"/>
    <w:multiLevelType w:val="multilevel"/>
    <w:tmpl w:val="0D864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B4102C"/>
    <w:multiLevelType w:val="multilevel"/>
    <w:tmpl w:val="2480C72C"/>
    <w:lvl w:ilvl="0">
      <w:start w:val="1"/>
      <w:numFmt w:val="bullet"/>
      <w:pStyle w:val="Titolo2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itolo3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tolo4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064937">
    <w:abstractNumId w:val="1"/>
  </w:num>
  <w:num w:numId="2" w16cid:durableId="149692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46"/>
    <w:rsid w:val="001A1446"/>
    <w:rsid w:val="002C2614"/>
    <w:rsid w:val="00370730"/>
    <w:rsid w:val="00470785"/>
    <w:rsid w:val="007573A5"/>
    <w:rsid w:val="00A63FA3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39C1"/>
  <w15:docId w15:val="{16B091AB-C981-4A7D-8B36-42FD948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1673"/>
    <w:rPr>
      <w:rFonts w:asciiTheme="majorHAnsi" w:hAnsiTheme="majorHAnsi"/>
    </w:rPr>
  </w:style>
  <w:style w:type="paragraph" w:styleId="Titolo1">
    <w:name w:val="heading 1"/>
    <w:next w:val="Normale"/>
    <w:link w:val="Titolo1Carattere"/>
    <w:uiPriority w:val="9"/>
    <w:qFormat/>
    <w:rsid w:val="003F1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3F1673"/>
    <w:pPr>
      <w:keepNext/>
      <w:numPr>
        <w:numId w:val="1"/>
      </w:numPr>
      <w:spacing w:before="240"/>
      <w:outlineLvl w:val="1"/>
    </w:pPr>
    <w:rPr>
      <w:rFonts w:ascii="Calibri Light" w:hAnsi="Calibri Light" w:cs="Calibri Light"/>
      <w:color w:val="1F4E79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3F1673"/>
    <w:pPr>
      <w:keepLines/>
      <w:numPr>
        <w:ilvl w:val="1"/>
      </w:numPr>
      <w:ind w:left="431" w:hanging="431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1673"/>
    <w:pPr>
      <w:keepNext/>
      <w:keepLines/>
      <w:numPr>
        <w:ilvl w:val="2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8A6D42"/>
    <w:pPr>
      <w:spacing w:after="0" w:line="240" w:lineRule="auto"/>
      <w:ind w:left="567"/>
      <w:contextualSpacing/>
      <w:jc w:val="left"/>
    </w:pPr>
    <w:rPr>
      <w:b/>
      <w:color w:val="2F5496" w:themeColor="accent1" w:themeShade="BF"/>
      <w:sz w:val="48"/>
      <w:szCs w:val="48"/>
    </w:rPr>
  </w:style>
  <w:style w:type="paragraph" w:styleId="Nessunaspaziatura">
    <w:name w:val="No Spacing"/>
    <w:uiPriority w:val="1"/>
    <w:qFormat/>
    <w:rsid w:val="003F1673"/>
    <w:pPr>
      <w:spacing w:after="0"/>
    </w:pPr>
    <w:rPr>
      <w:rFonts w:asciiTheme="majorHAnsi" w:hAnsiTheme="majorHAnsi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1673"/>
    <w:rPr>
      <w:rFonts w:ascii="Calibri Light" w:eastAsia="Calibri" w:hAnsi="Calibri Light" w:cs="Calibri Light"/>
      <w:color w:val="1F4E79"/>
      <w:sz w:val="28"/>
    </w:rPr>
  </w:style>
  <w:style w:type="paragraph" w:styleId="Paragrafoelenco">
    <w:name w:val="List Paragraph"/>
    <w:basedOn w:val="Normale"/>
    <w:link w:val="ParagrafoelencoCarattere"/>
    <w:uiPriority w:val="34"/>
    <w:qFormat/>
    <w:rsid w:val="003F1673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F1673"/>
    <w:rPr>
      <w:rFonts w:ascii="Calibri Light" w:eastAsiaTheme="majorEastAsia" w:hAnsi="Calibri Light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1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1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1673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3F1673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F1673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3F1673"/>
    <w:rPr>
      <w:vertAlign w:val="superscript"/>
    </w:rPr>
  </w:style>
  <w:style w:type="table" w:styleId="Tabellagriglia1chiara">
    <w:name w:val="Grid Table 1 Light"/>
    <w:basedOn w:val="Tabellanormale"/>
    <w:uiPriority w:val="46"/>
    <w:rsid w:val="003F16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F1673"/>
    <w:rPr>
      <w:rFonts w:asciiTheme="majorHAnsi" w:hAnsiTheme="majorHAnsi"/>
    </w:rPr>
  </w:style>
  <w:style w:type="paragraph" w:styleId="Pidipagina">
    <w:name w:val="footer"/>
    <w:basedOn w:val="Normale"/>
    <w:link w:val="PidipaginaCarattere"/>
    <w:uiPriority w:val="99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1673"/>
    <w:rPr>
      <w:rFonts w:asciiTheme="majorHAnsi" w:hAnsiTheme="majorHAnsi"/>
    </w:rPr>
  </w:style>
  <w:style w:type="character" w:customStyle="1" w:styleId="TitoloCarattere">
    <w:name w:val="Titolo Carattere"/>
    <w:basedOn w:val="Carpredefinitoparagrafo"/>
    <w:link w:val="Titolo"/>
    <w:uiPriority w:val="10"/>
    <w:rsid w:val="008A6D42"/>
    <w:rPr>
      <w:rFonts w:asciiTheme="majorHAnsi" w:hAnsiTheme="majorHAnsi"/>
      <w:b/>
      <w:color w:val="2F5496" w:themeColor="accent1" w:themeShade="BF"/>
      <w:sz w:val="48"/>
      <w:szCs w:val="4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6D42"/>
    <w:pPr>
      <w:keepLines w:val="0"/>
      <w:pBdr>
        <w:top w:val="single" w:sz="4" w:space="6" w:color="808080"/>
      </w:pBdr>
      <w:tabs>
        <w:tab w:val="num" w:pos="432"/>
      </w:tabs>
      <w:spacing w:before="480" w:line="276" w:lineRule="auto"/>
      <w:ind w:left="431" w:hanging="431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3F1673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F1673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F1673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F1673"/>
    <w:rPr>
      <w:color w:val="0563C1" w:themeColor="hyperlink"/>
      <w:u w:val="single"/>
    </w:rPr>
  </w:style>
  <w:style w:type="table" w:styleId="Grigliatabella">
    <w:name w:val="Table Grid"/>
    <w:basedOn w:val="Tabellanormale"/>
    <w:rsid w:val="00D3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35B15"/>
    <w:rPr>
      <w:rFonts w:asciiTheme="majorHAnsi" w:hAnsiTheme="majorHAns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A5C56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A5C5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ellanorma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egioneUmbria/V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PA-OpenCommunityPA/KIT-del-riuso-VBG---Regione-Umbri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rMtR+Qix71ryaX28Kzxnkmo7A==">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Piazza</dc:creator>
  <cp:lastModifiedBy>Nicoletta Cotechini</cp:lastModifiedBy>
  <cp:revision>6</cp:revision>
  <cp:lastPrinted>2022-10-29T08:37:00Z</cp:lastPrinted>
  <dcterms:created xsi:type="dcterms:W3CDTF">2022-05-13T16:14:00Z</dcterms:created>
  <dcterms:modified xsi:type="dcterms:W3CDTF">2022-10-29T08:38:00Z</dcterms:modified>
</cp:coreProperties>
</file>