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575496E7" w:rsidR="005441F9" w:rsidRPr="0045088B" w:rsidRDefault="000B3226" w:rsidP="00DD7646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2DFC20" wp14:editId="13684231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45088B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</w:pPr>
      <w:r w:rsidRPr="0045088B"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174B49C3" w:rsidR="00F532FE" w:rsidRPr="0045088B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- Ricerca e selezione della </w:t>
      </w:r>
      <w:r w:rsidR="00572BD8" w:rsidRPr="0045088B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73BAFE8E" w:rsidR="00F532FE" w:rsidRPr="0045088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organizzativi</w:t>
      </w:r>
    </w:p>
    <w:p w14:paraId="31F24209" w14:textId="766833A5" w:rsidR="00AA1C18" w:rsidRPr="0045088B" w:rsidRDefault="0047512E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7917F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Fattori organizzativi di successo</w:t>
      </w:r>
    </w:p>
    <w:p w14:paraId="40C8046E" w14:textId="2CD668F0" w:rsidR="00EC45A5" w:rsidRPr="0045088B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7917F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2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.2 </w:t>
      </w:r>
      <w:r w:rsidR="009E4190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Check list</w:t>
      </w:r>
      <w:r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di autovalutazione </w:t>
      </w:r>
      <w:r w:rsidR="00330B6E" w:rsidRPr="0045088B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dei fattori organizzativi</w:t>
      </w:r>
    </w:p>
    <w:p w14:paraId="309A334F" w14:textId="16675D02" w:rsidR="004D7760" w:rsidRPr="0045088B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45088B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6FB77496" w:rsidR="004D7760" w:rsidRPr="0045088B" w:rsidRDefault="004D7760" w:rsidP="004D7760">
      <w:pPr>
        <w:ind w:left="567"/>
        <w:rPr>
          <w:rFonts w:asciiTheme="minorHAnsi" w:hAnsiTheme="minorHAnsi" w:cstheme="minorHAnsi"/>
        </w:rPr>
      </w:pPr>
      <w:r w:rsidRPr="0045088B">
        <w:rPr>
          <w:rFonts w:asciiTheme="minorHAnsi" w:hAnsiTheme="minorHAnsi" w:cstheme="minorHAnsi"/>
        </w:rPr>
        <w:t xml:space="preserve">Versione: </w:t>
      </w:r>
      <w:r w:rsidR="004B7B96">
        <w:rPr>
          <w:rFonts w:asciiTheme="minorHAnsi" w:hAnsiTheme="minorHAnsi" w:cstheme="minorHAnsi"/>
        </w:rPr>
        <w:t>1.0</w:t>
      </w:r>
    </w:p>
    <w:p w14:paraId="40423BF5" w14:textId="75BCE0C7" w:rsidR="00DD7646" w:rsidRPr="0045088B" w:rsidRDefault="00DD7646" w:rsidP="00DD7646">
      <w:pPr>
        <w:rPr>
          <w:rFonts w:asciiTheme="minorHAnsi" w:hAnsiTheme="minorHAnsi" w:cstheme="minorHAnsi"/>
        </w:rPr>
      </w:pPr>
      <w:r w:rsidRPr="0045088B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OCHeading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2177BBCD" w14:textId="3817A337" w:rsidR="00330B6E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1274" w:history="1">
            <w:r w:rsidR="00330B6E" w:rsidRPr="00C4267E">
              <w:rPr>
                <w:rStyle w:val="Hyperlink"/>
                <w:noProof/>
              </w:rPr>
              <w:t>Premessa</w:t>
            </w:r>
            <w:r w:rsidR="00330B6E">
              <w:rPr>
                <w:noProof/>
                <w:webHidden/>
              </w:rPr>
              <w:tab/>
            </w:r>
            <w:r w:rsidR="004E0A03">
              <w:rPr>
                <w:noProof/>
                <w:webHidden/>
              </w:rPr>
              <w:t>3</w:t>
            </w:r>
          </w:hyperlink>
        </w:p>
        <w:p w14:paraId="096C7361" w14:textId="7C8E7E96" w:rsidR="00330B6E" w:rsidRDefault="00AD69D5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21275" w:history="1">
            <w:r w:rsidR="00330B6E" w:rsidRPr="00C4267E">
              <w:rPr>
                <w:rStyle w:val="Hyperlink"/>
                <w:noProof/>
              </w:rPr>
              <w:t>1.</w:t>
            </w:r>
            <w:r w:rsidR="00330B6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30B6E" w:rsidRPr="00C4267E">
              <w:rPr>
                <w:rStyle w:val="Hyperlink"/>
                <w:noProof/>
              </w:rPr>
              <w:t>Fattori organizzativi di successo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_Toc532221275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209303CB" w14:textId="0624346C" w:rsidR="00330B6E" w:rsidRDefault="00AD69D5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221276" w:history="1">
            <w:r w:rsidR="00330B6E" w:rsidRPr="00C4267E">
              <w:rPr>
                <w:rStyle w:val="Hyperlink"/>
                <w:noProof/>
              </w:rPr>
              <w:t>1.1.</w:t>
            </w:r>
            <w:r w:rsidR="00330B6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330B6E" w:rsidRPr="00C4267E">
              <w:rPr>
                <w:rStyle w:val="Hyperlink"/>
                <w:noProof/>
              </w:rPr>
              <w:t>Fattori organizzativi critici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_Toc532221276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43053506" w14:textId="0724DE45" w:rsidR="00330B6E" w:rsidRDefault="00AD69D5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532221277" w:history="1">
            <w:r w:rsidR="00330B6E" w:rsidRPr="00C4267E">
              <w:rPr>
                <w:rStyle w:val="Hyperlink"/>
                <w:noProof/>
              </w:rPr>
              <w:t>1.2.</w:t>
            </w:r>
            <w:r w:rsidR="00330B6E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330B6E" w:rsidRPr="00C4267E">
              <w:rPr>
                <w:rStyle w:val="Hyperlink"/>
                <w:noProof/>
              </w:rPr>
              <w:t>Impatto dei fattori organizzativi critici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_Toc532221277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3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39CFFC73" w14:textId="50F6C462" w:rsidR="00330B6E" w:rsidRDefault="00AD69D5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21278" w:history="1">
            <w:r w:rsidR="00330B6E" w:rsidRPr="00C4267E">
              <w:rPr>
                <w:rStyle w:val="Hyperlink"/>
                <w:noProof/>
              </w:rPr>
              <w:t>2.</w:t>
            </w:r>
            <w:r w:rsidR="00330B6E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330B6E" w:rsidRPr="00C4267E">
              <w:rPr>
                <w:rStyle w:val="Hyperlink"/>
                <w:noProof/>
              </w:rPr>
              <w:t>Check list di autovalutazione dei fattori organizzativi</w:t>
            </w:r>
            <w:r w:rsidR="00330B6E">
              <w:rPr>
                <w:noProof/>
                <w:webHidden/>
              </w:rPr>
              <w:tab/>
            </w:r>
            <w:r w:rsidR="00330B6E">
              <w:rPr>
                <w:noProof/>
                <w:webHidden/>
              </w:rPr>
              <w:fldChar w:fldCharType="begin"/>
            </w:r>
            <w:r w:rsidR="00330B6E">
              <w:rPr>
                <w:noProof/>
                <w:webHidden/>
              </w:rPr>
              <w:instrText xml:space="preserve"> PAGEREF _Toc532221278 \h </w:instrText>
            </w:r>
            <w:r w:rsidR="00330B6E">
              <w:rPr>
                <w:noProof/>
                <w:webHidden/>
              </w:rPr>
            </w:r>
            <w:r w:rsidR="00330B6E">
              <w:rPr>
                <w:noProof/>
                <w:webHidden/>
              </w:rPr>
              <w:fldChar w:fldCharType="separate"/>
            </w:r>
            <w:r w:rsidR="004E0A03">
              <w:rPr>
                <w:noProof/>
                <w:webHidden/>
              </w:rPr>
              <w:t>4</w:t>
            </w:r>
            <w:r w:rsidR="00330B6E">
              <w:rPr>
                <w:noProof/>
                <w:webHidden/>
              </w:rPr>
              <w:fldChar w:fldCharType="end"/>
            </w:r>
          </w:hyperlink>
        </w:p>
        <w:p w14:paraId="620CD876" w14:textId="30F4268D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2B4C13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532221274"/>
      <w:r w:rsidRPr="002B4C13">
        <w:rPr>
          <w:rFonts w:asciiTheme="minorHAnsi" w:hAnsiTheme="minorHAnsi" w:cstheme="minorHAnsi"/>
        </w:rPr>
        <w:t>Premessa</w:t>
      </w:r>
      <w:bookmarkEnd w:id="1"/>
    </w:p>
    <w:p w14:paraId="2EDB3CB4" w14:textId="2934B4B9" w:rsidR="0047512E" w:rsidRPr="002B4C13" w:rsidRDefault="00955EDE" w:rsidP="0047512E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Il presente documento </w:t>
      </w:r>
      <w:r w:rsidR="00F532FE" w:rsidRPr="002B4C13">
        <w:rPr>
          <w:rFonts w:asciiTheme="minorHAnsi" w:hAnsiTheme="minorHAnsi" w:cstheme="minorHAnsi"/>
        </w:rPr>
        <w:t xml:space="preserve">raccoglie </w:t>
      </w:r>
      <w:r w:rsidR="0047512E" w:rsidRPr="002B4C13">
        <w:rPr>
          <w:rFonts w:asciiTheme="minorHAnsi" w:hAnsiTheme="minorHAnsi" w:cstheme="minorHAnsi"/>
        </w:rPr>
        <w:t xml:space="preserve">gli strumenti </w:t>
      </w:r>
      <w:r w:rsidR="009E4190" w:rsidRPr="002B4C13">
        <w:rPr>
          <w:rFonts w:asciiTheme="minorHAnsi" w:hAnsiTheme="minorHAnsi" w:cstheme="minorHAnsi"/>
        </w:rPr>
        <w:t>organizzativi</w:t>
      </w:r>
      <w:r w:rsidR="0047512E" w:rsidRPr="002B4C13">
        <w:rPr>
          <w:rFonts w:asciiTheme="minorHAnsi" w:hAnsiTheme="minorHAnsi" w:cstheme="minorHAnsi"/>
        </w:rPr>
        <w:t xml:space="preserve"> del kit di riuso per la fase A – Ricerca e selezione della </w:t>
      </w:r>
      <w:r w:rsidR="00572BD8" w:rsidRPr="002B4C13">
        <w:rPr>
          <w:rFonts w:asciiTheme="minorHAnsi" w:hAnsiTheme="minorHAnsi" w:cstheme="minorHAnsi"/>
        </w:rPr>
        <w:t>soluzione</w:t>
      </w:r>
      <w:r w:rsidR="0047512E" w:rsidRPr="002B4C13">
        <w:rPr>
          <w:rFonts w:asciiTheme="minorHAnsi" w:hAnsiTheme="minorHAnsi" w:cstheme="minorHAnsi"/>
        </w:rPr>
        <w:t xml:space="preserve">. </w:t>
      </w:r>
      <w:bookmarkStart w:id="2" w:name="_Hlk532207513"/>
      <w:r w:rsidR="00CC77CF" w:rsidRPr="002B4C13">
        <w:rPr>
          <w:rFonts w:asciiTheme="minorHAnsi" w:hAnsiTheme="minorHAnsi" w:cstheme="minorHAnsi"/>
        </w:rPr>
        <w:t>Essi</w:t>
      </w:r>
      <w:r w:rsidR="00F532FE" w:rsidRPr="002B4C13">
        <w:rPr>
          <w:rFonts w:asciiTheme="minorHAnsi" w:hAnsiTheme="minorHAnsi" w:cstheme="minorHAnsi"/>
        </w:rPr>
        <w:t>, come previsto dall’Avviso OCPA2020</w:t>
      </w:r>
      <w:r w:rsidR="00F532FE" w:rsidRPr="002B4C13">
        <w:rPr>
          <w:rStyle w:val="FootnoteReference"/>
          <w:rFonts w:asciiTheme="minorHAnsi" w:hAnsiTheme="minorHAnsi" w:cstheme="minorHAnsi"/>
        </w:rPr>
        <w:footnoteReference w:id="1"/>
      </w:r>
      <w:r w:rsidR="00F532FE" w:rsidRPr="002B4C13">
        <w:rPr>
          <w:rFonts w:asciiTheme="minorHAnsi" w:hAnsiTheme="minorHAnsi" w:cstheme="minorHAnsi"/>
        </w:rPr>
        <w:t>,</w:t>
      </w:r>
      <w:r w:rsidR="0047512E" w:rsidRPr="002B4C13">
        <w:rPr>
          <w:rFonts w:asciiTheme="minorHAnsi" w:hAnsiTheme="minorHAnsi" w:cstheme="minorHAnsi"/>
        </w:rPr>
        <w:t xml:space="preserve"> hanno lo scopo di </w:t>
      </w:r>
      <w:r w:rsidR="009E4190" w:rsidRPr="002B4C13">
        <w:rPr>
          <w:rFonts w:asciiTheme="minorHAnsi" w:hAnsiTheme="minorHAnsi" w:cstheme="minorHAnsi"/>
        </w:rPr>
        <w:t xml:space="preserve">fornire al riusante un modo per valutare i fattori </w:t>
      </w:r>
      <w:r w:rsidR="00CC77CF" w:rsidRPr="002B4C13">
        <w:rPr>
          <w:rFonts w:asciiTheme="minorHAnsi" w:hAnsiTheme="minorHAnsi" w:cstheme="minorHAnsi"/>
        </w:rPr>
        <w:t xml:space="preserve">relativi </w:t>
      </w:r>
      <w:r w:rsidR="009E4190" w:rsidRPr="002B4C13">
        <w:rPr>
          <w:rFonts w:asciiTheme="minorHAnsi" w:hAnsiTheme="minorHAnsi" w:cstheme="minorHAnsi"/>
        </w:rPr>
        <w:t>interni ed esterni alla propria realtà che possono influenzare</w:t>
      </w:r>
      <w:r w:rsidR="00775B0D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positivamente o negativamente</w:t>
      </w:r>
      <w:r w:rsidR="00775B0D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il trasferimento e l’adozione della </w:t>
      </w:r>
      <w:r w:rsidR="00572BD8" w:rsidRPr="002B4C13">
        <w:rPr>
          <w:rFonts w:asciiTheme="minorHAnsi" w:hAnsiTheme="minorHAnsi" w:cstheme="minorHAnsi"/>
        </w:rPr>
        <w:t>soluzione</w:t>
      </w:r>
      <w:r w:rsidR="009E4190" w:rsidRPr="002B4C13">
        <w:rPr>
          <w:rFonts w:asciiTheme="minorHAnsi" w:hAnsiTheme="minorHAnsi" w:cstheme="minorHAnsi"/>
        </w:rPr>
        <w:t>.</w:t>
      </w:r>
    </w:p>
    <w:p w14:paraId="4FC8E1E9" w14:textId="33CC1E41" w:rsidR="00AB5443" w:rsidRPr="002B4C13" w:rsidRDefault="009E4190" w:rsidP="001376B7">
      <w:pPr>
        <w:pStyle w:val="Heading2"/>
        <w:rPr>
          <w:rFonts w:asciiTheme="minorHAnsi" w:hAnsiTheme="minorHAnsi" w:cstheme="minorHAnsi"/>
        </w:rPr>
      </w:pPr>
      <w:bookmarkStart w:id="4" w:name="_Toc532221275"/>
      <w:bookmarkEnd w:id="2"/>
      <w:r w:rsidRPr="002B4C13">
        <w:rPr>
          <w:rFonts w:asciiTheme="minorHAnsi" w:hAnsiTheme="minorHAnsi" w:cstheme="minorHAnsi"/>
        </w:rPr>
        <w:t xml:space="preserve">Fattori organizzativi </w:t>
      </w:r>
      <w:bookmarkEnd w:id="4"/>
      <w:r w:rsidR="00E22FEE" w:rsidRPr="002B4C13">
        <w:rPr>
          <w:rFonts w:asciiTheme="minorHAnsi" w:hAnsiTheme="minorHAnsi" w:cstheme="minorHAnsi"/>
        </w:rPr>
        <w:t>abilitanti e ostacolanti</w:t>
      </w:r>
    </w:p>
    <w:p w14:paraId="688F78DD" w14:textId="0D4F39A2" w:rsidR="001376B7" w:rsidRPr="002B4C13" w:rsidRDefault="00CC77CF" w:rsidP="001376B7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Utile</w:t>
      </w:r>
      <w:r w:rsidR="00430E17">
        <w:rPr>
          <w:rFonts w:asciiTheme="minorHAnsi" w:hAnsiTheme="minorHAnsi" w:cstheme="minorHAnsi"/>
        </w:rPr>
        <w:t>,</w:t>
      </w:r>
      <w:r w:rsidRPr="002B4C13">
        <w:rPr>
          <w:rFonts w:asciiTheme="minorHAnsi" w:hAnsiTheme="minorHAnsi" w:cstheme="minorHAnsi"/>
        </w:rPr>
        <w:t xml:space="preserve"> a</w:t>
      </w:r>
      <w:r w:rsidR="00430E17">
        <w:rPr>
          <w:rFonts w:asciiTheme="minorHAnsi" w:hAnsiTheme="minorHAnsi" w:cstheme="minorHAnsi"/>
        </w:rPr>
        <w:t>l</w:t>
      </w:r>
      <w:r w:rsidRPr="002B4C13">
        <w:rPr>
          <w:rFonts w:asciiTheme="minorHAnsi" w:hAnsiTheme="minorHAnsi" w:cstheme="minorHAnsi"/>
        </w:rPr>
        <w:t xml:space="preserve"> riguardo</w:t>
      </w:r>
      <w:r w:rsidR="00430E17">
        <w:rPr>
          <w:rFonts w:asciiTheme="minorHAnsi" w:hAnsiTheme="minorHAnsi" w:cstheme="minorHAnsi"/>
        </w:rPr>
        <w:t>,</w:t>
      </w:r>
      <w:r w:rsidRPr="002B4C13">
        <w:rPr>
          <w:rFonts w:asciiTheme="minorHAnsi" w:hAnsiTheme="minorHAnsi" w:cstheme="minorHAnsi"/>
        </w:rPr>
        <w:t xml:space="preserve"> è sicuramente </w:t>
      </w:r>
      <w:r w:rsidR="009E4190" w:rsidRPr="002B4C13">
        <w:rPr>
          <w:rFonts w:asciiTheme="minorHAnsi" w:hAnsiTheme="minorHAnsi" w:cstheme="minorHAnsi"/>
        </w:rPr>
        <w:t>l’esperienza delle Amministrazioni che</w:t>
      </w:r>
      <w:r w:rsidR="00306EE1">
        <w:rPr>
          <w:rFonts w:asciiTheme="minorHAnsi" w:hAnsiTheme="minorHAnsi" w:cstheme="minorHAnsi"/>
        </w:rPr>
        <w:t>, avendo in precedenza</w:t>
      </w:r>
      <w:r w:rsidR="009E4190" w:rsidRPr="002B4C13">
        <w:rPr>
          <w:rFonts w:asciiTheme="minorHAnsi" w:hAnsiTheme="minorHAnsi" w:cstheme="minorHAnsi"/>
        </w:rPr>
        <w:t xml:space="preserve"> adottato la </w:t>
      </w:r>
      <w:r w:rsidR="00572BD8" w:rsidRPr="002B4C13">
        <w:rPr>
          <w:rFonts w:asciiTheme="minorHAnsi" w:hAnsiTheme="minorHAnsi" w:cstheme="minorHAnsi"/>
        </w:rPr>
        <w:t>soluzione</w:t>
      </w:r>
      <w:r w:rsidR="00BA0502">
        <w:rPr>
          <w:rFonts w:asciiTheme="minorHAnsi" w:hAnsiTheme="minorHAnsi" w:cstheme="minorHAnsi"/>
        </w:rPr>
        <w:t>,</w:t>
      </w:r>
      <w:r w:rsidR="009E4190" w:rsidRPr="002B4C13">
        <w:rPr>
          <w:rFonts w:asciiTheme="minorHAnsi" w:hAnsiTheme="minorHAnsi" w:cstheme="minorHAnsi"/>
        </w:rPr>
        <w:t xml:space="preserve"> </w:t>
      </w:r>
      <w:r w:rsidR="00BA0502">
        <w:rPr>
          <w:rFonts w:asciiTheme="minorHAnsi" w:hAnsiTheme="minorHAnsi" w:cstheme="minorHAnsi"/>
        </w:rPr>
        <w:t>hanno</w:t>
      </w:r>
      <w:r w:rsidR="00E22FEE" w:rsidRPr="002B4C13">
        <w:rPr>
          <w:rFonts w:asciiTheme="minorHAnsi" w:hAnsiTheme="minorHAnsi" w:cstheme="minorHAnsi"/>
        </w:rPr>
        <w:t xml:space="preserve"> individuato e descritto</w:t>
      </w:r>
      <w:r w:rsidR="006A4F7B">
        <w:rPr>
          <w:rFonts w:asciiTheme="minorHAnsi" w:hAnsiTheme="minorHAnsi" w:cstheme="minorHAnsi"/>
        </w:rPr>
        <w:t xml:space="preserve"> sia</w:t>
      </w:r>
      <w:r w:rsidR="00E22FEE" w:rsidRPr="002B4C13">
        <w:rPr>
          <w:rFonts w:asciiTheme="minorHAnsi" w:hAnsiTheme="minorHAnsi" w:cstheme="minorHAnsi"/>
        </w:rPr>
        <w:t xml:space="preserve"> i</w:t>
      </w:r>
      <w:r w:rsidR="009E4190" w:rsidRPr="002B4C13">
        <w:rPr>
          <w:rFonts w:asciiTheme="minorHAnsi" w:hAnsiTheme="minorHAnsi" w:cstheme="minorHAnsi"/>
        </w:rPr>
        <w:t xml:space="preserve"> fattori che hanno maggiormente contribuito al successo nell’adozione </w:t>
      </w:r>
      <w:r w:rsidR="00E22FEE" w:rsidRPr="002B4C13">
        <w:rPr>
          <w:rFonts w:asciiTheme="minorHAnsi" w:hAnsiTheme="minorHAnsi" w:cstheme="minorHAnsi"/>
        </w:rPr>
        <w:t>del riuso</w:t>
      </w:r>
      <w:r w:rsidR="009E4190" w:rsidRPr="002B4C13">
        <w:rPr>
          <w:rFonts w:asciiTheme="minorHAnsi" w:hAnsiTheme="minorHAnsi" w:cstheme="minorHAnsi"/>
        </w:rPr>
        <w:t xml:space="preserve">, </w:t>
      </w:r>
      <w:r w:rsidR="006A4F7B">
        <w:rPr>
          <w:rFonts w:asciiTheme="minorHAnsi" w:hAnsiTheme="minorHAnsi" w:cstheme="minorHAnsi"/>
        </w:rPr>
        <w:t>sia quelli ostacolanti.</w:t>
      </w:r>
      <w:r w:rsidR="005970ED" w:rsidRPr="002B4C13">
        <w:rPr>
          <w:rFonts w:asciiTheme="minorHAnsi" w:hAnsiTheme="minorHAnsi" w:cstheme="minorHAnsi"/>
        </w:rPr>
        <w:t xml:space="preserve"> </w:t>
      </w:r>
    </w:p>
    <w:p w14:paraId="631CB297" w14:textId="109883DD" w:rsidR="000A16A9" w:rsidRPr="002B4C13" w:rsidRDefault="005970ED" w:rsidP="001376B7">
      <w:pPr>
        <w:pStyle w:val="Heading3"/>
        <w:rPr>
          <w:rFonts w:asciiTheme="minorHAnsi" w:hAnsiTheme="minorHAnsi" w:cstheme="minorHAnsi"/>
        </w:rPr>
      </w:pPr>
      <w:bookmarkStart w:id="5" w:name="_Toc532221276"/>
      <w:r w:rsidRPr="002B4C13">
        <w:rPr>
          <w:rFonts w:asciiTheme="minorHAnsi" w:hAnsiTheme="minorHAnsi" w:cstheme="minorHAnsi"/>
        </w:rPr>
        <w:t>Fa</w:t>
      </w:r>
      <w:r w:rsidR="009E4190" w:rsidRPr="002B4C13">
        <w:rPr>
          <w:rFonts w:asciiTheme="minorHAnsi" w:hAnsiTheme="minorHAnsi" w:cstheme="minorHAnsi"/>
        </w:rPr>
        <w:t xml:space="preserve">ttori organizzativi </w:t>
      </w:r>
      <w:bookmarkEnd w:id="5"/>
      <w:r w:rsidR="00E22FEE" w:rsidRPr="002B4C13">
        <w:rPr>
          <w:rFonts w:asciiTheme="minorHAnsi" w:hAnsiTheme="minorHAnsi" w:cstheme="minorHAnsi"/>
        </w:rPr>
        <w:t>individuati per l’esperienza</w:t>
      </w:r>
    </w:p>
    <w:p w14:paraId="29B27CC5" w14:textId="77777777" w:rsidR="00046225" w:rsidRDefault="00046225" w:rsidP="001848FE">
      <w:pPr>
        <w:rPr>
          <w:rFonts w:asciiTheme="minorHAnsi" w:hAnsiTheme="minorHAnsi" w:cstheme="minorHAnsi"/>
          <w:i/>
          <w:iCs/>
          <w:sz w:val="20"/>
          <w:szCs w:val="20"/>
        </w:rPr>
      </w:pPr>
      <w:bookmarkStart w:id="6" w:name="_Hlk531093388"/>
      <w:r w:rsidRPr="00046225">
        <w:rPr>
          <w:rFonts w:asciiTheme="minorHAnsi" w:hAnsiTheme="minorHAnsi" w:cstheme="minorHAnsi"/>
          <w:i/>
          <w:iCs/>
          <w:sz w:val="20"/>
          <w:szCs w:val="20"/>
        </w:rPr>
        <w:t>Si riporta, di seguito, a titolo di esempio, un contributo dimostrativo per la redazione del testo da parte del cedente.</w:t>
      </w:r>
    </w:p>
    <w:p w14:paraId="515CAD89" w14:textId="1747FDDB" w:rsidR="001848FE" w:rsidRPr="002B4C13" w:rsidRDefault="00E22FEE" w:rsidP="001848FE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 </w:t>
      </w:r>
      <w:r w:rsidR="00A668B3">
        <w:rPr>
          <w:rFonts w:asciiTheme="minorHAnsi" w:hAnsiTheme="minorHAnsi" w:cstheme="minorHAnsi"/>
        </w:rPr>
        <w:t>Elenco</w:t>
      </w:r>
      <w:r w:rsidR="001848FE" w:rsidRPr="002B4C13">
        <w:rPr>
          <w:rFonts w:asciiTheme="minorHAnsi" w:hAnsiTheme="minorHAnsi" w:cstheme="minorHAnsi"/>
        </w:rPr>
        <w:t xml:space="preserve"> e descrizione dei fattori </w:t>
      </w:r>
      <w:r w:rsidRPr="002B4C13">
        <w:rPr>
          <w:rFonts w:asciiTheme="minorHAnsi" w:hAnsiTheme="minorHAnsi" w:cstheme="minorHAnsi"/>
        </w:rPr>
        <w:t xml:space="preserve">abilitanti e ostacolanti per </w:t>
      </w:r>
      <w:r w:rsidR="001848FE" w:rsidRPr="002B4C13">
        <w:rPr>
          <w:rFonts w:asciiTheme="minorHAnsi" w:hAnsiTheme="minorHAnsi" w:cstheme="minorHAnsi"/>
        </w:rPr>
        <w:t>l’esperienza</w:t>
      </w:r>
      <w:r w:rsidRPr="002B4C13">
        <w:rPr>
          <w:rFonts w:asciiTheme="minorHAnsi" w:hAnsiTheme="minorHAnsi" w:cstheme="minorHAnsi"/>
        </w:rPr>
        <w:t xml:space="preserve"> (</w:t>
      </w:r>
      <w:r w:rsidRPr="002B4C13">
        <w:rPr>
          <w:rFonts w:asciiTheme="minorHAnsi" w:hAnsiTheme="minorHAnsi" w:cstheme="minorHAnsi"/>
          <w:i/>
          <w:iCs/>
        </w:rPr>
        <w:t xml:space="preserve">si veda </w:t>
      </w:r>
      <w:r w:rsidR="008B2A5E">
        <w:rPr>
          <w:rFonts w:asciiTheme="minorHAnsi" w:hAnsiTheme="minorHAnsi" w:cstheme="minorHAnsi"/>
          <w:i/>
          <w:iCs/>
        </w:rPr>
        <w:t>allegato</w:t>
      </w:r>
      <w:r w:rsidRPr="002B4C13">
        <w:rPr>
          <w:rFonts w:asciiTheme="minorHAnsi" w:hAnsiTheme="minorHAnsi" w:cstheme="minorHAnsi"/>
          <w:i/>
          <w:iCs/>
        </w:rPr>
        <w:t xml:space="preserve"> “A2R”</w:t>
      </w:r>
      <w:r w:rsidRPr="002B4C13">
        <w:rPr>
          <w:rFonts w:asciiTheme="minorHAnsi" w:hAnsiTheme="minorHAnsi" w:cstheme="minorHAnsi"/>
        </w:rPr>
        <w:t>):</w:t>
      </w:r>
    </w:p>
    <w:p w14:paraId="179E7142" w14:textId="77777777" w:rsidR="001848FE" w:rsidRPr="00023758" w:rsidRDefault="001848FE" w:rsidP="001848F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Caratteristiche interne all’Amministrazione riusante: </w:t>
      </w:r>
    </w:p>
    <w:p w14:paraId="21BE9A3C" w14:textId="42B9A0FD" w:rsidR="001848FE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tipologia di Ente target</w:t>
      </w:r>
    </w:p>
    <w:p w14:paraId="4AAAF728" w14:textId="55F7BC93" w:rsidR="001848FE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assetto organizzativo adottato dall’Ente nel corso del processo di trasferimento e/o a regime</w:t>
      </w:r>
    </w:p>
    <w:p w14:paraId="5E91D592" w14:textId="4E67EA55" w:rsidR="001848FE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competenze rilevanti/specialistiche dei differenti attori</w:t>
      </w:r>
    </w:p>
    <w:p w14:paraId="6B7A367C" w14:textId="78E0C308" w:rsidR="001848FE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commitment politico</w:t>
      </w:r>
      <w:r w:rsidR="00CB0B4D" w:rsidRPr="00023758">
        <w:rPr>
          <w:rFonts w:asciiTheme="minorHAnsi" w:hAnsiTheme="minorHAnsi" w:cstheme="minorHAnsi"/>
          <w:sz w:val="20"/>
          <w:szCs w:val="20"/>
        </w:rPr>
        <w:t>/</w:t>
      </w:r>
      <w:r w:rsidRPr="00023758">
        <w:rPr>
          <w:rFonts w:asciiTheme="minorHAnsi" w:hAnsiTheme="minorHAnsi" w:cstheme="minorHAnsi"/>
          <w:sz w:val="20"/>
          <w:szCs w:val="20"/>
        </w:rPr>
        <w:t>grado di integrazione tra livello politico e amministrativo;</w:t>
      </w:r>
    </w:p>
    <w:p w14:paraId="61A6EF6F" w14:textId="43E0AD9A" w:rsidR="00CB0B4D" w:rsidRPr="00023758" w:rsidRDefault="00CB0B4D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…</w:t>
      </w:r>
    </w:p>
    <w:p w14:paraId="75F263D8" w14:textId="315A705A" w:rsidR="001848FE" w:rsidRPr="00023758" w:rsidRDefault="001848FE" w:rsidP="001848F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Caratteristiche del contesto </w:t>
      </w:r>
      <w:r w:rsidR="00E22FEE" w:rsidRPr="00023758">
        <w:rPr>
          <w:rFonts w:asciiTheme="minorHAnsi" w:hAnsiTheme="minorHAnsi" w:cstheme="minorHAnsi"/>
          <w:sz w:val="20"/>
          <w:szCs w:val="20"/>
        </w:rPr>
        <w:t>esterno a</w:t>
      </w:r>
      <w:r w:rsidRPr="00023758">
        <w:rPr>
          <w:rFonts w:asciiTheme="minorHAnsi" w:hAnsiTheme="minorHAnsi" w:cstheme="minorHAnsi"/>
          <w:sz w:val="20"/>
          <w:szCs w:val="20"/>
        </w:rPr>
        <w:t xml:space="preserve">ll’Amministrazione riusante: </w:t>
      </w:r>
    </w:p>
    <w:p w14:paraId="5AB9E533" w14:textId="194BAEE2" w:rsidR="00CB0B4D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relazione con altri livelli istituzionali</w:t>
      </w:r>
      <w:r w:rsidR="00CB0B4D" w:rsidRPr="00023758">
        <w:rPr>
          <w:rFonts w:asciiTheme="minorHAnsi" w:hAnsiTheme="minorHAnsi" w:cstheme="minorHAnsi"/>
          <w:sz w:val="20"/>
          <w:szCs w:val="20"/>
        </w:rPr>
        <w:t>/</w:t>
      </w:r>
      <w:r w:rsidRPr="00023758">
        <w:rPr>
          <w:rFonts w:asciiTheme="minorHAnsi" w:hAnsiTheme="minorHAnsi" w:cstheme="minorHAnsi"/>
          <w:sz w:val="20"/>
          <w:szCs w:val="20"/>
        </w:rPr>
        <w:t>altri stakeholder – inhouse</w:t>
      </w:r>
    </w:p>
    <w:p w14:paraId="21755F3D" w14:textId="6802C7F6" w:rsidR="001848FE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>cittadini</w:t>
      </w:r>
      <w:r w:rsidR="00CB0B4D" w:rsidRPr="00023758">
        <w:rPr>
          <w:rFonts w:asciiTheme="minorHAnsi" w:hAnsiTheme="minorHAnsi" w:cstheme="minorHAnsi"/>
          <w:sz w:val="20"/>
          <w:szCs w:val="20"/>
        </w:rPr>
        <w:t>/soggetti</w:t>
      </w:r>
      <w:r w:rsidRPr="00023758">
        <w:rPr>
          <w:rFonts w:asciiTheme="minorHAnsi" w:hAnsiTheme="minorHAnsi" w:cstheme="minorHAnsi"/>
          <w:sz w:val="20"/>
          <w:szCs w:val="20"/>
        </w:rPr>
        <w:t xml:space="preserve"> sul territorio che possono contribuire fattivamente alla realizzazione del progetto;</w:t>
      </w:r>
    </w:p>
    <w:p w14:paraId="0F89A45B" w14:textId="41AA6836" w:rsidR="00CB0B4D" w:rsidRPr="00023758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23758">
        <w:rPr>
          <w:rFonts w:asciiTheme="minorHAnsi" w:hAnsiTheme="minorHAnsi" w:cstheme="minorHAnsi"/>
          <w:sz w:val="20"/>
          <w:szCs w:val="20"/>
        </w:rPr>
        <w:t xml:space="preserve">esistenza ed accessibilità ad un mercato di fornitori connessi alla </w:t>
      </w:r>
      <w:r w:rsidR="00572BD8" w:rsidRPr="00023758">
        <w:rPr>
          <w:rFonts w:asciiTheme="minorHAnsi" w:hAnsiTheme="minorHAnsi" w:cstheme="minorHAnsi"/>
          <w:sz w:val="20"/>
          <w:szCs w:val="20"/>
        </w:rPr>
        <w:t>soluzione</w:t>
      </w:r>
      <w:r w:rsidRPr="00023758">
        <w:rPr>
          <w:rFonts w:asciiTheme="minorHAnsi" w:hAnsiTheme="minorHAnsi" w:cstheme="minorHAnsi"/>
          <w:sz w:val="20"/>
          <w:szCs w:val="20"/>
        </w:rPr>
        <w:t xml:space="preserve"> e relative caratteristiche (sviluppatori, supporto formativo/consulenziale specializzato); </w:t>
      </w:r>
    </w:p>
    <w:p w14:paraId="4A892B75" w14:textId="4DBE1071" w:rsidR="001848FE" w:rsidRPr="002B4C13" w:rsidRDefault="001848FE" w:rsidP="001848FE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i/>
          <w:iCs/>
          <w:sz w:val="20"/>
          <w:szCs w:val="20"/>
        </w:rPr>
      </w:pPr>
      <w:r w:rsidRPr="002B4C13">
        <w:rPr>
          <w:rFonts w:asciiTheme="minorHAnsi" w:hAnsiTheme="minorHAnsi" w:cstheme="minorHAnsi"/>
          <w:i/>
          <w:iCs/>
          <w:sz w:val="20"/>
          <w:szCs w:val="20"/>
        </w:rPr>
        <w:t>…</w:t>
      </w:r>
    </w:p>
    <w:p w14:paraId="66E6CC7B" w14:textId="3074B0A3" w:rsidR="005970ED" w:rsidRPr="002B4C13" w:rsidRDefault="001848FE" w:rsidP="005970ED">
      <w:pPr>
        <w:pStyle w:val="Heading3"/>
        <w:rPr>
          <w:rFonts w:asciiTheme="minorHAnsi" w:hAnsiTheme="minorHAnsi" w:cstheme="minorHAnsi"/>
        </w:rPr>
      </w:pPr>
      <w:bookmarkStart w:id="7" w:name="_Toc532221277"/>
      <w:r w:rsidRPr="002B4C13">
        <w:rPr>
          <w:rFonts w:asciiTheme="minorHAnsi" w:hAnsiTheme="minorHAnsi" w:cstheme="minorHAnsi"/>
        </w:rPr>
        <w:t xml:space="preserve">Impatto dei fattori </w:t>
      </w:r>
      <w:bookmarkEnd w:id="7"/>
      <w:r w:rsidR="00E22FEE" w:rsidRPr="002B4C13">
        <w:rPr>
          <w:rFonts w:asciiTheme="minorHAnsi" w:hAnsiTheme="minorHAnsi" w:cstheme="minorHAnsi"/>
        </w:rPr>
        <w:t>sul Processo di riuso</w:t>
      </w:r>
    </w:p>
    <w:bookmarkEnd w:id="6"/>
    <w:p w14:paraId="65202F26" w14:textId="7394A874" w:rsidR="00F532FE" w:rsidRPr="00AD69D5" w:rsidRDefault="008958EA" w:rsidP="001848FE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 la redazione della presente sezione dedicata agli</w:t>
      </w:r>
      <w:r w:rsidR="007D4335" w:rsidRPr="002B4C13">
        <w:rPr>
          <w:rFonts w:asciiTheme="minorHAnsi" w:hAnsiTheme="minorHAnsi" w:cstheme="minorHAnsi"/>
        </w:rPr>
        <w:t xml:space="preserve"> impatti e </w:t>
      </w:r>
      <w:r>
        <w:rPr>
          <w:rFonts w:asciiTheme="minorHAnsi" w:hAnsiTheme="minorHAnsi" w:cstheme="minorHAnsi"/>
        </w:rPr>
        <w:t>alle</w:t>
      </w:r>
      <w:r w:rsidR="007D4335" w:rsidRPr="002B4C13">
        <w:rPr>
          <w:rFonts w:asciiTheme="minorHAnsi" w:hAnsiTheme="minorHAnsi" w:cstheme="minorHAnsi"/>
        </w:rPr>
        <w:t xml:space="preserve"> strateg</w:t>
      </w:r>
      <w:r w:rsidR="00AA3739">
        <w:rPr>
          <w:rFonts w:asciiTheme="minorHAnsi" w:hAnsiTheme="minorHAnsi" w:cstheme="minorHAnsi"/>
        </w:rPr>
        <w:t>ie</w:t>
      </w:r>
      <w:r w:rsidR="007D4335" w:rsidRPr="002B4C13">
        <w:rPr>
          <w:rFonts w:asciiTheme="minorHAnsi" w:hAnsiTheme="minorHAnsi" w:cstheme="minorHAnsi"/>
        </w:rPr>
        <w:t xml:space="preserve"> adottate</w:t>
      </w:r>
      <w:r w:rsidR="007A24A1">
        <w:rPr>
          <w:rFonts w:asciiTheme="minorHAnsi" w:hAnsiTheme="minorHAnsi" w:cstheme="minorHAnsi"/>
        </w:rPr>
        <w:t>,</w:t>
      </w:r>
      <w:r w:rsidR="007D4335" w:rsidRPr="002B4C13">
        <w:rPr>
          <w:rFonts w:asciiTheme="minorHAnsi" w:hAnsiTheme="minorHAnsi" w:cstheme="minorHAnsi"/>
        </w:rPr>
        <w:t xml:space="preserve"> a uso e supporto del Riusante, il Cedente potrà utilizzare la </w:t>
      </w:r>
      <w:r w:rsidR="001848FE" w:rsidRPr="002B4C13">
        <w:rPr>
          <w:rFonts w:asciiTheme="minorHAnsi" w:hAnsiTheme="minorHAnsi" w:cstheme="minorHAnsi"/>
        </w:rPr>
        <w:t>seguente tabella riepiloga</w:t>
      </w:r>
      <w:r w:rsidR="007D4335" w:rsidRPr="002B4C13">
        <w:rPr>
          <w:rFonts w:asciiTheme="minorHAnsi" w:hAnsiTheme="minorHAnsi" w:cstheme="minorHAnsi"/>
        </w:rPr>
        <w:t>tiva</w:t>
      </w:r>
      <w:r w:rsidR="00CB0B4D" w:rsidRPr="002B4C13">
        <w:rPr>
          <w:rFonts w:asciiTheme="minorHAnsi" w:hAnsiTheme="minorHAnsi" w:cstheme="minorHAnsi"/>
        </w:rPr>
        <w:t>, evidenziando</w:t>
      </w:r>
      <w:r w:rsidR="001848FE" w:rsidRPr="002B4C13">
        <w:rPr>
          <w:rFonts w:asciiTheme="minorHAnsi" w:hAnsiTheme="minorHAnsi" w:cstheme="minorHAnsi"/>
        </w:rPr>
        <w:t xml:space="preserve"> come </w:t>
      </w:r>
      <w:r w:rsidR="007D4335" w:rsidRPr="002B4C13">
        <w:rPr>
          <w:rFonts w:asciiTheme="minorHAnsi" w:hAnsiTheme="minorHAnsi" w:cstheme="minorHAnsi"/>
        </w:rPr>
        <w:t xml:space="preserve">i </w:t>
      </w:r>
      <w:r w:rsidR="001B6902">
        <w:rPr>
          <w:rFonts w:asciiTheme="minorHAnsi" w:hAnsiTheme="minorHAnsi" w:cstheme="minorHAnsi"/>
        </w:rPr>
        <w:t>f</w:t>
      </w:r>
      <w:r w:rsidR="007D4335" w:rsidRPr="002B4C13">
        <w:rPr>
          <w:rFonts w:asciiTheme="minorHAnsi" w:hAnsiTheme="minorHAnsi" w:cstheme="minorHAnsi"/>
        </w:rPr>
        <w:t xml:space="preserve">attori </w:t>
      </w:r>
      <w:r w:rsidR="001848FE" w:rsidRPr="002B4C13">
        <w:rPr>
          <w:rFonts w:asciiTheme="minorHAnsi" w:hAnsiTheme="minorHAnsi" w:cstheme="minorHAnsi"/>
        </w:rPr>
        <w:t>impatt</w:t>
      </w:r>
      <w:r w:rsidR="007D4335" w:rsidRPr="002B4C13">
        <w:rPr>
          <w:rFonts w:asciiTheme="minorHAnsi" w:hAnsiTheme="minorHAnsi" w:cstheme="minorHAnsi"/>
        </w:rPr>
        <w:t>i</w:t>
      </w:r>
      <w:r w:rsidR="001848FE" w:rsidRPr="002B4C13">
        <w:rPr>
          <w:rFonts w:asciiTheme="minorHAnsi" w:hAnsiTheme="minorHAnsi" w:cstheme="minorHAnsi"/>
        </w:rPr>
        <w:t>no sul processo di riuso, in termini qualitativi e, ove possibile e applicabile, in termini quantitativi (impatti sulla soddisfazione dell’utenza; impatti sull’efficienza dei processi; diminuzione dei tempi o dei costi di progetto, etc.). Questa tabella</w:t>
      </w:r>
      <w:r w:rsidR="007D4335" w:rsidRPr="002B4C13">
        <w:rPr>
          <w:rFonts w:asciiTheme="minorHAnsi" w:hAnsiTheme="minorHAnsi" w:cstheme="minorHAnsi"/>
        </w:rPr>
        <w:t>,</w:t>
      </w:r>
      <w:r w:rsidR="001848FE" w:rsidRPr="002B4C13">
        <w:rPr>
          <w:rFonts w:asciiTheme="minorHAnsi" w:hAnsiTheme="minorHAnsi" w:cstheme="minorHAnsi"/>
        </w:rPr>
        <w:t xml:space="preserve"> </w:t>
      </w:r>
      <w:r w:rsidR="007D4335" w:rsidRPr="002B4C13">
        <w:rPr>
          <w:rFonts w:asciiTheme="minorHAnsi" w:hAnsiTheme="minorHAnsi" w:cstheme="minorHAnsi"/>
        </w:rPr>
        <w:t xml:space="preserve">riportata eventualmente nell’allegato A2R – Fattori organizzativi Enti Riusanti, può essere utilizzata dal Riusante come </w:t>
      </w:r>
      <w:r w:rsidR="001848FE" w:rsidRPr="002B4C13">
        <w:rPr>
          <w:rFonts w:asciiTheme="minorHAnsi" w:hAnsiTheme="minorHAnsi" w:cstheme="minorHAnsi"/>
        </w:rPr>
        <w:t>tool di autovalutazione</w:t>
      </w:r>
      <w:r w:rsidR="007D4335" w:rsidRPr="002B4C13">
        <w:rPr>
          <w:rFonts w:asciiTheme="minorHAnsi" w:hAnsiTheme="minorHAnsi" w:cstheme="minorHAnsi"/>
        </w:rPr>
        <w:t xml:space="preserve">, </w:t>
      </w:r>
      <w:r w:rsidR="001848FE" w:rsidRPr="002B4C13">
        <w:rPr>
          <w:rFonts w:asciiTheme="minorHAnsi" w:hAnsiTheme="minorHAnsi" w:cstheme="minorHAnsi"/>
        </w:rPr>
        <w:t>consente</w:t>
      </w:r>
      <w:r w:rsidR="007D4335" w:rsidRPr="002B4C13">
        <w:rPr>
          <w:rFonts w:asciiTheme="minorHAnsi" w:hAnsiTheme="minorHAnsi" w:cstheme="minorHAnsi"/>
        </w:rPr>
        <w:t>ndo</w:t>
      </w:r>
      <w:r w:rsidR="001848FE" w:rsidRPr="002B4C13">
        <w:rPr>
          <w:rFonts w:asciiTheme="minorHAnsi" w:hAnsiTheme="minorHAnsi" w:cstheme="minorHAnsi"/>
        </w:rPr>
        <w:t xml:space="preserve"> di valutare la fattibilità del progetto di </w:t>
      </w:r>
      <w:r w:rsidR="001848FE" w:rsidRPr="00AD69D5">
        <w:rPr>
          <w:rFonts w:asciiTheme="minorHAnsi" w:hAnsiTheme="minorHAnsi" w:cstheme="minorHAnsi"/>
        </w:rPr>
        <w:t>riuso calato nel contesto della propria realtà.</w:t>
      </w:r>
    </w:p>
    <w:p w14:paraId="26B42609" w14:textId="1AF4F4F6" w:rsidR="00CB0B4D" w:rsidRPr="00AD69D5" w:rsidRDefault="00CB0B4D" w:rsidP="001848FE">
      <w:pPr>
        <w:pStyle w:val="ListParagraph"/>
        <w:ind w:left="0"/>
        <w:rPr>
          <w:rFonts w:asciiTheme="minorHAnsi" w:hAnsiTheme="minorHAnsi" w:cstheme="minorHAnsi"/>
        </w:rPr>
      </w:pPr>
      <w:r w:rsidRPr="00AD69D5">
        <w:rPr>
          <w:rFonts w:asciiTheme="minorHAnsi" w:hAnsiTheme="minorHAnsi" w:cstheme="minorHAnsi"/>
        </w:rPr>
        <w:t xml:space="preserve">Per i fattori che costituiscono una potenziale fonte di rallentamento o </w:t>
      </w:r>
      <w:r w:rsidR="007D4335" w:rsidRPr="00AD69D5">
        <w:rPr>
          <w:rFonts w:asciiTheme="minorHAnsi" w:hAnsiTheme="minorHAnsi" w:cstheme="minorHAnsi"/>
        </w:rPr>
        <w:t xml:space="preserve">rischio di </w:t>
      </w:r>
      <w:r w:rsidRPr="00AD69D5">
        <w:rPr>
          <w:rFonts w:asciiTheme="minorHAnsi" w:hAnsiTheme="minorHAnsi" w:cstheme="minorHAnsi"/>
        </w:rPr>
        <w:t xml:space="preserve">fallimento nell’adozione della </w:t>
      </w:r>
      <w:r w:rsidR="00572BD8" w:rsidRPr="00AD69D5">
        <w:rPr>
          <w:rFonts w:asciiTheme="minorHAnsi" w:hAnsiTheme="minorHAnsi" w:cstheme="minorHAnsi"/>
        </w:rPr>
        <w:t>soluzione</w:t>
      </w:r>
      <w:r w:rsidRPr="00AD69D5">
        <w:rPr>
          <w:rFonts w:asciiTheme="minorHAnsi" w:hAnsiTheme="minorHAnsi" w:cstheme="minorHAnsi"/>
        </w:rPr>
        <w:t xml:space="preserve">, </w:t>
      </w:r>
      <w:r w:rsidR="007D4335" w:rsidRPr="00AD69D5">
        <w:rPr>
          <w:rFonts w:asciiTheme="minorHAnsi" w:hAnsiTheme="minorHAnsi" w:cstheme="minorHAnsi"/>
        </w:rPr>
        <w:t xml:space="preserve">potranno essere forniti </w:t>
      </w:r>
      <w:r w:rsidRPr="00AD69D5">
        <w:rPr>
          <w:rFonts w:asciiTheme="minorHAnsi" w:hAnsiTheme="minorHAnsi" w:cstheme="minorHAnsi"/>
        </w:rPr>
        <w:t>suggerimenti o strategie per superarli o almeno compensarli.</w:t>
      </w:r>
    </w:p>
    <w:p w14:paraId="701D57F1" w14:textId="160AE3DB" w:rsidR="007D4335" w:rsidRPr="002B4C13" w:rsidRDefault="007D4335" w:rsidP="001848FE">
      <w:pPr>
        <w:pStyle w:val="ListParagraph"/>
        <w:ind w:left="0"/>
        <w:rPr>
          <w:rFonts w:asciiTheme="minorHAnsi" w:hAnsiTheme="minorHAnsi" w:cstheme="minorHAnsi"/>
        </w:rPr>
      </w:pPr>
      <w:r w:rsidRPr="00AD69D5">
        <w:rPr>
          <w:rFonts w:asciiTheme="minorHAnsi" w:hAnsiTheme="minorHAnsi" w:cstheme="minorHAnsi"/>
        </w:rPr>
        <w:t xml:space="preserve">La tabella, se trattata attraverso il documento A2R, </w:t>
      </w:r>
      <w:r w:rsidR="00C53A52" w:rsidRPr="00AD69D5">
        <w:rPr>
          <w:rFonts w:asciiTheme="minorHAnsi" w:hAnsiTheme="minorHAnsi" w:cstheme="minorHAnsi"/>
        </w:rPr>
        <w:t>dovrebbe essere gestita dal Cedente in modo dinamico. Si consiglia</w:t>
      </w:r>
      <w:r w:rsidR="00763611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a</w:t>
      </w:r>
      <w:r w:rsidR="00763611" w:rsidRPr="00AD69D5">
        <w:rPr>
          <w:rFonts w:asciiTheme="minorHAnsi" w:hAnsiTheme="minorHAnsi" w:cstheme="minorHAnsi"/>
        </w:rPr>
        <w:t>l</w:t>
      </w:r>
      <w:r w:rsidR="00C53A52" w:rsidRPr="00AD69D5">
        <w:rPr>
          <w:rFonts w:asciiTheme="minorHAnsi" w:hAnsiTheme="minorHAnsi" w:cstheme="minorHAnsi"/>
        </w:rPr>
        <w:t xml:space="preserve"> riguardo</w:t>
      </w:r>
      <w:r w:rsidR="00763611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una documentazione che il Cedente potrà fornire ad hoc al Riusante, eventualmente anche solo utilizzando gli stessi documenti A2 e A2R. Ricevendo, così, gli stessi compilati, al fine di aggiornare e incrementare</w:t>
      </w:r>
      <w:r w:rsidR="00872270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se del caso</w:t>
      </w:r>
      <w:r w:rsidR="00872270" w:rsidRPr="00AD69D5">
        <w:rPr>
          <w:rFonts w:asciiTheme="minorHAnsi" w:hAnsiTheme="minorHAnsi" w:cstheme="minorHAnsi"/>
        </w:rPr>
        <w:t>,</w:t>
      </w:r>
      <w:r w:rsidR="00C53A52" w:rsidRPr="00AD69D5">
        <w:rPr>
          <w:rFonts w:asciiTheme="minorHAnsi" w:hAnsiTheme="minorHAnsi" w:cstheme="minorHAnsi"/>
        </w:rPr>
        <w:t xml:space="preserve"> i propri documenti nel KIT come Cedente.</w:t>
      </w:r>
    </w:p>
    <w:p w14:paraId="389415DF" w14:textId="338436BE" w:rsidR="0056793C" w:rsidRPr="002B4C13" w:rsidRDefault="0056793C" w:rsidP="001848FE">
      <w:pPr>
        <w:pStyle w:val="ListParagraph"/>
        <w:ind w:left="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L’Allegato A2R è presente nel KIT con dei dati esemplificativi presi da contesti di riusi analizzati.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405"/>
        <w:gridCol w:w="1564"/>
        <w:gridCol w:w="2552"/>
      </w:tblGrid>
      <w:tr w:rsidR="00C53A52" w:rsidRPr="002B4C13" w14:paraId="3D63A398" w14:textId="77777777" w:rsidTr="00C53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7CAAC" w:themeFill="accent2" w:themeFillTint="66"/>
          </w:tcPr>
          <w:p w14:paraId="03CD1018" w14:textId="77777777" w:rsidR="00C53A52" w:rsidRPr="002B4C13" w:rsidRDefault="00C53A52" w:rsidP="00C53A52">
            <w:pPr>
              <w:keepNext/>
              <w:contextualSpacing/>
              <w:jc w:val="center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  <w:color w:val="auto"/>
              </w:rPr>
              <w:t>Fattori</w:t>
            </w:r>
          </w:p>
        </w:tc>
        <w:tc>
          <w:tcPr>
            <w:tcW w:w="2405" w:type="dxa"/>
          </w:tcPr>
          <w:p w14:paraId="61A8F67E" w14:textId="1DCC1CD3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Ostacolanti /Abilitanti</w:t>
            </w:r>
          </w:p>
        </w:tc>
        <w:tc>
          <w:tcPr>
            <w:tcW w:w="1564" w:type="dxa"/>
          </w:tcPr>
          <w:p w14:paraId="5AC15165" w14:textId="7D5C86B6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Impatto</w:t>
            </w:r>
          </w:p>
        </w:tc>
        <w:tc>
          <w:tcPr>
            <w:tcW w:w="2552" w:type="dxa"/>
          </w:tcPr>
          <w:p w14:paraId="2BF6FD64" w14:textId="77777777" w:rsidR="00C53A52" w:rsidRPr="002B4C13" w:rsidRDefault="00C53A52" w:rsidP="00C53A52">
            <w:pPr>
              <w:keepNext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Strategie di compensazione</w:t>
            </w:r>
          </w:p>
        </w:tc>
      </w:tr>
      <w:tr w:rsidR="00C53A52" w:rsidRPr="002B4C13" w14:paraId="5C581603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87D5E3" w14:textId="77777777" w:rsidR="00C53A52" w:rsidRPr="002B4C13" w:rsidRDefault="00C53A52" w:rsidP="00C53A52">
            <w:pPr>
              <w:keepNext/>
              <w:contextualSpacing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Interni</w:t>
            </w:r>
          </w:p>
        </w:tc>
        <w:tc>
          <w:tcPr>
            <w:tcW w:w="2405" w:type="dxa"/>
          </w:tcPr>
          <w:p w14:paraId="2104EA17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5187A48" w14:textId="2A051BB6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4D3744D2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587AF0DD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51563E" w14:textId="77777777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405" w:type="dxa"/>
          </w:tcPr>
          <w:p w14:paraId="79092957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67437D0" w14:textId="54952715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3D148D3B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687F6701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AF21CF" w14:textId="249F06B6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405" w:type="dxa"/>
          </w:tcPr>
          <w:p w14:paraId="33C948CF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650F1680" w14:textId="6F83F134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56D5F0B0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13FCA431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7745B8" w14:textId="77777777" w:rsidR="00C53A52" w:rsidRPr="002B4C13" w:rsidRDefault="00C53A52" w:rsidP="00C53A52">
            <w:pPr>
              <w:keepNext/>
              <w:contextualSpacing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Esterni</w:t>
            </w:r>
          </w:p>
        </w:tc>
        <w:tc>
          <w:tcPr>
            <w:tcW w:w="2405" w:type="dxa"/>
          </w:tcPr>
          <w:p w14:paraId="76C2EDE4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1F0B51DF" w14:textId="4BFAFCD9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</w:tcPr>
          <w:p w14:paraId="198810E3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5DAE6BA3" w14:textId="77777777" w:rsidTr="00C53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33A977" w14:textId="77777777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405" w:type="dxa"/>
          </w:tcPr>
          <w:p w14:paraId="7447934B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0260801" w14:textId="2F2D3499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375547C0" w14:textId="77777777" w:rsidR="00C53A52" w:rsidRPr="002B4C13" w:rsidRDefault="00C53A52" w:rsidP="00C53A52">
            <w:pPr>
              <w:keepNext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C53A52" w:rsidRPr="002B4C13" w14:paraId="6BC7DC24" w14:textId="77777777" w:rsidTr="00C53A5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6432B8" w14:textId="6B8637F6" w:rsidR="00C53A52" w:rsidRPr="002B4C13" w:rsidRDefault="00C53A52" w:rsidP="00C53A52">
            <w:pPr>
              <w:keepNext/>
              <w:contextualSpacing/>
              <w:jc w:val="right"/>
              <w:rPr>
                <w:rFonts w:asciiTheme="minorHAnsi" w:hAnsiTheme="minorHAnsi" w:cstheme="minorHAnsi"/>
              </w:rPr>
            </w:pPr>
            <w:r w:rsidRPr="002B4C13"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2405" w:type="dxa"/>
          </w:tcPr>
          <w:p w14:paraId="58ABAFE0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64" w:type="dxa"/>
          </w:tcPr>
          <w:p w14:paraId="00EC059E" w14:textId="78EA898C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bottom w:val="single" w:sz="4" w:space="0" w:color="FFFFFF" w:themeColor="background1"/>
            </w:tcBorders>
          </w:tcPr>
          <w:p w14:paraId="0A7CAB64" w14:textId="77777777" w:rsidR="00C53A52" w:rsidRPr="002B4C13" w:rsidRDefault="00C53A52" w:rsidP="00C53A52">
            <w:pPr>
              <w:keepNext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6D552F7C" w14:textId="479798C2" w:rsidR="00CB0B4D" w:rsidRPr="002B4C13" w:rsidRDefault="00CB0B4D" w:rsidP="00CB0B4D">
      <w:pPr>
        <w:pStyle w:val="Caption"/>
        <w:keepNext/>
        <w:ind w:left="360"/>
        <w:contextualSpacing/>
        <w:jc w:val="center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 xml:space="preserve">Tabella </w:t>
      </w:r>
      <w:r w:rsidRPr="002B4C13">
        <w:rPr>
          <w:rFonts w:asciiTheme="minorHAnsi" w:hAnsiTheme="minorHAnsi" w:cstheme="minorHAnsi"/>
          <w:noProof/>
        </w:rPr>
        <w:fldChar w:fldCharType="begin"/>
      </w:r>
      <w:r w:rsidRPr="002B4C13">
        <w:rPr>
          <w:rFonts w:asciiTheme="minorHAnsi" w:hAnsiTheme="minorHAnsi" w:cstheme="minorHAnsi"/>
          <w:noProof/>
        </w:rPr>
        <w:instrText xml:space="preserve"> SEQ Tabella \* ARABIC </w:instrText>
      </w:r>
      <w:r w:rsidRPr="002B4C13">
        <w:rPr>
          <w:rFonts w:asciiTheme="minorHAnsi" w:hAnsiTheme="minorHAnsi" w:cstheme="minorHAnsi"/>
          <w:noProof/>
        </w:rPr>
        <w:fldChar w:fldCharType="separate"/>
      </w:r>
      <w:r w:rsidRPr="002B4C13">
        <w:rPr>
          <w:rFonts w:asciiTheme="minorHAnsi" w:hAnsiTheme="minorHAnsi" w:cstheme="minorHAnsi"/>
          <w:noProof/>
        </w:rPr>
        <w:t>1</w:t>
      </w:r>
      <w:r w:rsidRPr="002B4C13">
        <w:rPr>
          <w:rFonts w:asciiTheme="minorHAnsi" w:hAnsiTheme="minorHAnsi" w:cstheme="minorHAnsi"/>
          <w:noProof/>
        </w:rPr>
        <w:fldChar w:fldCharType="end"/>
      </w:r>
      <w:r w:rsidRPr="002B4C13">
        <w:rPr>
          <w:rFonts w:asciiTheme="minorHAnsi" w:hAnsiTheme="minorHAnsi" w:cstheme="minorHAnsi"/>
        </w:rPr>
        <w:t xml:space="preserve"> - Fattori organizzativi della </w:t>
      </w:r>
      <w:r w:rsidR="00572BD8" w:rsidRPr="002B4C13">
        <w:rPr>
          <w:rFonts w:asciiTheme="minorHAnsi" w:hAnsiTheme="minorHAnsi" w:cstheme="minorHAnsi"/>
        </w:rPr>
        <w:t>soluzione</w:t>
      </w:r>
    </w:p>
    <w:p w14:paraId="6C8465B6" w14:textId="683F8414" w:rsidR="00F532FE" w:rsidRPr="002B4C13" w:rsidRDefault="00F532FE" w:rsidP="00CB0B4D">
      <w:pPr>
        <w:pStyle w:val="ListParagraph"/>
        <w:rPr>
          <w:rFonts w:asciiTheme="minorHAnsi" w:hAnsiTheme="minorHAnsi" w:cstheme="minorHAnsi"/>
        </w:rPr>
      </w:pPr>
    </w:p>
    <w:p w14:paraId="7CCD1C69" w14:textId="0EA2F254" w:rsidR="00C67DC9" w:rsidRPr="002B4C13" w:rsidRDefault="00CB0B4D" w:rsidP="00F532FE">
      <w:pPr>
        <w:pStyle w:val="Heading2"/>
        <w:ind w:left="357" w:hanging="357"/>
        <w:rPr>
          <w:rFonts w:asciiTheme="minorHAnsi" w:hAnsiTheme="minorHAnsi" w:cstheme="minorHAnsi"/>
        </w:rPr>
      </w:pPr>
      <w:bookmarkStart w:id="8" w:name="_Toc532221278"/>
      <w:r w:rsidRPr="002B4C13">
        <w:rPr>
          <w:rFonts w:asciiTheme="minorHAnsi" w:hAnsiTheme="minorHAnsi" w:cstheme="minorHAnsi"/>
        </w:rPr>
        <w:t>Check list</w:t>
      </w:r>
      <w:r w:rsidR="00F532FE" w:rsidRPr="002B4C13">
        <w:rPr>
          <w:rFonts w:asciiTheme="minorHAnsi" w:hAnsiTheme="minorHAnsi" w:cstheme="minorHAnsi"/>
        </w:rPr>
        <w:t xml:space="preserve"> di autovalutazione</w:t>
      </w:r>
      <w:r w:rsidR="00330B6E" w:rsidRPr="002B4C13">
        <w:rPr>
          <w:rFonts w:asciiTheme="minorHAnsi" w:hAnsiTheme="minorHAnsi" w:cstheme="minorHAnsi"/>
        </w:rPr>
        <w:t xml:space="preserve"> dei fattori organizzativi</w:t>
      </w:r>
      <w:bookmarkEnd w:id="8"/>
    </w:p>
    <w:p w14:paraId="20683BF3" w14:textId="12C20807" w:rsidR="0056793C" w:rsidRPr="002B4C13" w:rsidRDefault="0029004C" w:rsidP="00CB0B4D">
      <w:pPr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La check list</w:t>
      </w:r>
      <w:r w:rsidR="00F532FE" w:rsidRPr="002B4C13">
        <w:rPr>
          <w:rFonts w:asciiTheme="minorHAnsi" w:hAnsiTheme="minorHAnsi" w:cstheme="minorHAnsi"/>
        </w:rPr>
        <w:t xml:space="preserve"> di autovalutazione consiste in</w:t>
      </w:r>
      <w:r w:rsidR="00C67DC9" w:rsidRPr="002B4C13">
        <w:rPr>
          <w:rFonts w:asciiTheme="minorHAnsi" w:hAnsiTheme="minorHAnsi" w:cstheme="minorHAnsi"/>
        </w:rPr>
        <w:t xml:space="preserve"> una serie di </w:t>
      </w:r>
      <w:r w:rsidRPr="002B4C13">
        <w:rPr>
          <w:rFonts w:asciiTheme="minorHAnsi" w:hAnsiTheme="minorHAnsi" w:cstheme="minorHAnsi"/>
        </w:rPr>
        <w:t>domande</w:t>
      </w:r>
      <w:r w:rsidR="00EE40DA" w:rsidRPr="002B4C13">
        <w:rPr>
          <w:rFonts w:asciiTheme="minorHAnsi" w:hAnsiTheme="minorHAnsi" w:cstheme="minorHAnsi"/>
        </w:rPr>
        <w:t xml:space="preserve"> per l’Ente riusante, </w:t>
      </w:r>
      <w:r w:rsidR="005D0BB0">
        <w:rPr>
          <w:rFonts w:asciiTheme="minorHAnsi" w:hAnsiTheme="minorHAnsi" w:cstheme="minorHAnsi"/>
        </w:rPr>
        <w:t xml:space="preserve">atte a </w:t>
      </w:r>
      <w:r w:rsidR="00EE40DA" w:rsidRPr="002B4C13">
        <w:rPr>
          <w:rFonts w:asciiTheme="minorHAnsi" w:hAnsiTheme="minorHAnsi" w:cstheme="minorHAnsi"/>
        </w:rPr>
        <w:t>verificare la propria situazione di contesto in relazione a</w:t>
      </w:r>
      <w:r w:rsidR="00735919">
        <w:rPr>
          <w:rFonts w:asciiTheme="minorHAnsi" w:hAnsiTheme="minorHAnsi" w:cstheme="minorHAnsi"/>
        </w:rPr>
        <w:t xml:space="preserve">i </w:t>
      </w:r>
      <w:r w:rsidR="00EE40DA" w:rsidRPr="002B4C13">
        <w:rPr>
          <w:rFonts w:asciiTheme="minorHAnsi" w:hAnsiTheme="minorHAnsi" w:cstheme="minorHAnsi"/>
        </w:rPr>
        <w:t xml:space="preserve">fattori </w:t>
      </w:r>
      <w:r w:rsidR="00735919">
        <w:rPr>
          <w:rFonts w:asciiTheme="minorHAnsi" w:hAnsiTheme="minorHAnsi" w:cstheme="minorHAnsi"/>
        </w:rPr>
        <w:t xml:space="preserve">precedentemente </w:t>
      </w:r>
      <w:r w:rsidR="00A13628">
        <w:rPr>
          <w:rFonts w:asciiTheme="minorHAnsi" w:hAnsiTheme="minorHAnsi" w:cstheme="minorHAnsi"/>
        </w:rPr>
        <w:t xml:space="preserve">esposti, </w:t>
      </w:r>
      <w:r w:rsidR="00EE40DA" w:rsidRPr="002B4C13">
        <w:rPr>
          <w:rFonts w:asciiTheme="minorHAnsi" w:hAnsiTheme="minorHAnsi" w:cstheme="minorHAnsi"/>
        </w:rPr>
        <w:t xml:space="preserve">e così </w:t>
      </w:r>
      <w:proofErr w:type="spellStart"/>
      <w:r w:rsidR="005762DA" w:rsidRPr="002B4C13">
        <w:rPr>
          <w:rFonts w:asciiTheme="minorHAnsi" w:hAnsiTheme="minorHAnsi" w:cstheme="minorHAnsi"/>
        </w:rPr>
        <w:t>autovalutare</w:t>
      </w:r>
      <w:proofErr w:type="spellEnd"/>
      <w:r w:rsidR="00EE40DA" w:rsidRPr="002B4C13">
        <w:rPr>
          <w:rFonts w:asciiTheme="minorHAnsi" w:hAnsiTheme="minorHAnsi" w:cstheme="minorHAnsi"/>
        </w:rPr>
        <w:t xml:space="preserve"> le probabilità di successo di riuso della </w:t>
      </w:r>
      <w:r w:rsidR="00572BD8" w:rsidRPr="002B4C13">
        <w:rPr>
          <w:rFonts w:asciiTheme="minorHAnsi" w:hAnsiTheme="minorHAnsi" w:cstheme="minorHAnsi"/>
        </w:rPr>
        <w:t>soluzione</w:t>
      </w:r>
      <w:r w:rsidR="00EE40DA" w:rsidRPr="002B4C13">
        <w:rPr>
          <w:rFonts w:asciiTheme="minorHAnsi" w:hAnsiTheme="minorHAnsi" w:cstheme="minorHAnsi"/>
        </w:rPr>
        <w:t>.</w:t>
      </w:r>
    </w:p>
    <w:p w14:paraId="4B8140FB" w14:textId="6BF56A2B" w:rsidR="00EE40DA" w:rsidRPr="002B4C13" w:rsidRDefault="00023758" w:rsidP="00CB0B4D">
      <w:pPr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 xml:space="preserve">A supporto </w:t>
      </w:r>
      <w:r w:rsidR="00A13628">
        <w:rPr>
          <w:rFonts w:asciiTheme="minorHAnsi" w:hAnsiTheme="minorHAnsi" w:cstheme="minorHAnsi"/>
          <w:i/>
          <w:iCs/>
          <w:sz w:val="20"/>
          <w:szCs w:val="20"/>
        </w:rPr>
        <w:t xml:space="preserve">si veda quanto </w:t>
      </w:r>
      <w:r w:rsidR="003F1FAF">
        <w:rPr>
          <w:rFonts w:asciiTheme="minorHAnsi" w:hAnsiTheme="minorHAnsi" w:cstheme="minorHAnsi"/>
          <w:i/>
          <w:iCs/>
          <w:sz w:val="20"/>
          <w:szCs w:val="20"/>
        </w:rPr>
        <w:t>riportato nel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 xml:space="preserve"> documento A2 – Strumenti organizzativi del KIT </w:t>
      </w:r>
      <w:r w:rsidR="003F1FAF">
        <w:rPr>
          <w:rFonts w:asciiTheme="minorHAnsi" w:hAnsiTheme="minorHAnsi" w:cstheme="minorHAnsi"/>
          <w:i/>
          <w:iCs/>
          <w:sz w:val="20"/>
          <w:szCs w:val="20"/>
        </w:rPr>
        <w:t xml:space="preserve">- 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>set esempi</w:t>
      </w:r>
      <w:r>
        <w:rPr>
          <w:rFonts w:asciiTheme="minorHAnsi" w:hAnsiTheme="minorHAnsi" w:cstheme="minorHAnsi"/>
          <w:i/>
          <w:iCs/>
          <w:sz w:val="20"/>
          <w:szCs w:val="20"/>
        </w:rPr>
        <w:t>)</w:t>
      </w:r>
      <w:r w:rsidR="0056793C" w:rsidRPr="002B4C13">
        <w:rPr>
          <w:rFonts w:asciiTheme="minorHAnsi" w:hAnsiTheme="minorHAnsi" w:cstheme="minorHAnsi"/>
          <w:i/>
          <w:iCs/>
          <w:sz w:val="20"/>
          <w:szCs w:val="20"/>
        </w:rPr>
        <w:t>.</w:t>
      </w:r>
    </w:p>
    <w:p w14:paraId="0ECD761C" w14:textId="2A22A4D6" w:rsidR="00F532FE" w:rsidRPr="00A13628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1</w:t>
      </w:r>
    </w:p>
    <w:p w14:paraId="0E1A7C83" w14:textId="1483B778" w:rsidR="00EE40DA" w:rsidRPr="002B4C13" w:rsidRDefault="00267264" w:rsidP="00EE40DA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p w14:paraId="1C223709" w14:textId="77777777" w:rsidR="00267264" w:rsidRPr="002B4C13" w:rsidRDefault="00267264" w:rsidP="00EE40DA">
      <w:pPr>
        <w:ind w:left="360"/>
        <w:rPr>
          <w:rFonts w:asciiTheme="minorHAnsi" w:hAnsiTheme="minorHAnsi" w:cstheme="minorHAnsi"/>
        </w:rPr>
      </w:pPr>
    </w:p>
    <w:p w14:paraId="7296AEFC" w14:textId="67A60FD6" w:rsidR="00EE40DA" w:rsidRPr="00A13628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2</w:t>
      </w:r>
    </w:p>
    <w:p w14:paraId="68BA6E17" w14:textId="0AF8CA54" w:rsidR="00267264" w:rsidRPr="002B4C13" w:rsidRDefault="00267264" w:rsidP="00267264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p w14:paraId="15529CDC" w14:textId="77777777" w:rsidR="00EE40DA" w:rsidRPr="002B4C13" w:rsidRDefault="00EE40DA" w:rsidP="00EE40DA">
      <w:pPr>
        <w:rPr>
          <w:rFonts w:asciiTheme="minorHAnsi" w:hAnsiTheme="minorHAnsi" w:cstheme="minorHAnsi"/>
        </w:rPr>
      </w:pPr>
    </w:p>
    <w:p w14:paraId="07E1E64D" w14:textId="0576BC08" w:rsidR="00EE40DA" w:rsidRPr="00A13628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A13628">
        <w:rPr>
          <w:rFonts w:asciiTheme="minorHAnsi" w:hAnsiTheme="minorHAnsi" w:cstheme="minorHAnsi"/>
          <w:u w:val="single"/>
        </w:rPr>
        <w:t>Domanda 3</w:t>
      </w:r>
    </w:p>
    <w:p w14:paraId="37182545" w14:textId="00F31F2A" w:rsidR="00267264" w:rsidRPr="002B4C13" w:rsidRDefault="00267264" w:rsidP="00267264">
      <w:pPr>
        <w:ind w:left="360"/>
        <w:rPr>
          <w:rFonts w:asciiTheme="minorHAnsi" w:hAnsiTheme="minorHAnsi" w:cstheme="minorHAnsi"/>
        </w:rPr>
      </w:pPr>
      <w:r w:rsidRPr="002B4C13">
        <w:rPr>
          <w:rFonts w:asciiTheme="minorHAnsi" w:hAnsiTheme="minorHAnsi" w:cstheme="minorHAnsi"/>
        </w:rPr>
        <w:t>Commento:</w:t>
      </w:r>
    </w:p>
    <w:sectPr w:rsidR="00267264" w:rsidRPr="002B4C13" w:rsidSect="000B3226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FFA88" w14:textId="77777777" w:rsidR="005F0C12" w:rsidRDefault="005F0C12" w:rsidP="00DD7646">
      <w:r>
        <w:separator/>
      </w:r>
    </w:p>
  </w:endnote>
  <w:endnote w:type="continuationSeparator" w:id="0">
    <w:p w14:paraId="7B9D4F79" w14:textId="77777777" w:rsidR="005F0C12" w:rsidRDefault="005F0C12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Footer"/>
          <w:jc w:val="right"/>
          <w:rPr>
            <w:noProof/>
          </w:rPr>
        </w:pPr>
      </w:p>
      <w:p w14:paraId="503CBC04" w14:textId="1036308E" w:rsidR="00AA1C18" w:rsidRDefault="00EC45A5" w:rsidP="00EC45A5">
        <w:pPr>
          <w:pStyle w:val="Footer"/>
          <w:tabs>
            <w:tab w:val="left" w:pos="2250"/>
          </w:tabs>
          <w:jc w:val="left"/>
        </w:pPr>
        <w:r>
          <w:rPr>
            <w:noProof/>
          </w:rPr>
          <w:tab/>
        </w: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572BD8">
          <w:rPr>
            <w:noProof/>
          </w:rPr>
          <w:t>3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8FC2F" w14:textId="77777777" w:rsidR="005F0C12" w:rsidRDefault="005F0C12" w:rsidP="00DD7646">
      <w:bookmarkStart w:id="0" w:name="_Hlk532206960"/>
      <w:bookmarkEnd w:id="0"/>
      <w:r>
        <w:separator/>
      </w:r>
    </w:p>
  </w:footnote>
  <w:footnote w:type="continuationSeparator" w:id="0">
    <w:p w14:paraId="0BF141DF" w14:textId="77777777" w:rsidR="005F0C12" w:rsidRDefault="005F0C12" w:rsidP="00DD7646">
      <w:r>
        <w:continuationSeparator/>
      </w:r>
    </w:p>
  </w:footnote>
  <w:footnote w:id="1">
    <w:p w14:paraId="6F0BA0BC" w14:textId="77777777" w:rsidR="00F532FE" w:rsidRPr="00AD69D5" w:rsidRDefault="00F532FE" w:rsidP="00F532FE">
      <w:pPr>
        <w:pStyle w:val="FootnoteText"/>
        <w:rPr>
          <w:rFonts w:asciiTheme="minorHAnsi" w:hAnsiTheme="minorHAnsi" w:cstheme="minorHAnsi"/>
          <w:sz w:val="18"/>
          <w:szCs w:val="18"/>
        </w:rPr>
      </w:pPr>
      <w:r w:rsidRPr="00AD69D5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AD69D5">
        <w:rPr>
          <w:rFonts w:asciiTheme="minorHAnsi" w:hAnsiTheme="minorHAnsi" w:cstheme="minorHAnsi"/>
          <w:sz w:val="18"/>
          <w:szCs w:val="18"/>
        </w:rPr>
        <w:t xml:space="preserve"> </w:t>
      </w:r>
      <w:bookmarkStart w:id="3" w:name="_Hlk531793358"/>
      <w:r w:rsidRPr="00AD69D5">
        <w:rPr>
          <w:rFonts w:asciiTheme="minorHAnsi" w:hAnsiTheme="minorHAnsi" w:cstheme="minorHAnsi"/>
          <w:sz w:val="18"/>
          <w:szCs w:val="18"/>
        </w:rPr>
        <w:t>OCPA – OpenCommunityPA2020: primo Avviso pubblico per interventi volti al trasferimento, evoluzione e diffusione di buone prassi fra Pubbliche Amministrazioni</w:t>
      </w:r>
      <w:bookmarkEnd w:id="3"/>
      <w:r w:rsidRPr="00AD69D5">
        <w:rPr>
          <w:rFonts w:asciiTheme="minorHAnsi" w:hAnsiTheme="minorHAnsi" w:cstheme="minorHAnsi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A7C8" w14:textId="2F49FB3A" w:rsidR="000B3226" w:rsidRDefault="000B3226">
    <w:pPr>
      <w:pStyle w:val="Header"/>
    </w:pPr>
    <w:r>
      <w:rPr>
        <w:noProof/>
      </w:rPr>
      <w:drawing>
        <wp:inline distT="0" distB="0" distL="0" distR="0" wp14:anchorId="44379DD0" wp14:editId="42886CD1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5CA9"/>
    <w:multiLevelType w:val="multilevel"/>
    <w:tmpl w:val="0652D0E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3758"/>
    <w:rsid w:val="0002789A"/>
    <w:rsid w:val="00031F5F"/>
    <w:rsid w:val="0003552C"/>
    <w:rsid w:val="00046225"/>
    <w:rsid w:val="000475F9"/>
    <w:rsid w:val="000529ED"/>
    <w:rsid w:val="000564A9"/>
    <w:rsid w:val="0007134D"/>
    <w:rsid w:val="000713E3"/>
    <w:rsid w:val="000849F1"/>
    <w:rsid w:val="000A16A9"/>
    <w:rsid w:val="000A34B4"/>
    <w:rsid w:val="000B3226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6920"/>
    <w:rsid w:val="0013750E"/>
    <w:rsid w:val="001376B7"/>
    <w:rsid w:val="001440A1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B6902"/>
    <w:rsid w:val="001C536A"/>
    <w:rsid w:val="001D39BC"/>
    <w:rsid w:val="001E4656"/>
    <w:rsid w:val="001E5217"/>
    <w:rsid w:val="001E631B"/>
    <w:rsid w:val="001F2BD1"/>
    <w:rsid w:val="002013C7"/>
    <w:rsid w:val="00212479"/>
    <w:rsid w:val="00213E83"/>
    <w:rsid w:val="00214C5E"/>
    <w:rsid w:val="0021609B"/>
    <w:rsid w:val="002229DC"/>
    <w:rsid w:val="0022605C"/>
    <w:rsid w:val="00231DB6"/>
    <w:rsid w:val="0023473B"/>
    <w:rsid w:val="00265925"/>
    <w:rsid w:val="00267264"/>
    <w:rsid w:val="002857A8"/>
    <w:rsid w:val="0029004C"/>
    <w:rsid w:val="0029689B"/>
    <w:rsid w:val="002A07FC"/>
    <w:rsid w:val="002A2700"/>
    <w:rsid w:val="002A4BC7"/>
    <w:rsid w:val="002B14CF"/>
    <w:rsid w:val="002B2198"/>
    <w:rsid w:val="002B3000"/>
    <w:rsid w:val="002B4C13"/>
    <w:rsid w:val="002B6A51"/>
    <w:rsid w:val="002B7ACE"/>
    <w:rsid w:val="002C034A"/>
    <w:rsid w:val="002C26BC"/>
    <w:rsid w:val="002D0E57"/>
    <w:rsid w:val="002D324B"/>
    <w:rsid w:val="002E7DA6"/>
    <w:rsid w:val="002F2F77"/>
    <w:rsid w:val="00302069"/>
    <w:rsid w:val="00306EE1"/>
    <w:rsid w:val="00311E93"/>
    <w:rsid w:val="00313345"/>
    <w:rsid w:val="00317CB9"/>
    <w:rsid w:val="0032494B"/>
    <w:rsid w:val="00324E98"/>
    <w:rsid w:val="00330B6E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1FAF"/>
    <w:rsid w:val="003F5045"/>
    <w:rsid w:val="003F5E1A"/>
    <w:rsid w:val="00400885"/>
    <w:rsid w:val="00402638"/>
    <w:rsid w:val="00410597"/>
    <w:rsid w:val="00425B12"/>
    <w:rsid w:val="00430E17"/>
    <w:rsid w:val="00433051"/>
    <w:rsid w:val="00433EC5"/>
    <w:rsid w:val="004362FA"/>
    <w:rsid w:val="0045088B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B7B96"/>
    <w:rsid w:val="004C7162"/>
    <w:rsid w:val="004D2FB9"/>
    <w:rsid w:val="004D7760"/>
    <w:rsid w:val="004E03CB"/>
    <w:rsid w:val="004E0A03"/>
    <w:rsid w:val="004E2832"/>
    <w:rsid w:val="004E46C6"/>
    <w:rsid w:val="004F4C14"/>
    <w:rsid w:val="0050064A"/>
    <w:rsid w:val="0050349A"/>
    <w:rsid w:val="00512148"/>
    <w:rsid w:val="0054095F"/>
    <w:rsid w:val="00542A1B"/>
    <w:rsid w:val="005441F9"/>
    <w:rsid w:val="00550659"/>
    <w:rsid w:val="00551824"/>
    <w:rsid w:val="005524C3"/>
    <w:rsid w:val="00555960"/>
    <w:rsid w:val="00557720"/>
    <w:rsid w:val="00565F98"/>
    <w:rsid w:val="0056734E"/>
    <w:rsid w:val="0056793C"/>
    <w:rsid w:val="00572631"/>
    <w:rsid w:val="00572BD8"/>
    <w:rsid w:val="00573156"/>
    <w:rsid w:val="005750FC"/>
    <w:rsid w:val="005762DA"/>
    <w:rsid w:val="0058395F"/>
    <w:rsid w:val="00586E88"/>
    <w:rsid w:val="00587B32"/>
    <w:rsid w:val="005970ED"/>
    <w:rsid w:val="005A42CD"/>
    <w:rsid w:val="005B3259"/>
    <w:rsid w:val="005C26FB"/>
    <w:rsid w:val="005C2C3B"/>
    <w:rsid w:val="005D0BB0"/>
    <w:rsid w:val="005E64D1"/>
    <w:rsid w:val="005F0C12"/>
    <w:rsid w:val="00600CC7"/>
    <w:rsid w:val="006022DC"/>
    <w:rsid w:val="00621077"/>
    <w:rsid w:val="00642946"/>
    <w:rsid w:val="006432E5"/>
    <w:rsid w:val="00653A7A"/>
    <w:rsid w:val="00670070"/>
    <w:rsid w:val="006833D3"/>
    <w:rsid w:val="006A4F7B"/>
    <w:rsid w:val="006B1B03"/>
    <w:rsid w:val="006B59F8"/>
    <w:rsid w:val="006B6780"/>
    <w:rsid w:val="006C68DD"/>
    <w:rsid w:val="006F5023"/>
    <w:rsid w:val="006F57A9"/>
    <w:rsid w:val="007009A4"/>
    <w:rsid w:val="00705867"/>
    <w:rsid w:val="00735415"/>
    <w:rsid w:val="00735919"/>
    <w:rsid w:val="0073650E"/>
    <w:rsid w:val="007528EF"/>
    <w:rsid w:val="00763611"/>
    <w:rsid w:val="007679D9"/>
    <w:rsid w:val="00773DC7"/>
    <w:rsid w:val="00775B0D"/>
    <w:rsid w:val="00776B6D"/>
    <w:rsid w:val="00786CC8"/>
    <w:rsid w:val="00786D2D"/>
    <w:rsid w:val="007917FE"/>
    <w:rsid w:val="007925A9"/>
    <w:rsid w:val="00796CA4"/>
    <w:rsid w:val="007979AF"/>
    <w:rsid w:val="007A24A1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D4335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62BE9"/>
    <w:rsid w:val="00867471"/>
    <w:rsid w:val="00872270"/>
    <w:rsid w:val="00877E76"/>
    <w:rsid w:val="0088742D"/>
    <w:rsid w:val="00893F2F"/>
    <w:rsid w:val="008958EA"/>
    <w:rsid w:val="008A53F8"/>
    <w:rsid w:val="008B2A5E"/>
    <w:rsid w:val="008E1277"/>
    <w:rsid w:val="008F22B3"/>
    <w:rsid w:val="008F52D3"/>
    <w:rsid w:val="00914E10"/>
    <w:rsid w:val="009176C2"/>
    <w:rsid w:val="00941895"/>
    <w:rsid w:val="00945207"/>
    <w:rsid w:val="009508D4"/>
    <w:rsid w:val="00951910"/>
    <w:rsid w:val="009535D0"/>
    <w:rsid w:val="00955EDE"/>
    <w:rsid w:val="00973770"/>
    <w:rsid w:val="00982285"/>
    <w:rsid w:val="00984913"/>
    <w:rsid w:val="00987DAD"/>
    <w:rsid w:val="00991AF1"/>
    <w:rsid w:val="009923CE"/>
    <w:rsid w:val="009A6E7F"/>
    <w:rsid w:val="009B44BB"/>
    <w:rsid w:val="009E4190"/>
    <w:rsid w:val="009F0275"/>
    <w:rsid w:val="00A00B0A"/>
    <w:rsid w:val="00A05DA5"/>
    <w:rsid w:val="00A11057"/>
    <w:rsid w:val="00A1231C"/>
    <w:rsid w:val="00A13628"/>
    <w:rsid w:val="00A23233"/>
    <w:rsid w:val="00A467D9"/>
    <w:rsid w:val="00A540AC"/>
    <w:rsid w:val="00A668B3"/>
    <w:rsid w:val="00A82D48"/>
    <w:rsid w:val="00A932B2"/>
    <w:rsid w:val="00AA1C18"/>
    <w:rsid w:val="00AA3739"/>
    <w:rsid w:val="00AA5E7F"/>
    <w:rsid w:val="00AA7E1C"/>
    <w:rsid w:val="00AB2F51"/>
    <w:rsid w:val="00AB5443"/>
    <w:rsid w:val="00AD4035"/>
    <w:rsid w:val="00AD4E94"/>
    <w:rsid w:val="00AD69D5"/>
    <w:rsid w:val="00B023E4"/>
    <w:rsid w:val="00B044BF"/>
    <w:rsid w:val="00B05666"/>
    <w:rsid w:val="00B116D3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502"/>
    <w:rsid w:val="00BA0D02"/>
    <w:rsid w:val="00BA57B8"/>
    <w:rsid w:val="00BD322D"/>
    <w:rsid w:val="00BD6D59"/>
    <w:rsid w:val="00BD7169"/>
    <w:rsid w:val="00BE52E4"/>
    <w:rsid w:val="00C00277"/>
    <w:rsid w:val="00C00A35"/>
    <w:rsid w:val="00C01FE3"/>
    <w:rsid w:val="00C02919"/>
    <w:rsid w:val="00C02937"/>
    <w:rsid w:val="00C03DCB"/>
    <w:rsid w:val="00C13B00"/>
    <w:rsid w:val="00C53A52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C77CF"/>
    <w:rsid w:val="00CD2D37"/>
    <w:rsid w:val="00CD3389"/>
    <w:rsid w:val="00CF6DA9"/>
    <w:rsid w:val="00D0571D"/>
    <w:rsid w:val="00D12AFC"/>
    <w:rsid w:val="00D15878"/>
    <w:rsid w:val="00D16196"/>
    <w:rsid w:val="00D205B3"/>
    <w:rsid w:val="00D2509C"/>
    <w:rsid w:val="00D30A00"/>
    <w:rsid w:val="00D31DCB"/>
    <w:rsid w:val="00D37968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1E5"/>
    <w:rsid w:val="00DF020A"/>
    <w:rsid w:val="00E01284"/>
    <w:rsid w:val="00E01569"/>
    <w:rsid w:val="00E02138"/>
    <w:rsid w:val="00E04805"/>
    <w:rsid w:val="00E05E49"/>
    <w:rsid w:val="00E06E98"/>
    <w:rsid w:val="00E223FB"/>
    <w:rsid w:val="00E22FEE"/>
    <w:rsid w:val="00E3429B"/>
    <w:rsid w:val="00E5312E"/>
    <w:rsid w:val="00E60534"/>
    <w:rsid w:val="00E65A92"/>
    <w:rsid w:val="00E65B56"/>
    <w:rsid w:val="00E84EA3"/>
    <w:rsid w:val="00E917B0"/>
    <w:rsid w:val="00EA2EC2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A0C2C"/>
    <w:rsid w:val="00FA2BFE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9C97264-5D83-4434-80E1-5D7F9DCA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2022-05-13T15:57:00Z</dcterms:created>
  <dcterms:modified xsi:type="dcterms:W3CDTF">2022-05-13T15:57:00Z</dcterms:modified>
</cp:coreProperties>
</file>