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33EB7091" w:rsidR="005441F9" w:rsidRDefault="00123632" w:rsidP="00DD7646">
      <w:pPr>
        <w:pStyle w:val="Title"/>
      </w:pPr>
      <w:r>
        <w:rPr>
          <w:noProof/>
        </w:rPr>
        <w:drawing>
          <wp:inline distT="0" distB="0" distL="0" distR="0" wp14:anchorId="6A4A3228" wp14:editId="23193D10">
            <wp:extent cx="6120130" cy="8214995"/>
            <wp:effectExtent l="0" t="0" r="127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Default="00DD7646" w:rsidP="00DD7646">
      <w:pPr>
        <w:pStyle w:val="Title"/>
      </w:pPr>
    </w:p>
    <w:p w14:paraId="15EC755C" w14:textId="77777777" w:rsidR="00DD7646" w:rsidRDefault="00DD7646" w:rsidP="00DD7646">
      <w:pPr>
        <w:pStyle w:val="Title"/>
      </w:pPr>
    </w:p>
    <w:p w14:paraId="2B5F180D" w14:textId="4DF04048" w:rsidR="00DD7646" w:rsidRPr="005B5F4F" w:rsidRDefault="0047512E" w:rsidP="00EC45A5">
      <w:pPr>
        <w:pStyle w:val="Title"/>
        <w:ind w:left="567"/>
        <w:jc w:val="left"/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</w:pPr>
      <w:r w:rsidRPr="005B5F4F"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  <w:t>Nome progetto</w:t>
      </w:r>
    </w:p>
    <w:p w14:paraId="56C6E390" w14:textId="6820F25E" w:rsidR="00F532FE" w:rsidRPr="005B5F4F" w:rsidRDefault="000A34B4" w:rsidP="00EC45A5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5B5F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5B5F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5B5F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5B5F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5B5F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5B5F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</w:t>
      </w:r>
      <w:r w:rsidR="00F5330C" w:rsidRPr="005B5F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C</w:t>
      </w:r>
      <w:r w:rsidR="00F532FE" w:rsidRPr="005B5F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1834FA" w:rsidRPr="005B5F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–</w:t>
      </w:r>
      <w:r w:rsidR="00F532FE" w:rsidRPr="005B5F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30C" w:rsidRPr="005B5F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Gestione a regime della </w:t>
      </w:r>
      <w:r w:rsidR="005F7CE8" w:rsidRPr="005B5F4F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soluzione</w:t>
      </w:r>
    </w:p>
    <w:p w14:paraId="5AF5B6F9" w14:textId="7C8B8D77" w:rsidR="00F532FE" w:rsidRPr="005B5F4F" w:rsidRDefault="00F5330C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5B5F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C2</w:t>
      </w:r>
      <w:r w:rsidR="00EC45A5" w:rsidRPr="005B5F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5B5F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5B5F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5B5F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50752E" w:rsidRPr="005B5F4F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organizzativi</w:t>
      </w:r>
    </w:p>
    <w:p w14:paraId="31F24209" w14:textId="28044EB7" w:rsidR="00AA1C18" w:rsidRPr="005B5F4F" w:rsidRDefault="00F5330C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5B5F4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C</w:t>
      </w:r>
      <w:r w:rsidR="00430B95" w:rsidRPr="005B5F4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2</w:t>
      </w:r>
      <w:r w:rsidR="0047512E" w:rsidRPr="005B5F4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EC45A5" w:rsidRPr="005B5F4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1</w:t>
      </w:r>
      <w:r w:rsidR="0047512E" w:rsidRPr="005B5F4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  <w:r w:rsidRPr="005B5F4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Fattori organizzativi</w:t>
      </w:r>
    </w:p>
    <w:p w14:paraId="0609FDC3" w14:textId="2BF400BC" w:rsidR="00F5330C" w:rsidRPr="005B5F4F" w:rsidRDefault="00F5330C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5B5F4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C2.2 </w:t>
      </w:r>
      <w:r w:rsidR="00F72126" w:rsidRPr="005B5F4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Che</w:t>
      </w:r>
      <w:r w:rsidR="005F7CE8" w:rsidRPr="005B5F4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c</w:t>
      </w:r>
      <w:r w:rsidR="00F72126" w:rsidRPr="005B5F4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k</w:t>
      </w:r>
      <w:r w:rsidR="005F7CE8" w:rsidRPr="005B5F4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  <w:r w:rsidR="00F72126" w:rsidRPr="005B5F4F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list aspetti organizzativi</w:t>
      </w:r>
    </w:p>
    <w:p w14:paraId="309A334F" w14:textId="56A026E8" w:rsidR="004D7760" w:rsidRPr="005B5F4F" w:rsidRDefault="004D7760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59017C4E" w14:textId="290A9700" w:rsidR="00101313" w:rsidRPr="005B5F4F" w:rsidRDefault="00101313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4FAC9A" w14:textId="77777777" w:rsidR="00101313" w:rsidRPr="005B5F4F" w:rsidRDefault="00101313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5B5F4F" w:rsidRDefault="00A932B2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BBA59" w14:textId="7EAE82D3" w:rsidR="004D7760" w:rsidRPr="005B5F4F" w:rsidRDefault="004D7760" w:rsidP="004D7760">
      <w:pPr>
        <w:ind w:left="567"/>
        <w:rPr>
          <w:rFonts w:asciiTheme="minorHAnsi" w:hAnsiTheme="minorHAnsi" w:cstheme="minorHAnsi"/>
        </w:rPr>
      </w:pPr>
      <w:r w:rsidRPr="005B5F4F">
        <w:rPr>
          <w:rFonts w:asciiTheme="minorHAnsi" w:hAnsiTheme="minorHAnsi" w:cstheme="minorHAnsi"/>
        </w:rPr>
        <w:t xml:space="preserve">Versione: </w:t>
      </w:r>
      <w:r w:rsidR="00736EE4">
        <w:rPr>
          <w:rFonts w:asciiTheme="minorHAnsi" w:hAnsiTheme="minorHAnsi" w:cstheme="minorHAnsi"/>
        </w:rPr>
        <w:t>1</w:t>
      </w:r>
      <w:r w:rsidR="005F7CE8" w:rsidRPr="005B5F4F">
        <w:rPr>
          <w:rFonts w:asciiTheme="minorHAnsi" w:hAnsiTheme="minorHAnsi" w:cstheme="minorHAnsi"/>
        </w:rPr>
        <w:t>.0</w:t>
      </w:r>
    </w:p>
    <w:p w14:paraId="40423BF5" w14:textId="75BCE0C7" w:rsidR="00DD7646" w:rsidRPr="005B5F4F" w:rsidRDefault="00DD7646" w:rsidP="00DD7646">
      <w:pPr>
        <w:rPr>
          <w:rFonts w:asciiTheme="minorHAnsi" w:hAnsiTheme="minorHAnsi" w:cstheme="minorHAnsi"/>
        </w:rPr>
      </w:pPr>
      <w:r w:rsidRPr="005B5F4F">
        <w:rPr>
          <w:rFonts w:asciiTheme="minorHAnsi" w:hAnsiTheme="minorHAnsi" w:cstheme="minorHAnsi"/>
        </w:rPr>
        <w:br w:type="page"/>
      </w:r>
    </w:p>
    <w:p w14:paraId="4802EFBC" w14:textId="77777777" w:rsidR="000E590D" w:rsidRPr="005B5F4F" w:rsidRDefault="000E590D" w:rsidP="00C85CE6">
      <w:pPr>
        <w:pStyle w:val="Heading1"/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5B5F4F" w:rsidRDefault="004A51E0" w:rsidP="00C85CE6">
          <w:pPr>
            <w:pStyle w:val="TOCHeading"/>
            <w:rPr>
              <w:rFonts w:asciiTheme="minorHAnsi" w:hAnsiTheme="minorHAnsi" w:cstheme="minorHAnsi"/>
            </w:rPr>
          </w:pPr>
          <w:r w:rsidRPr="005B5F4F">
            <w:rPr>
              <w:rFonts w:asciiTheme="minorHAnsi" w:hAnsiTheme="minorHAnsi" w:cstheme="minorHAnsi"/>
            </w:rPr>
            <w:t>Sommario</w:t>
          </w:r>
        </w:p>
        <w:p w14:paraId="0027DD59" w14:textId="315184F1" w:rsidR="00C43E8B" w:rsidRPr="005B5F4F" w:rsidRDefault="004A51E0">
          <w:pPr>
            <w:pStyle w:val="TOC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5B5F4F">
            <w:fldChar w:fldCharType="begin"/>
          </w:r>
          <w:r w:rsidRPr="005B5F4F">
            <w:instrText xml:space="preserve"> TOC \o "1-3" \h \z \u </w:instrText>
          </w:r>
          <w:r w:rsidRPr="005B5F4F">
            <w:fldChar w:fldCharType="separate"/>
          </w:r>
          <w:hyperlink w:anchor="_Toc80721698" w:history="1">
            <w:r w:rsidR="00C43E8B" w:rsidRPr="005B5F4F">
              <w:rPr>
                <w:rStyle w:val="Hyperlink"/>
                <w:i w:val="0"/>
                <w:iCs w:val="0"/>
                <w:noProof/>
              </w:rPr>
              <w:t>Premessa</w:t>
            </w:r>
            <w:r w:rsidR="00C43E8B" w:rsidRPr="005B5F4F">
              <w:rPr>
                <w:noProof/>
                <w:webHidden/>
              </w:rPr>
              <w:tab/>
            </w:r>
            <w:r w:rsidR="00736EE4">
              <w:rPr>
                <w:noProof/>
                <w:webHidden/>
              </w:rPr>
              <w:t>3</w:t>
            </w:r>
          </w:hyperlink>
        </w:p>
        <w:p w14:paraId="1463622C" w14:textId="044CD79D" w:rsidR="00C43E8B" w:rsidRPr="005B5F4F" w:rsidRDefault="005E329F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721699" w:history="1">
            <w:r w:rsidR="00C43E8B" w:rsidRPr="005B5F4F">
              <w:rPr>
                <w:rStyle w:val="Hyperlink"/>
                <w:noProof/>
              </w:rPr>
              <w:t>1.</w:t>
            </w:r>
            <w:r w:rsidR="00C43E8B" w:rsidRPr="005B5F4F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C43E8B" w:rsidRPr="005B5F4F">
              <w:rPr>
                <w:rStyle w:val="Hyperlink"/>
                <w:noProof/>
              </w:rPr>
              <w:t>Fattori organizzativi</w:t>
            </w:r>
            <w:r w:rsidR="00C43E8B" w:rsidRPr="005B5F4F">
              <w:rPr>
                <w:noProof/>
                <w:webHidden/>
              </w:rPr>
              <w:tab/>
            </w:r>
            <w:r w:rsidR="00C43E8B" w:rsidRPr="005B5F4F">
              <w:rPr>
                <w:noProof/>
                <w:webHidden/>
              </w:rPr>
              <w:fldChar w:fldCharType="begin"/>
            </w:r>
            <w:r w:rsidR="00C43E8B" w:rsidRPr="005B5F4F">
              <w:rPr>
                <w:noProof/>
                <w:webHidden/>
              </w:rPr>
              <w:instrText xml:space="preserve"> PAGEREF _Toc80721699 \h </w:instrText>
            </w:r>
            <w:r w:rsidR="00C43E8B" w:rsidRPr="005B5F4F">
              <w:rPr>
                <w:noProof/>
                <w:webHidden/>
              </w:rPr>
            </w:r>
            <w:r w:rsidR="00C43E8B" w:rsidRPr="005B5F4F">
              <w:rPr>
                <w:noProof/>
                <w:webHidden/>
              </w:rPr>
              <w:fldChar w:fldCharType="separate"/>
            </w:r>
            <w:r w:rsidR="00736EE4">
              <w:rPr>
                <w:noProof/>
                <w:webHidden/>
              </w:rPr>
              <w:t>3</w:t>
            </w:r>
            <w:r w:rsidR="00C43E8B" w:rsidRPr="005B5F4F">
              <w:rPr>
                <w:noProof/>
                <w:webHidden/>
              </w:rPr>
              <w:fldChar w:fldCharType="end"/>
            </w:r>
          </w:hyperlink>
        </w:p>
        <w:p w14:paraId="43B9E65C" w14:textId="325084C9" w:rsidR="00C43E8B" w:rsidRPr="005B5F4F" w:rsidRDefault="005E329F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21700" w:history="1">
            <w:r w:rsidR="00C43E8B" w:rsidRPr="005B5F4F">
              <w:rPr>
                <w:rStyle w:val="Hyperlink"/>
                <w:noProof/>
              </w:rPr>
              <w:t>1.1.</w:t>
            </w:r>
            <w:r w:rsidR="00C43E8B" w:rsidRPr="005B5F4F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C43E8B" w:rsidRPr="005B5F4F">
              <w:rPr>
                <w:rStyle w:val="Hyperlink"/>
                <w:noProof/>
              </w:rPr>
              <w:t>Rafforzamento amministrativo</w:t>
            </w:r>
            <w:r w:rsidR="00C43E8B" w:rsidRPr="005B5F4F">
              <w:rPr>
                <w:noProof/>
                <w:webHidden/>
              </w:rPr>
              <w:tab/>
            </w:r>
            <w:r w:rsidR="00C43E8B" w:rsidRPr="005B5F4F">
              <w:rPr>
                <w:noProof/>
                <w:webHidden/>
              </w:rPr>
              <w:fldChar w:fldCharType="begin"/>
            </w:r>
            <w:r w:rsidR="00C43E8B" w:rsidRPr="005B5F4F">
              <w:rPr>
                <w:noProof/>
                <w:webHidden/>
              </w:rPr>
              <w:instrText xml:space="preserve"> PAGEREF _Toc80721700 \h </w:instrText>
            </w:r>
            <w:r w:rsidR="00C43E8B" w:rsidRPr="005B5F4F">
              <w:rPr>
                <w:noProof/>
                <w:webHidden/>
              </w:rPr>
            </w:r>
            <w:r w:rsidR="00C43E8B" w:rsidRPr="005B5F4F">
              <w:rPr>
                <w:noProof/>
                <w:webHidden/>
              </w:rPr>
              <w:fldChar w:fldCharType="separate"/>
            </w:r>
            <w:r w:rsidR="00736EE4">
              <w:rPr>
                <w:noProof/>
                <w:webHidden/>
              </w:rPr>
              <w:t>4</w:t>
            </w:r>
            <w:r w:rsidR="00C43E8B" w:rsidRPr="005B5F4F">
              <w:rPr>
                <w:noProof/>
                <w:webHidden/>
              </w:rPr>
              <w:fldChar w:fldCharType="end"/>
            </w:r>
          </w:hyperlink>
        </w:p>
        <w:p w14:paraId="4DC73E5B" w14:textId="0403D5C9" w:rsidR="00C43E8B" w:rsidRPr="005B5F4F" w:rsidRDefault="005E329F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21701" w:history="1">
            <w:r w:rsidR="00C43E8B" w:rsidRPr="005B5F4F">
              <w:rPr>
                <w:rStyle w:val="Hyperlink"/>
                <w:noProof/>
              </w:rPr>
              <w:t>1.2.</w:t>
            </w:r>
            <w:r w:rsidR="00C43E8B" w:rsidRPr="005B5F4F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C43E8B" w:rsidRPr="005B5F4F">
              <w:rPr>
                <w:rStyle w:val="Hyperlink"/>
                <w:noProof/>
              </w:rPr>
              <w:t>Governo della soluzione</w:t>
            </w:r>
            <w:r w:rsidR="00C43E8B" w:rsidRPr="005B5F4F">
              <w:rPr>
                <w:noProof/>
                <w:webHidden/>
              </w:rPr>
              <w:tab/>
            </w:r>
            <w:r w:rsidR="00C43E8B" w:rsidRPr="005B5F4F">
              <w:rPr>
                <w:noProof/>
                <w:webHidden/>
              </w:rPr>
              <w:fldChar w:fldCharType="begin"/>
            </w:r>
            <w:r w:rsidR="00C43E8B" w:rsidRPr="005B5F4F">
              <w:rPr>
                <w:noProof/>
                <w:webHidden/>
              </w:rPr>
              <w:instrText xml:space="preserve"> PAGEREF _Toc80721701 \h </w:instrText>
            </w:r>
            <w:r w:rsidR="00C43E8B" w:rsidRPr="005B5F4F">
              <w:rPr>
                <w:noProof/>
                <w:webHidden/>
              </w:rPr>
            </w:r>
            <w:r w:rsidR="00C43E8B" w:rsidRPr="005B5F4F">
              <w:rPr>
                <w:noProof/>
                <w:webHidden/>
              </w:rPr>
              <w:fldChar w:fldCharType="separate"/>
            </w:r>
            <w:r w:rsidR="00736EE4">
              <w:rPr>
                <w:noProof/>
                <w:webHidden/>
              </w:rPr>
              <w:t>4</w:t>
            </w:r>
            <w:r w:rsidR="00C43E8B" w:rsidRPr="005B5F4F">
              <w:rPr>
                <w:noProof/>
                <w:webHidden/>
              </w:rPr>
              <w:fldChar w:fldCharType="end"/>
            </w:r>
          </w:hyperlink>
        </w:p>
        <w:p w14:paraId="6FAFFA6E" w14:textId="3C29367A" w:rsidR="00C43E8B" w:rsidRPr="005B5F4F" w:rsidRDefault="005E329F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721702" w:history="1">
            <w:r w:rsidR="00C43E8B" w:rsidRPr="005B5F4F">
              <w:rPr>
                <w:rStyle w:val="Hyperlink"/>
                <w:noProof/>
              </w:rPr>
              <w:t>2.</w:t>
            </w:r>
            <w:r w:rsidR="00C43E8B" w:rsidRPr="005B5F4F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C43E8B" w:rsidRPr="005B5F4F">
              <w:rPr>
                <w:rStyle w:val="Hyperlink"/>
                <w:noProof/>
              </w:rPr>
              <w:t>Check list di capacità gestionale</w:t>
            </w:r>
            <w:r w:rsidR="00C43E8B" w:rsidRPr="005B5F4F">
              <w:rPr>
                <w:noProof/>
                <w:webHidden/>
              </w:rPr>
              <w:tab/>
            </w:r>
            <w:r w:rsidR="00C43E8B" w:rsidRPr="005B5F4F">
              <w:rPr>
                <w:noProof/>
                <w:webHidden/>
              </w:rPr>
              <w:fldChar w:fldCharType="begin"/>
            </w:r>
            <w:r w:rsidR="00C43E8B" w:rsidRPr="005B5F4F">
              <w:rPr>
                <w:noProof/>
                <w:webHidden/>
              </w:rPr>
              <w:instrText xml:space="preserve"> PAGEREF _Toc80721702 \h </w:instrText>
            </w:r>
            <w:r w:rsidR="00C43E8B" w:rsidRPr="005B5F4F">
              <w:rPr>
                <w:noProof/>
                <w:webHidden/>
              </w:rPr>
            </w:r>
            <w:r w:rsidR="00C43E8B" w:rsidRPr="005B5F4F">
              <w:rPr>
                <w:noProof/>
                <w:webHidden/>
              </w:rPr>
              <w:fldChar w:fldCharType="separate"/>
            </w:r>
            <w:r w:rsidR="00736EE4">
              <w:rPr>
                <w:noProof/>
                <w:webHidden/>
              </w:rPr>
              <w:t>5</w:t>
            </w:r>
            <w:r w:rsidR="00C43E8B" w:rsidRPr="005B5F4F">
              <w:rPr>
                <w:noProof/>
                <w:webHidden/>
              </w:rPr>
              <w:fldChar w:fldCharType="end"/>
            </w:r>
          </w:hyperlink>
        </w:p>
        <w:p w14:paraId="620CD876" w14:textId="4D2731D7" w:rsidR="004A51E0" w:rsidRPr="005B5F4F" w:rsidRDefault="004A51E0">
          <w:pPr>
            <w:rPr>
              <w:rFonts w:asciiTheme="minorHAnsi" w:hAnsiTheme="minorHAnsi" w:cstheme="minorHAnsi"/>
            </w:rPr>
          </w:pPr>
          <w:r w:rsidRPr="005B5F4F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BAB38AB" w14:textId="77777777" w:rsidR="00DD7646" w:rsidRPr="005B5F4F" w:rsidRDefault="00DD7646" w:rsidP="00DD7646">
      <w:pPr>
        <w:rPr>
          <w:rFonts w:asciiTheme="minorHAnsi" w:hAnsiTheme="minorHAnsi" w:cstheme="minorHAnsi"/>
        </w:rPr>
      </w:pPr>
      <w:r w:rsidRPr="005B5F4F">
        <w:rPr>
          <w:rFonts w:asciiTheme="minorHAnsi" w:hAnsiTheme="minorHAnsi" w:cstheme="minorHAnsi"/>
        </w:rPr>
        <w:br w:type="page"/>
      </w:r>
    </w:p>
    <w:p w14:paraId="12A9B770" w14:textId="77777777" w:rsidR="00B62729" w:rsidRPr="005B5F4F" w:rsidRDefault="00B62729" w:rsidP="00C85CE6">
      <w:pPr>
        <w:pStyle w:val="Heading1"/>
        <w:rPr>
          <w:rFonts w:asciiTheme="minorHAnsi" w:hAnsiTheme="minorHAnsi" w:cstheme="minorHAnsi"/>
        </w:rPr>
      </w:pPr>
      <w:bookmarkStart w:id="1" w:name="_Toc80721698"/>
      <w:r w:rsidRPr="005B5F4F">
        <w:rPr>
          <w:rFonts w:asciiTheme="minorHAnsi" w:hAnsiTheme="minorHAnsi" w:cstheme="minorHAnsi"/>
        </w:rPr>
        <w:t>Premessa</w:t>
      </w:r>
      <w:bookmarkEnd w:id="1"/>
    </w:p>
    <w:p w14:paraId="7836D34D" w14:textId="18CD1B67" w:rsidR="00C368CD" w:rsidRPr="005B5F4F" w:rsidRDefault="00955EDE" w:rsidP="0047512E">
      <w:pPr>
        <w:rPr>
          <w:rFonts w:asciiTheme="minorHAnsi" w:hAnsiTheme="minorHAnsi" w:cstheme="minorHAnsi"/>
        </w:rPr>
      </w:pPr>
      <w:r w:rsidRPr="005B5F4F">
        <w:rPr>
          <w:rFonts w:asciiTheme="minorHAnsi" w:hAnsiTheme="minorHAnsi" w:cstheme="minorHAnsi"/>
        </w:rPr>
        <w:t xml:space="preserve">Il presente documento </w:t>
      </w:r>
      <w:r w:rsidR="00F532FE" w:rsidRPr="005B5F4F">
        <w:rPr>
          <w:rFonts w:asciiTheme="minorHAnsi" w:hAnsiTheme="minorHAnsi" w:cstheme="minorHAnsi"/>
        </w:rPr>
        <w:t xml:space="preserve">raccoglie </w:t>
      </w:r>
      <w:r w:rsidR="0047512E" w:rsidRPr="005B5F4F">
        <w:rPr>
          <w:rFonts w:asciiTheme="minorHAnsi" w:hAnsiTheme="minorHAnsi" w:cstheme="minorHAnsi"/>
        </w:rPr>
        <w:t xml:space="preserve">gli strumenti </w:t>
      </w:r>
      <w:r w:rsidR="00430B95" w:rsidRPr="005B5F4F">
        <w:rPr>
          <w:rFonts w:asciiTheme="minorHAnsi" w:hAnsiTheme="minorHAnsi" w:cstheme="minorHAnsi"/>
        </w:rPr>
        <w:t>organizzativi</w:t>
      </w:r>
      <w:r w:rsidR="0047512E" w:rsidRPr="005B5F4F">
        <w:rPr>
          <w:rFonts w:asciiTheme="minorHAnsi" w:hAnsiTheme="minorHAnsi" w:cstheme="minorHAnsi"/>
        </w:rPr>
        <w:t xml:space="preserve"> del kit di riuso per la fase </w:t>
      </w:r>
      <w:r w:rsidR="00F5330C" w:rsidRPr="005B5F4F">
        <w:rPr>
          <w:rFonts w:asciiTheme="minorHAnsi" w:hAnsiTheme="minorHAnsi" w:cstheme="minorHAnsi"/>
        </w:rPr>
        <w:t>C</w:t>
      </w:r>
      <w:r w:rsidR="0047512E" w:rsidRPr="005B5F4F">
        <w:rPr>
          <w:rFonts w:asciiTheme="minorHAnsi" w:hAnsiTheme="minorHAnsi" w:cstheme="minorHAnsi"/>
        </w:rPr>
        <w:t xml:space="preserve"> – </w:t>
      </w:r>
      <w:r w:rsidR="00F5330C" w:rsidRPr="005B5F4F">
        <w:rPr>
          <w:rFonts w:asciiTheme="minorHAnsi" w:hAnsiTheme="minorHAnsi" w:cstheme="minorHAnsi"/>
        </w:rPr>
        <w:t xml:space="preserve">Gestione a regime della </w:t>
      </w:r>
      <w:r w:rsidR="005F7CE8" w:rsidRPr="005B5F4F">
        <w:rPr>
          <w:rFonts w:asciiTheme="minorHAnsi" w:hAnsiTheme="minorHAnsi" w:cstheme="minorHAnsi"/>
        </w:rPr>
        <w:t>Soluzione</w:t>
      </w:r>
      <w:bookmarkStart w:id="2" w:name="_Hlk532207513"/>
      <w:r w:rsidR="00F532FE" w:rsidRPr="005B5F4F">
        <w:rPr>
          <w:rFonts w:asciiTheme="minorHAnsi" w:hAnsiTheme="minorHAnsi" w:cstheme="minorHAnsi"/>
        </w:rPr>
        <w:t>, come previsto dall’Avviso OCPA2020</w:t>
      </w:r>
      <w:r w:rsidR="00F532FE" w:rsidRPr="005B5F4F">
        <w:rPr>
          <w:rStyle w:val="FootnoteReference"/>
          <w:rFonts w:asciiTheme="minorHAnsi" w:hAnsiTheme="minorHAnsi" w:cstheme="minorHAnsi"/>
        </w:rPr>
        <w:footnoteReference w:id="1"/>
      </w:r>
      <w:r w:rsidR="00F532FE" w:rsidRPr="005B5F4F">
        <w:rPr>
          <w:rFonts w:asciiTheme="minorHAnsi" w:hAnsiTheme="minorHAnsi" w:cstheme="minorHAnsi"/>
        </w:rPr>
        <w:t>,</w:t>
      </w:r>
      <w:r w:rsidR="0047512E" w:rsidRPr="005B5F4F">
        <w:rPr>
          <w:rFonts w:asciiTheme="minorHAnsi" w:hAnsiTheme="minorHAnsi" w:cstheme="minorHAnsi"/>
        </w:rPr>
        <w:t xml:space="preserve"> </w:t>
      </w:r>
      <w:r w:rsidR="005B5F4F">
        <w:rPr>
          <w:rFonts w:asciiTheme="minorHAnsi" w:hAnsiTheme="minorHAnsi" w:cstheme="minorHAnsi"/>
        </w:rPr>
        <w:t xml:space="preserve">e </w:t>
      </w:r>
      <w:r w:rsidR="0047512E" w:rsidRPr="005B5F4F">
        <w:rPr>
          <w:rFonts w:asciiTheme="minorHAnsi" w:hAnsiTheme="minorHAnsi" w:cstheme="minorHAnsi"/>
        </w:rPr>
        <w:t>ha lo scopo di</w:t>
      </w:r>
      <w:r w:rsidR="00430B95" w:rsidRPr="005B5F4F">
        <w:rPr>
          <w:rFonts w:asciiTheme="minorHAnsi" w:hAnsiTheme="minorHAnsi" w:cstheme="minorHAnsi"/>
        </w:rPr>
        <w:t xml:space="preserve"> illustrare</w:t>
      </w:r>
      <w:r w:rsidR="0047512E" w:rsidRPr="005B5F4F">
        <w:rPr>
          <w:rFonts w:asciiTheme="minorHAnsi" w:hAnsiTheme="minorHAnsi" w:cstheme="minorHAnsi"/>
        </w:rPr>
        <w:t xml:space="preserve"> </w:t>
      </w:r>
      <w:r w:rsidR="00430B95" w:rsidRPr="005B5F4F">
        <w:rPr>
          <w:rFonts w:asciiTheme="minorHAnsi" w:hAnsiTheme="minorHAnsi" w:cstheme="minorHAnsi"/>
        </w:rPr>
        <w:t>i</w:t>
      </w:r>
      <w:r w:rsidR="00F5330C" w:rsidRPr="005B5F4F">
        <w:rPr>
          <w:rFonts w:asciiTheme="minorHAnsi" w:hAnsiTheme="minorHAnsi" w:cstheme="minorHAnsi"/>
        </w:rPr>
        <w:t xml:space="preserve">l modello stabilizzato </w:t>
      </w:r>
      <w:r w:rsidR="00C368CD" w:rsidRPr="005B5F4F">
        <w:rPr>
          <w:rFonts w:asciiTheme="minorHAnsi" w:hAnsiTheme="minorHAnsi" w:cstheme="minorHAnsi"/>
        </w:rPr>
        <w:t xml:space="preserve">di trattamento della </w:t>
      </w:r>
      <w:r w:rsidR="005F7CE8" w:rsidRPr="005B5F4F">
        <w:rPr>
          <w:rFonts w:asciiTheme="minorHAnsi" w:hAnsiTheme="minorHAnsi" w:cstheme="minorHAnsi"/>
        </w:rPr>
        <w:t>soluzione</w:t>
      </w:r>
      <w:r w:rsidR="00C368CD" w:rsidRPr="005B5F4F">
        <w:rPr>
          <w:rFonts w:asciiTheme="minorHAnsi" w:hAnsiTheme="minorHAnsi" w:cstheme="minorHAnsi"/>
        </w:rPr>
        <w:t xml:space="preserve"> </w:t>
      </w:r>
      <w:r w:rsidR="00F5330C" w:rsidRPr="005B5F4F">
        <w:rPr>
          <w:rFonts w:asciiTheme="minorHAnsi" w:hAnsiTheme="minorHAnsi" w:cstheme="minorHAnsi"/>
        </w:rPr>
        <w:t xml:space="preserve">successivo alla acquisizione </w:t>
      </w:r>
      <w:r w:rsidR="00C368CD" w:rsidRPr="005B5F4F">
        <w:rPr>
          <w:rFonts w:asciiTheme="minorHAnsi" w:hAnsiTheme="minorHAnsi" w:cstheme="minorHAnsi"/>
        </w:rPr>
        <w:t xml:space="preserve">della stessa avvenuto nella FASE B. In questo contesto di regime sono essenziali due aspetti che connotano in modo forte il processo complessivo di riuso di </w:t>
      </w:r>
      <w:r w:rsidR="005B5F4F">
        <w:rPr>
          <w:rFonts w:asciiTheme="minorHAnsi" w:hAnsiTheme="minorHAnsi" w:cstheme="minorHAnsi"/>
        </w:rPr>
        <w:t>u</w:t>
      </w:r>
      <w:r w:rsidR="00C368CD" w:rsidRPr="005B5F4F">
        <w:rPr>
          <w:rFonts w:asciiTheme="minorHAnsi" w:hAnsiTheme="minorHAnsi" w:cstheme="minorHAnsi"/>
        </w:rPr>
        <w:t xml:space="preserve">n </w:t>
      </w:r>
      <w:r w:rsidR="005B5F4F">
        <w:rPr>
          <w:rFonts w:asciiTheme="minorHAnsi" w:hAnsiTheme="minorHAnsi" w:cstheme="minorHAnsi"/>
        </w:rPr>
        <w:t>s</w:t>
      </w:r>
      <w:r w:rsidR="00C368CD" w:rsidRPr="005B5F4F">
        <w:rPr>
          <w:rFonts w:asciiTheme="minorHAnsi" w:hAnsiTheme="minorHAnsi" w:cstheme="minorHAnsi"/>
        </w:rPr>
        <w:t>oggetto pubblico:</w:t>
      </w:r>
    </w:p>
    <w:p w14:paraId="61F035A5" w14:textId="7C13A0A0" w:rsidR="00C368CD" w:rsidRPr="005B5F4F" w:rsidRDefault="005B5F4F" w:rsidP="00C368CD">
      <w:pPr>
        <w:pStyle w:val="ListParagraph"/>
        <w:numPr>
          <w:ilvl w:val="0"/>
          <w:numId w:val="8"/>
        </w:numPr>
        <w:spacing w:before="120" w:after="0"/>
        <w:ind w:left="425" w:hanging="35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C368CD" w:rsidRPr="005B5F4F">
        <w:rPr>
          <w:rFonts w:asciiTheme="minorHAnsi" w:hAnsiTheme="minorHAnsi" w:cstheme="minorHAnsi"/>
        </w:rPr>
        <w:t>l rafforzamento amministrativo de</w:t>
      </w:r>
      <w:r w:rsidR="00DD23A1" w:rsidRPr="005B5F4F">
        <w:rPr>
          <w:rFonts w:asciiTheme="minorHAnsi" w:hAnsiTheme="minorHAnsi" w:cstheme="minorHAnsi"/>
        </w:rPr>
        <w:t xml:space="preserve">l Riusante (se del caso Comunità) </w:t>
      </w:r>
      <w:r w:rsidR="00C368CD" w:rsidRPr="005B5F4F">
        <w:rPr>
          <w:rFonts w:asciiTheme="minorHAnsi" w:hAnsiTheme="minorHAnsi" w:cstheme="minorHAnsi"/>
        </w:rPr>
        <w:t>conseguente al riuso</w:t>
      </w:r>
      <w:r w:rsidR="00C231C9" w:rsidRPr="005B5F4F">
        <w:rPr>
          <w:rFonts w:asciiTheme="minorHAnsi" w:hAnsiTheme="minorHAnsi" w:cstheme="minorHAnsi"/>
        </w:rPr>
        <w:t xml:space="preserve"> da mantenere;</w:t>
      </w:r>
    </w:p>
    <w:p w14:paraId="28155B0A" w14:textId="14C24667" w:rsidR="00C368CD" w:rsidRPr="005B5F4F" w:rsidRDefault="005B5F4F" w:rsidP="00C368CD">
      <w:pPr>
        <w:pStyle w:val="ListParagraph"/>
        <w:numPr>
          <w:ilvl w:val="0"/>
          <w:numId w:val="8"/>
        </w:numPr>
        <w:spacing w:before="120" w:after="0"/>
        <w:ind w:left="425" w:hanging="35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C368CD" w:rsidRPr="005B5F4F">
        <w:rPr>
          <w:rFonts w:asciiTheme="minorHAnsi" w:hAnsiTheme="minorHAnsi" w:cstheme="minorHAnsi"/>
        </w:rPr>
        <w:t xml:space="preserve">a gestione della </w:t>
      </w:r>
      <w:r w:rsidR="005F7CE8" w:rsidRPr="005B5F4F">
        <w:rPr>
          <w:rFonts w:asciiTheme="minorHAnsi" w:hAnsiTheme="minorHAnsi" w:cstheme="minorHAnsi"/>
        </w:rPr>
        <w:t>soluzione</w:t>
      </w:r>
      <w:r w:rsidR="00C368CD" w:rsidRPr="005B5F4F">
        <w:rPr>
          <w:rFonts w:asciiTheme="minorHAnsi" w:hAnsiTheme="minorHAnsi" w:cstheme="minorHAnsi"/>
        </w:rPr>
        <w:t>, inteso come investimento, mantenimento e valorizzazione dello stesso</w:t>
      </w:r>
      <w:r w:rsidR="00C231C9" w:rsidRPr="005B5F4F">
        <w:rPr>
          <w:rFonts w:asciiTheme="minorHAnsi" w:hAnsiTheme="minorHAnsi" w:cstheme="minorHAnsi"/>
        </w:rPr>
        <w:t>.</w:t>
      </w:r>
    </w:p>
    <w:p w14:paraId="2EDB3CB4" w14:textId="180617B5" w:rsidR="0047512E" w:rsidRPr="005B5F4F" w:rsidRDefault="0047512E" w:rsidP="0047512E">
      <w:pPr>
        <w:rPr>
          <w:rFonts w:asciiTheme="minorHAnsi" w:hAnsiTheme="minorHAnsi" w:cstheme="minorHAnsi"/>
        </w:rPr>
      </w:pPr>
    </w:p>
    <w:p w14:paraId="4FC8E1E9" w14:textId="0FC45C16" w:rsidR="00AB5443" w:rsidRPr="005B5F4F" w:rsidRDefault="00E265DC" w:rsidP="00F72126">
      <w:pPr>
        <w:pStyle w:val="Heading2"/>
        <w:rPr>
          <w:rFonts w:asciiTheme="minorHAnsi" w:hAnsiTheme="minorHAnsi" w:cstheme="minorHAnsi"/>
        </w:rPr>
      </w:pPr>
      <w:bookmarkStart w:id="4" w:name="_Toc80721699"/>
      <w:bookmarkEnd w:id="2"/>
      <w:r w:rsidRPr="005B5F4F">
        <w:rPr>
          <w:rFonts w:asciiTheme="minorHAnsi" w:hAnsiTheme="minorHAnsi" w:cstheme="minorHAnsi"/>
        </w:rPr>
        <w:t>Fattori organizzativi</w:t>
      </w:r>
      <w:bookmarkEnd w:id="4"/>
    </w:p>
    <w:p w14:paraId="0B864890" w14:textId="24F5EE0C" w:rsidR="00D04671" w:rsidRPr="005B5F4F" w:rsidRDefault="00D04671" w:rsidP="00D04671">
      <w:pPr>
        <w:rPr>
          <w:rFonts w:asciiTheme="minorHAnsi" w:hAnsiTheme="minorHAnsi" w:cstheme="minorHAnsi"/>
        </w:rPr>
      </w:pPr>
      <w:bookmarkStart w:id="5" w:name="_Hlk96957849"/>
      <w:r w:rsidRPr="005B5F4F">
        <w:rPr>
          <w:rFonts w:asciiTheme="minorHAnsi" w:hAnsiTheme="minorHAnsi" w:cstheme="minorHAnsi"/>
        </w:rPr>
        <w:t xml:space="preserve">Il processo di acquisizione </w:t>
      </w:r>
      <w:r w:rsidR="005F7CE8" w:rsidRPr="005B5F4F">
        <w:rPr>
          <w:rFonts w:asciiTheme="minorHAnsi" w:hAnsiTheme="minorHAnsi" w:cstheme="minorHAnsi"/>
        </w:rPr>
        <w:t>di una soluzione</w:t>
      </w:r>
      <w:r w:rsidRPr="005B5F4F">
        <w:rPr>
          <w:rFonts w:asciiTheme="minorHAnsi" w:hAnsiTheme="minorHAnsi" w:cstheme="minorHAnsi"/>
        </w:rPr>
        <w:t xml:space="preserve"> comporta </w:t>
      </w:r>
      <w:r w:rsidR="00D52B48" w:rsidRPr="005B5F4F">
        <w:rPr>
          <w:rFonts w:asciiTheme="minorHAnsi" w:hAnsiTheme="minorHAnsi" w:cstheme="minorHAnsi"/>
        </w:rPr>
        <w:t xml:space="preserve">normalmente la revisione </w:t>
      </w:r>
      <w:r w:rsidR="005F7CE8" w:rsidRPr="005B5F4F">
        <w:rPr>
          <w:rFonts w:asciiTheme="minorHAnsi" w:hAnsiTheme="minorHAnsi" w:cstheme="minorHAnsi"/>
        </w:rPr>
        <w:t>del modello</w:t>
      </w:r>
      <w:r w:rsidR="00D52B48" w:rsidRPr="005B5F4F">
        <w:rPr>
          <w:rFonts w:asciiTheme="minorHAnsi" w:hAnsiTheme="minorHAnsi" w:cstheme="minorHAnsi"/>
        </w:rPr>
        <w:t xml:space="preserve"> organizzativo della struttura e del lavoro. La </w:t>
      </w:r>
      <w:r w:rsidR="005F7CE8" w:rsidRPr="005B5F4F">
        <w:rPr>
          <w:rFonts w:asciiTheme="minorHAnsi" w:hAnsiTheme="minorHAnsi" w:cstheme="minorHAnsi"/>
        </w:rPr>
        <w:t>soluzione</w:t>
      </w:r>
      <w:r w:rsidR="00D52B48" w:rsidRPr="005B5F4F">
        <w:rPr>
          <w:rFonts w:asciiTheme="minorHAnsi" w:hAnsiTheme="minorHAnsi" w:cstheme="minorHAnsi"/>
        </w:rPr>
        <w:t xml:space="preserve"> affronta infatti contemporaneamente aspetti di diversa natura:</w:t>
      </w:r>
    </w:p>
    <w:p w14:paraId="1F30EED7" w14:textId="21BD92D9" w:rsidR="00D52B48" w:rsidRPr="005B5F4F" w:rsidRDefault="00D52B48" w:rsidP="00D52B48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B5F4F">
        <w:rPr>
          <w:rFonts w:asciiTheme="minorHAnsi" w:hAnsiTheme="minorHAnsi" w:cstheme="minorHAnsi"/>
        </w:rPr>
        <w:t xml:space="preserve">organizzativi </w:t>
      </w:r>
      <w:r w:rsidR="005B5F4F">
        <w:rPr>
          <w:rFonts w:asciiTheme="minorHAnsi" w:hAnsiTheme="minorHAnsi" w:cstheme="minorHAnsi"/>
        </w:rPr>
        <w:t>(in riferimento a</w:t>
      </w:r>
      <w:r w:rsidRPr="005B5F4F">
        <w:rPr>
          <w:rFonts w:asciiTheme="minorHAnsi" w:hAnsiTheme="minorHAnsi" w:cstheme="minorHAnsi"/>
        </w:rPr>
        <w:t>gli Enti interessati</w:t>
      </w:r>
      <w:r w:rsidR="005B5F4F">
        <w:rPr>
          <w:rFonts w:asciiTheme="minorHAnsi" w:hAnsiTheme="minorHAnsi" w:cstheme="minorHAnsi"/>
        </w:rPr>
        <w:t>);</w:t>
      </w:r>
      <w:r w:rsidRPr="005B5F4F">
        <w:rPr>
          <w:rFonts w:asciiTheme="minorHAnsi" w:hAnsiTheme="minorHAnsi" w:cstheme="minorHAnsi"/>
        </w:rPr>
        <w:t xml:space="preserve"> in quanto il riuso può essere effettuato da un singolo Ente o da un insieme di Enti o da un territorio intero di vastità oltre “comprensoriale” (es. regionale). A tal fine è necessario, come indicato nel piano di azione della Fase B, definire un proprio progetto di fabbisogno </w:t>
      </w:r>
      <w:r w:rsidR="005B5F4F">
        <w:rPr>
          <w:rFonts w:asciiTheme="minorHAnsi" w:hAnsiTheme="minorHAnsi" w:cstheme="minorHAnsi"/>
        </w:rPr>
        <w:t>comprendente anche l’aspetto</w:t>
      </w:r>
      <w:r w:rsidRPr="005B5F4F">
        <w:rPr>
          <w:rFonts w:asciiTheme="minorHAnsi" w:hAnsiTheme="minorHAnsi" w:cstheme="minorHAnsi"/>
        </w:rPr>
        <w:t xml:space="preserve"> organizzativo, sia per la configurazione tecnica della piattaforma digitale a supporto della </w:t>
      </w:r>
      <w:r w:rsidR="005F7CE8" w:rsidRPr="005B5F4F">
        <w:rPr>
          <w:rFonts w:asciiTheme="minorHAnsi" w:hAnsiTheme="minorHAnsi" w:cstheme="minorHAnsi"/>
        </w:rPr>
        <w:t>soluzione</w:t>
      </w:r>
      <w:r w:rsidRPr="005B5F4F">
        <w:rPr>
          <w:rFonts w:asciiTheme="minorHAnsi" w:hAnsiTheme="minorHAnsi" w:cstheme="minorHAnsi"/>
        </w:rPr>
        <w:t>, ma anche per una analisi e revisione organizzativa della struttura, del lavoro e dei processi;</w:t>
      </w:r>
    </w:p>
    <w:p w14:paraId="4E9C6EB9" w14:textId="4E80D68B" w:rsidR="00D52B48" w:rsidRPr="005B5F4F" w:rsidRDefault="0045160B" w:rsidP="00D52B48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D52B48" w:rsidRPr="005B5F4F">
        <w:rPr>
          <w:rFonts w:asciiTheme="minorHAnsi" w:hAnsiTheme="minorHAnsi" w:cstheme="minorHAnsi"/>
        </w:rPr>
        <w:t xml:space="preserve">rganizzativi </w:t>
      </w:r>
      <w:r>
        <w:rPr>
          <w:rFonts w:asciiTheme="minorHAnsi" w:hAnsiTheme="minorHAnsi" w:cstheme="minorHAnsi"/>
        </w:rPr>
        <w:t>(in riferimento alla</w:t>
      </w:r>
      <w:r w:rsidR="00D52B48" w:rsidRPr="005B5F4F">
        <w:rPr>
          <w:rFonts w:asciiTheme="minorHAnsi" w:hAnsiTheme="minorHAnsi" w:cstheme="minorHAnsi"/>
        </w:rPr>
        <w:t xml:space="preserve"> gestione delle informazioni</w:t>
      </w:r>
      <w:r>
        <w:rPr>
          <w:rFonts w:asciiTheme="minorHAnsi" w:hAnsiTheme="minorHAnsi" w:cstheme="minorHAnsi"/>
        </w:rPr>
        <w:t>);</w:t>
      </w:r>
      <w:r w:rsidR="00D52B48" w:rsidRPr="005B5F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il processo di riuso in tal senso deve: i) mirare ad un’ampia </w:t>
      </w:r>
      <w:r w:rsidR="00D52B48" w:rsidRPr="005B5F4F">
        <w:rPr>
          <w:rFonts w:asciiTheme="minorHAnsi" w:hAnsiTheme="minorHAnsi" w:cstheme="minorHAnsi"/>
        </w:rPr>
        <w:t xml:space="preserve">disponibilità </w:t>
      </w:r>
      <w:r>
        <w:rPr>
          <w:rFonts w:asciiTheme="minorHAnsi" w:hAnsiTheme="minorHAnsi" w:cstheme="minorHAnsi"/>
        </w:rPr>
        <w:t>alle informazioni (</w:t>
      </w:r>
      <w:r w:rsidR="00D52B48" w:rsidRPr="005B5F4F">
        <w:rPr>
          <w:rFonts w:asciiTheme="minorHAnsi" w:hAnsiTheme="minorHAnsi" w:cstheme="minorHAnsi"/>
        </w:rPr>
        <w:t>in termini di rapidità di accesso ed efficacia</w:t>
      </w:r>
      <w:r>
        <w:rPr>
          <w:rFonts w:asciiTheme="minorHAnsi" w:hAnsiTheme="minorHAnsi" w:cstheme="minorHAnsi"/>
        </w:rPr>
        <w:t xml:space="preserve"> delle stesse);</w:t>
      </w:r>
      <w:r w:rsidR="00D52B48" w:rsidRPr="005B5F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ii) garantire la corretta </w:t>
      </w:r>
      <w:r w:rsidR="00D52B48" w:rsidRPr="005B5F4F">
        <w:rPr>
          <w:rFonts w:asciiTheme="minorHAnsi" w:hAnsiTheme="minorHAnsi" w:cstheme="minorHAnsi"/>
        </w:rPr>
        <w:t xml:space="preserve">riservatezza e protezione </w:t>
      </w:r>
      <w:r>
        <w:rPr>
          <w:rFonts w:asciiTheme="minorHAnsi" w:hAnsiTheme="minorHAnsi" w:cstheme="minorHAnsi"/>
        </w:rPr>
        <w:t>(</w:t>
      </w:r>
      <w:r w:rsidR="00D52B48" w:rsidRPr="005B5F4F">
        <w:rPr>
          <w:rFonts w:asciiTheme="minorHAnsi" w:hAnsiTheme="minorHAnsi" w:cstheme="minorHAnsi"/>
        </w:rPr>
        <w:t>con uno specifico approfondimento sull’assegnazione del titolo di accesso</w:t>
      </w:r>
      <w:r>
        <w:rPr>
          <w:rFonts w:asciiTheme="minorHAnsi" w:hAnsiTheme="minorHAnsi" w:cstheme="minorHAnsi"/>
        </w:rPr>
        <w:t xml:space="preserve">); iii) </w:t>
      </w:r>
      <w:r w:rsidR="00542C17">
        <w:rPr>
          <w:rFonts w:asciiTheme="minorHAnsi" w:hAnsiTheme="minorHAnsi" w:cstheme="minorHAnsi"/>
        </w:rPr>
        <w:t>assicurare</w:t>
      </w:r>
      <w:r>
        <w:rPr>
          <w:rFonts w:asciiTheme="minorHAnsi" w:hAnsiTheme="minorHAnsi" w:cstheme="minorHAnsi"/>
        </w:rPr>
        <w:t xml:space="preserve"> l’</w:t>
      </w:r>
      <w:r w:rsidR="00D52B48" w:rsidRPr="005B5F4F">
        <w:rPr>
          <w:rFonts w:asciiTheme="minorHAnsi" w:hAnsiTheme="minorHAnsi" w:cstheme="minorHAnsi"/>
        </w:rPr>
        <w:t xml:space="preserve">interoperabilità </w:t>
      </w:r>
      <w:r>
        <w:rPr>
          <w:rFonts w:asciiTheme="minorHAnsi" w:hAnsiTheme="minorHAnsi" w:cstheme="minorHAnsi"/>
        </w:rPr>
        <w:t xml:space="preserve">dei sistemi in uso (trattandosi di una </w:t>
      </w:r>
      <w:r w:rsidR="00D52B48" w:rsidRPr="005B5F4F">
        <w:rPr>
          <w:rFonts w:asciiTheme="minorHAnsi" w:hAnsiTheme="minorHAnsi" w:cstheme="minorHAnsi"/>
        </w:rPr>
        <w:t>pratica di tipo multilivello amministrativo ed operativo orizzontale e verticale</w:t>
      </w:r>
      <w:r>
        <w:rPr>
          <w:rFonts w:asciiTheme="minorHAnsi" w:hAnsiTheme="minorHAnsi" w:cstheme="minorHAnsi"/>
        </w:rPr>
        <w:t>,</w:t>
      </w:r>
      <w:r w:rsidR="00D52B48" w:rsidRPr="005B5F4F">
        <w:rPr>
          <w:rFonts w:asciiTheme="minorHAnsi" w:hAnsiTheme="minorHAnsi" w:cstheme="minorHAnsi"/>
        </w:rPr>
        <w:t xml:space="preserve"> per problematiche di erogazione delle prestazioni e di gestione amministrativa delle stesse</w:t>
      </w:r>
      <w:r>
        <w:rPr>
          <w:rFonts w:asciiTheme="minorHAnsi" w:hAnsiTheme="minorHAnsi" w:cstheme="minorHAnsi"/>
        </w:rPr>
        <w:t>)</w:t>
      </w:r>
      <w:r w:rsidR="00D52B48" w:rsidRPr="005B5F4F">
        <w:rPr>
          <w:rFonts w:asciiTheme="minorHAnsi" w:hAnsiTheme="minorHAnsi" w:cstheme="minorHAnsi"/>
        </w:rPr>
        <w:t>;</w:t>
      </w:r>
    </w:p>
    <w:p w14:paraId="047CA7E8" w14:textId="09A948FC" w:rsidR="00D52B48" w:rsidRPr="005B5F4F" w:rsidRDefault="00420B98" w:rsidP="00D52B48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D52B48" w:rsidRPr="005B5F4F">
        <w:rPr>
          <w:rFonts w:asciiTheme="minorHAnsi" w:hAnsiTheme="minorHAnsi" w:cstheme="minorHAnsi"/>
        </w:rPr>
        <w:t>rganizzativ</w:t>
      </w:r>
      <w:r>
        <w:rPr>
          <w:rFonts w:asciiTheme="minorHAnsi" w:hAnsiTheme="minorHAnsi" w:cstheme="minorHAnsi"/>
        </w:rPr>
        <w:t>i</w:t>
      </w:r>
      <w:r w:rsidR="00D52B48" w:rsidRPr="005B5F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(in riferimento alla</w:t>
      </w:r>
      <w:r w:rsidR="00D52B48" w:rsidRPr="005B5F4F">
        <w:rPr>
          <w:rFonts w:asciiTheme="minorHAnsi" w:hAnsiTheme="minorHAnsi" w:cstheme="minorHAnsi"/>
        </w:rPr>
        <w:t xml:space="preserve"> gestione delle funzioni e degli iter che caratterizzano i servizi insiti nel concetto stesso di prestazione sociale a servizio individuale verso il cittadino</w:t>
      </w:r>
      <w:r>
        <w:rPr>
          <w:rFonts w:asciiTheme="minorHAnsi" w:hAnsiTheme="minorHAnsi" w:cstheme="minorHAnsi"/>
        </w:rPr>
        <w:t>); tali servizi</w:t>
      </w:r>
      <w:r w:rsidR="00D52B48" w:rsidRPr="005B5F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vengono</w:t>
      </w:r>
      <w:r w:rsidR="00D52B48" w:rsidRPr="005B5F4F">
        <w:rPr>
          <w:rFonts w:asciiTheme="minorHAnsi" w:hAnsiTheme="minorHAnsi" w:cstheme="minorHAnsi"/>
        </w:rPr>
        <w:t xml:space="preserve"> gestiti in aree comprensoriali che</w:t>
      </w:r>
      <w:r>
        <w:rPr>
          <w:rFonts w:asciiTheme="minorHAnsi" w:hAnsiTheme="minorHAnsi" w:cstheme="minorHAnsi"/>
        </w:rPr>
        <w:t>,</w:t>
      </w:r>
      <w:r w:rsidR="00D52B48" w:rsidRPr="005B5F4F">
        <w:rPr>
          <w:rFonts w:asciiTheme="minorHAnsi" w:hAnsiTheme="minorHAnsi" w:cstheme="minorHAnsi"/>
        </w:rPr>
        <w:t xml:space="preserve"> a second</w:t>
      </w:r>
      <w:r>
        <w:rPr>
          <w:rFonts w:asciiTheme="minorHAnsi" w:hAnsiTheme="minorHAnsi" w:cstheme="minorHAnsi"/>
        </w:rPr>
        <w:t>a</w:t>
      </w:r>
      <w:r w:rsidR="00D52B48" w:rsidRPr="005B5F4F">
        <w:rPr>
          <w:rFonts w:asciiTheme="minorHAnsi" w:hAnsiTheme="minorHAnsi" w:cstheme="minorHAnsi"/>
        </w:rPr>
        <w:t xml:space="preserve"> dell</w:t>
      </w:r>
      <w:r>
        <w:rPr>
          <w:rFonts w:asciiTheme="minorHAnsi" w:hAnsiTheme="minorHAnsi" w:cstheme="minorHAnsi"/>
        </w:rPr>
        <w:t>a</w:t>
      </w:r>
      <w:r w:rsidR="00D52B48" w:rsidRPr="005B5F4F">
        <w:rPr>
          <w:rFonts w:asciiTheme="minorHAnsi" w:hAnsiTheme="minorHAnsi" w:cstheme="minorHAnsi"/>
        </w:rPr>
        <w:t xml:space="preserve"> Regione</w:t>
      </w:r>
      <w:r>
        <w:rPr>
          <w:rFonts w:asciiTheme="minorHAnsi" w:hAnsiTheme="minorHAnsi" w:cstheme="minorHAnsi"/>
        </w:rPr>
        <w:t>,</w:t>
      </w:r>
      <w:r w:rsidR="00D52B48" w:rsidRPr="005B5F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possono assumere</w:t>
      </w:r>
      <w:r w:rsidR="00D52B48" w:rsidRPr="005B5F4F">
        <w:rPr>
          <w:rFonts w:asciiTheme="minorHAnsi" w:hAnsiTheme="minorHAnsi" w:cstheme="minorHAnsi"/>
        </w:rPr>
        <w:t xml:space="preserve"> nomi diversi (</w:t>
      </w:r>
      <w:r>
        <w:rPr>
          <w:rFonts w:asciiTheme="minorHAnsi" w:hAnsiTheme="minorHAnsi" w:cstheme="minorHAnsi"/>
        </w:rPr>
        <w:t>a</w:t>
      </w:r>
      <w:r w:rsidR="00D52B48" w:rsidRPr="005B5F4F">
        <w:rPr>
          <w:rFonts w:asciiTheme="minorHAnsi" w:hAnsiTheme="minorHAnsi" w:cstheme="minorHAnsi"/>
        </w:rPr>
        <w:t>mbiti, zone, distretti, ATS, e</w:t>
      </w:r>
      <w:r>
        <w:rPr>
          <w:rFonts w:asciiTheme="minorHAnsi" w:hAnsiTheme="minorHAnsi" w:cstheme="minorHAnsi"/>
        </w:rPr>
        <w:t>tc.</w:t>
      </w:r>
      <w:r w:rsidR="00D52B48" w:rsidRPr="005B5F4F">
        <w:rPr>
          <w:rFonts w:asciiTheme="minorHAnsi" w:hAnsiTheme="minorHAnsi" w:cstheme="minorHAnsi"/>
        </w:rPr>
        <w:t>). Quest’ultimo aspetto poi ha una ulteriore specificità legata ai trattamenti che caratterizzano i servizi</w:t>
      </w:r>
      <w:r>
        <w:rPr>
          <w:rFonts w:asciiTheme="minorHAnsi" w:hAnsiTheme="minorHAnsi" w:cstheme="minorHAnsi"/>
        </w:rPr>
        <w:t xml:space="preserve">, </w:t>
      </w:r>
      <w:r w:rsidR="00D52B48" w:rsidRPr="005B5F4F">
        <w:rPr>
          <w:rFonts w:asciiTheme="minorHAnsi" w:hAnsiTheme="minorHAnsi" w:cstheme="minorHAnsi"/>
        </w:rPr>
        <w:t xml:space="preserve">che possono essere di tipo preventivo o </w:t>
      </w:r>
      <w:r w:rsidR="00EA2652" w:rsidRPr="005B5F4F">
        <w:rPr>
          <w:rFonts w:asciiTheme="minorHAnsi" w:hAnsiTheme="minorHAnsi" w:cstheme="minorHAnsi"/>
        </w:rPr>
        <w:t xml:space="preserve">di istanza di parte. Hanno funzioni di ascolto, di proposta, di valutazione di erogazione e di consuntivazione differenziati sia come strutture che come </w:t>
      </w:r>
      <w:r>
        <w:rPr>
          <w:rFonts w:asciiTheme="minorHAnsi" w:hAnsiTheme="minorHAnsi" w:cstheme="minorHAnsi"/>
        </w:rPr>
        <w:t>s</w:t>
      </w:r>
      <w:r w:rsidR="00EA2652" w:rsidRPr="005B5F4F">
        <w:rPr>
          <w:rFonts w:asciiTheme="minorHAnsi" w:hAnsiTheme="minorHAnsi" w:cstheme="minorHAnsi"/>
        </w:rPr>
        <w:t>oggetti.</w:t>
      </w:r>
    </w:p>
    <w:p w14:paraId="7B014948" w14:textId="54E40436" w:rsidR="00EA2652" w:rsidRPr="005B5F4F" w:rsidRDefault="00EA2652" w:rsidP="00EA2652">
      <w:pPr>
        <w:rPr>
          <w:rFonts w:asciiTheme="minorHAnsi" w:hAnsiTheme="minorHAnsi" w:cstheme="minorHAnsi"/>
        </w:rPr>
      </w:pPr>
      <w:r w:rsidRPr="005B5F4F">
        <w:rPr>
          <w:rFonts w:asciiTheme="minorHAnsi" w:hAnsiTheme="minorHAnsi" w:cstheme="minorHAnsi"/>
        </w:rPr>
        <w:t xml:space="preserve">Questo contesto così articolato non può non influenzare le </w:t>
      </w:r>
      <w:r w:rsidR="00420B98">
        <w:rPr>
          <w:rFonts w:asciiTheme="minorHAnsi" w:hAnsiTheme="minorHAnsi" w:cstheme="minorHAnsi"/>
        </w:rPr>
        <w:t>tre</w:t>
      </w:r>
      <w:r w:rsidRPr="005B5F4F">
        <w:rPr>
          <w:rFonts w:asciiTheme="minorHAnsi" w:hAnsiTheme="minorHAnsi" w:cstheme="minorHAnsi"/>
        </w:rPr>
        <w:t xml:space="preserve"> fasi del riuso</w:t>
      </w:r>
      <w:r w:rsidR="00420B98">
        <w:rPr>
          <w:rFonts w:asciiTheme="minorHAnsi" w:hAnsiTheme="minorHAnsi" w:cstheme="minorHAnsi"/>
        </w:rPr>
        <w:t>,</w:t>
      </w:r>
      <w:r w:rsidRPr="005B5F4F">
        <w:rPr>
          <w:rFonts w:asciiTheme="minorHAnsi" w:hAnsiTheme="minorHAnsi" w:cstheme="minorHAnsi"/>
        </w:rPr>
        <w:t xml:space="preserve"> sia sotto l’aspetto valutativo di scelta, </w:t>
      </w:r>
      <w:r w:rsidR="00420B98">
        <w:rPr>
          <w:rFonts w:asciiTheme="minorHAnsi" w:hAnsiTheme="minorHAnsi" w:cstheme="minorHAnsi"/>
        </w:rPr>
        <w:t>sia sotto l’aspetto</w:t>
      </w:r>
      <w:r w:rsidRPr="005B5F4F">
        <w:rPr>
          <w:rFonts w:asciiTheme="minorHAnsi" w:hAnsiTheme="minorHAnsi" w:cstheme="minorHAnsi"/>
        </w:rPr>
        <w:t xml:space="preserve"> progettuale di attivazione e</w:t>
      </w:r>
      <w:r w:rsidR="00420B98">
        <w:rPr>
          <w:rFonts w:asciiTheme="minorHAnsi" w:hAnsiTheme="minorHAnsi" w:cstheme="minorHAnsi"/>
        </w:rPr>
        <w:t>,</w:t>
      </w:r>
      <w:r w:rsidRPr="005B5F4F">
        <w:rPr>
          <w:rFonts w:asciiTheme="minorHAnsi" w:hAnsiTheme="minorHAnsi" w:cstheme="minorHAnsi"/>
        </w:rPr>
        <w:t xml:space="preserve"> ancor di più</w:t>
      </w:r>
      <w:r w:rsidR="00420B98">
        <w:rPr>
          <w:rFonts w:asciiTheme="minorHAnsi" w:hAnsiTheme="minorHAnsi" w:cstheme="minorHAnsi"/>
        </w:rPr>
        <w:t xml:space="preserve">, rispetto a </w:t>
      </w:r>
      <w:r w:rsidRPr="005B5F4F">
        <w:rPr>
          <w:rFonts w:asciiTheme="minorHAnsi" w:hAnsiTheme="minorHAnsi" w:cstheme="minorHAnsi"/>
        </w:rPr>
        <w:t>quello di gestione che, unito al progetto di attivazione, consente uno sviluppo del processo di riuso in modo stabile e funzionale nel tempo.</w:t>
      </w:r>
    </w:p>
    <w:bookmarkEnd w:id="5"/>
    <w:p w14:paraId="2E96D537" w14:textId="6B04472E" w:rsidR="00E265DC" w:rsidRPr="005B5F4F" w:rsidRDefault="00E265DC" w:rsidP="00EA2652">
      <w:pPr>
        <w:rPr>
          <w:rFonts w:asciiTheme="minorHAnsi" w:hAnsiTheme="minorHAnsi" w:cstheme="minorHAnsi"/>
        </w:rPr>
      </w:pPr>
    </w:p>
    <w:p w14:paraId="691139F5" w14:textId="31CC9B25" w:rsidR="00E265DC" w:rsidRPr="005B5F4F" w:rsidRDefault="00F72126" w:rsidP="00F72126">
      <w:pPr>
        <w:pStyle w:val="Heading3"/>
        <w:rPr>
          <w:rFonts w:asciiTheme="minorHAnsi" w:hAnsiTheme="minorHAnsi" w:cstheme="minorHAnsi"/>
        </w:rPr>
      </w:pPr>
      <w:bookmarkStart w:id="6" w:name="_Toc80721700"/>
      <w:r w:rsidRPr="005B5F4F">
        <w:rPr>
          <w:rFonts w:asciiTheme="minorHAnsi" w:hAnsiTheme="minorHAnsi" w:cstheme="minorHAnsi"/>
        </w:rPr>
        <w:t>R</w:t>
      </w:r>
      <w:r w:rsidR="00E265DC" w:rsidRPr="005B5F4F">
        <w:rPr>
          <w:rFonts w:asciiTheme="minorHAnsi" w:hAnsiTheme="minorHAnsi" w:cstheme="minorHAnsi"/>
        </w:rPr>
        <w:t>afforzamento amministrativo</w:t>
      </w:r>
      <w:bookmarkEnd w:id="6"/>
    </w:p>
    <w:p w14:paraId="686715DB" w14:textId="0CAA1CF4" w:rsidR="00EA2652" w:rsidRPr="005B5F4F" w:rsidRDefault="00AC4B1B" w:rsidP="00EA2652">
      <w:pPr>
        <w:rPr>
          <w:rFonts w:asciiTheme="minorHAnsi" w:hAnsiTheme="minorHAnsi" w:cstheme="minorHAnsi"/>
        </w:rPr>
      </w:pPr>
      <w:r w:rsidRPr="005B5F4F">
        <w:rPr>
          <w:rFonts w:asciiTheme="minorHAnsi" w:hAnsiTheme="minorHAnsi" w:cstheme="minorHAnsi"/>
        </w:rPr>
        <w:t>In tutto ciò punto di riferimento, per la valutazione dell’impegno necessario, è l’obiettivo di rafforzamento amministrativo perseguito attraverso l’intero processo.</w:t>
      </w:r>
    </w:p>
    <w:p w14:paraId="5A68E2C0" w14:textId="2CDAB36E" w:rsidR="00AC4B1B" w:rsidRPr="005B5F4F" w:rsidRDefault="00AC4B1B" w:rsidP="00EA2652">
      <w:pPr>
        <w:rPr>
          <w:rFonts w:asciiTheme="minorHAnsi" w:hAnsiTheme="minorHAnsi" w:cstheme="minorHAnsi"/>
        </w:rPr>
      </w:pPr>
      <w:r w:rsidRPr="005B5F4F">
        <w:rPr>
          <w:rFonts w:asciiTheme="minorHAnsi" w:hAnsiTheme="minorHAnsi" w:cstheme="minorHAnsi"/>
        </w:rPr>
        <w:t>Questo, a seconda del tipo di utilizzatore e del modello di lavoro che lo caratterizza ante-riuso, diventa un elemento essenziale di valutazione del progetto di trasferimento realizzato, ma soprattutto del modello di gestione a regime.</w:t>
      </w:r>
    </w:p>
    <w:p w14:paraId="5D224AAA" w14:textId="5693FB69" w:rsidR="00AC4B1B" w:rsidRPr="005B5F4F" w:rsidRDefault="00AC4B1B" w:rsidP="00EA2652">
      <w:pPr>
        <w:rPr>
          <w:rFonts w:asciiTheme="minorHAnsi" w:hAnsiTheme="minorHAnsi" w:cstheme="minorHAnsi"/>
        </w:rPr>
      </w:pPr>
      <w:r w:rsidRPr="005B5F4F">
        <w:rPr>
          <w:rFonts w:asciiTheme="minorHAnsi" w:hAnsiTheme="minorHAnsi" w:cstheme="minorHAnsi"/>
        </w:rPr>
        <w:t xml:space="preserve">A riguardo si </w:t>
      </w:r>
      <w:r w:rsidR="00AA2616" w:rsidRPr="005B5F4F">
        <w:rPr>
          <w:rFonts w:asciiTheme="minorHAnsi" w:hAnsiTheme="minorHAnsi" w:cstheme="minorHAnsi"/>
        </w:rPr>
        <w:t>propone la creazione di alcuni indicatori utili a supportare una corretta valutazione dei livelli di servizio definiti e auspicati per la fase di gestione a regime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738"/>
        <w:gridCol w:w="1029"/>
        <w:gridCol w:w="1215"/>
        <w:gridCol w:w="2652"/>
      </w:tblGrid>
      <w:tr w:rsidR="00E82655" w:rsidRPr="005B5F4F" w14:paraId="1B9E90EB" w14:textId="77777777" w:rsidTr="00623C76">
        <w:trPr>
          <w:tblHeader/>
        </w:trPr>
        <w:tc>
          <w:tcPr>
            <w:tcW w:w="4772" w:type="dxa"/>
          </w:tcPr>
          <w:p w14:paraId="1423E817" w14:textId="65F6235D" w:rsidR="00E82655" w:rsidRPr="005B5F4F" w:rsidRDefault="00E82655" w:rsidP="00E82655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B5F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Indicatore</w:t>
            </w:r>
          </w:p>
        </w:tc>
        <w:tc>
          <w:tcPr>
            <w:tcW w:w="1031" w:type="dxa"/>
          </w:tcPr>
          <w:p w14:paraId="408B7C84" w14:textId="75F3ED8D" w:rsidR="00E82655" w:rsidRPr="005B5F4F" w:rsidRDefault="00E82655" w:rsidP="00D60779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B5F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Valore target</w:t>
            </w:r>
          </w:p>
        </w:tc>
        <w:tc>
          <w:tcPr>
            <w:tcW w:w="1165" w:type="dxa"/>
          </w:tcPr>
          <w:p w14:paraId="4234BCB4" w14:textId="25E46E0E" w:rsidR="00E82655" w:rsidRPr="005B5F4F" w:rsidRDefault="006612C7" w:rsidP="00475BC3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B5F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Tollerabilità di successo</w:t>
            </w:r>
          </w:p>
        </w:tc>
        <w:tc>
          <w:tcPr>
            <w:tcW w:w="2666" w:type="dxa"/>
          </w:tcPr>
          <w:p w14:paraId="7C381CAE" w14:textId="5C53ECA2" w:rsidR="00E82655" w:rsidRPr="005B5F4F" w:rsidRDefault="00E82655" w:rsidP="004D5292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B5F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Nota descrittiva</w:t>
            </w:r>
          </w:p>
        </w:tc>
      </w:tr>
      <w:tr w:rsidR="00E82655" w:rsidRPr="005B5F4F" w14:paraId="4FF6FB1F" w14:textId="77777777" w:rsidTr="00623C76">
        <w:tc>
          <w:tcPr>
            <w:tcW w:w="4772" w:type="dxa"/>
          </w:tcPr>
          <w:p w14:paraId="17DC2132" w14:textId="5A9F4E9D" w:rsidR="00E82655" w:rsidRPr="005B5F4F" w:rsidRDefault="005F7CE8" w:rsidP="00AA2616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5B5F4F">
              <w:rPr>
                <w:rFonts w:asciiTheme="minorHAnsi" w:hAnsiTheme="minorHAnsi" w:cstheme="minorHAnsi"/>
                <w:sz w:val="20"/>
                <w:szCs w:val="20"/>
              </w:rPr>
              <w:t xml:space="preserve">Indicatore </w:t>
            </w:r>
            <w:r w:rsidR="00AA2616" w:rsidRPr="005B5F4F">
              <w:rPr>
                <w:rFonts w:asciiTheme="minorHAnsi" w:hAnsiTheme="minorHAnsi" w:cstheme="minorHAnsi"/>
                <w:sz w:val="20"/>
                <w:szCs w:val="20"/>
              </w:rPr>
              <w:t>di valutazione</w:t>
            </w:r>
          </w:p>
        </w:tc>
        <w:tc>
          <w:tcPr>
            <w:tcW w:w="1031" w:type="dxa"/>
          </w:tcPr>
          <w:p w14:paraId="2C0EF854" w14:textId="030DA225" w:rsidR="00E82655" w:rsidRPr="005B5F4F" w:rsidRDefault="005F7CE8" w:rsidP="00D60779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B5F4F">
              <w:rPr>
                <w:rFonts w:asciiTheme="minorHAnsi" w:hAnsiTheme="minorHAnsi" w:cstheme="minorHAnsi"/>
                <w:sz w:val="20"/>
                <w:szCs w:val="20"/>
              </w:rPr>
              <w:t xml:space="preserve">Es. </w:t>
            </w:r>
            <w:r w:rsidR="00E82655" w:rsidRPr="005B5F4F">
              <w:rPr>
                <w:rFonts w:asciiTheme="minorHAnsi" w:hAnsiTheme="minorHAnsi" w:cstheme="minorHAnsi"/>
                <w:sz w:val="20"/>
                <w:szCs w:val="20"/>
              </w:rPr>
              <w:t>&gt;80%</w:t>
            </w:r>
          </w:p>
        </w:tc>
        <w:tc>
          <w:tcPr>
            <w:tcW w:w="1165" w:type="dxa"/>
          </w:tcPr>
          <w:p w14:paraId="25610450" w14:textId="0486744A" w:rsidR="00E82655" w:rsidRPr="005B5F4F" w:rsidRDefault="005F7CE8" w:rsidP="00475BC3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B5F4F">
              <w:rPr>
                <w:rFonts w:asciiTheme="minorHAnsi" w:hAnsiTheme="minorHAnsi" w:cstheme="minorHAnsi"/>
                <w:sz w:val="20"/>
                <w:szCs w:val="20"/>
              </w:rPr>
              <w:t xml:space="preserve">Es. </w:t>
            </w:r>
            <w:r w:rsidR="006612C7" w:rsidRPr="005B5F4F"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  <w:tc>
          <w:tcPr>
            <w:tcW w:w="2666" w:type="dxa"/>
          </w:tcPr>
          <w:p w14:paraId="3FA49BF6" w14:textId="626A0BF7" w:rsidR="00E82655" w:rsidRPr="005B5F4F" w:rsidRDefault="005F7CE8" w:rsidP="00D60779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5B5F4F">
              <w:rPr>
                <w:rFonts w:asciiTheme="minorHAnsi" w:hAnsiTheme="minorHAnsi" w:cstheme="minorHAnsi"/>
                <w:sz w:val="20"/>
                <w:szCs w:val="20"/>
              </w:rPr>
              <w:t>Descrizione della valutazione</w:t>
            </w:r>
          </w:p>
        </w:tc>
      </w:tr>
      <w:tr w:rsidR="005F7CE8" w:rsidRPr="005B5F4F" w14:paraId="4D402E99" w14:textId="77777777" w:rsidTr="00623C76">
        <w:tc>
          <w:tcPr>
            <w:tcW w:w="4772" w:type="dxa"/>
          </w:tcPr>
          <w:p w14:paraId="7FEE6418" w14:textId="2FC0640F" w:rsidR="005F7CE8" w:rsidRPr="005B5F4F" w:rsidRDefault="005F7CE8" w:rsidP="00D60779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5B5F4F">
              <w:rPr>
                <w:rFonts w:asciiTheme="minorHAnsi" w:hAnsiTheme="minorHAnsi" w:cstheme="minorHAnsi"/>
                <w:sz w:val="20"/>
                <w:szCs w:val="20"/>
              </w:rPr>
              <w:t>……..</w:t>
            </w:r>
          </w:p>
        </w:tc>
        <w:tc>
          <w:tcPr>
            <w:tcW w:w="1031" w:type="dxa"/>
          </w:tcPr>
          <w:p w14:paraId="7782FBE7" w14:textId="68BEDD69" w:rsidR="005F7CE8" w:rsidRPr="005B5F4F" w:rsidRDefault="005F7CE8" w:rsidP="00D60779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B5F4F">
              <w:rPr>
                <w:rFonts w:asciiTheme="minorHAnsi" w:hAnsiTheme="minorHAnsi" w:cstheme="minorHAnsi"/>
                <w:sz w:val="20"/>
                <w:szCs w:val="20"/>
              </w:rPr>
              <w:t>…</w:t>
            </w:r>
          </w:p>
        </w:tc>
        <w:tc>
          <w:tcPr>
            <w:tcW w:w="1165" w:type="dxa"/>
          </w:tcPr>
          <w:p w14:paraId="7706D19D" w14:textId="6D85B175" w:rsidR="005F7CE8" w:rsidRPr="005B5F4F" w:rsidRDefault="005F7CE8" w:rsidP="00475BC3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B5F4F">
              <w:rPr>
                <w:rFonts w:asciiTheme="minorHAnsi" w:hAnsiTheme="minorHAnsi" w:cstheme="minorHAnsi"/>
                <w:sz w:val="20"/>
                <w:szCs w:val="20"/>
              </w:rPr>
              <w:t>…</w:t>
            </w:r>
          </w:p>
        </w:tc>
        <w:tc>
          <w:tcPr>
            <w:tcW w:w="2666" w:type="dxa"/>
          </w:tcPr>
          <w:p w14:paraId="5BA4683F" w14:textId="521F7F6A" w:rsidR="005F7CE8" w:rsidRPr="005B5F4F" w:rsidRDefault="005F7CE8" w:rsidP="00D60779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5B5F4F">
              <w:rPr>
                <w:rFonts w:asciiTheme="minorHAnsi" w:hAnsiTheme="minorHAnsi" w:cstheme="minorHAnsi"/>
                <w:sz w:val="20"/>
                <w:szCs w:val="20"/>
              </w:rPr>
              <w:t>……..</w:t>
            </w:r>
          </w:p>
        </w:tc>
      </w:tr>
    </w:tbl>
    <w:p w14:paraId="56661646" w14:textId="08AB510E" w:rsidR="00C66E44" w:rsidRPr="005B5F4F" w:rsidRDefault="00C66E44" w:rsidP="00EA2652">
      <w:pPr>
        <w:rPr>
          <w:rFonts w:asciiTheme="minorHAnsi" w:hAnsiTheme="minorHAnsi" w:cstheme="minorHAnsi"/>
        </w:rPr>
      </w:pPr>
    </w:p>
    <w:p w14:paraId="3E33E39B" w14:textId="3661F8FB" w:rsidR="00D52B48" w:rsidRPr="005B5F4F" w:rsidRDefault="00F72126" w:rsidP="00F72126">
      <w:pPr>
        <w:pStyle w:val="Heading3"/>
        <w:rPr>
          <w:rFonts w:asciiTheme="minorHAnsi" w:hAnsiTheme="minorHAnsi" w:cstheme="minorHAnsi"/>
        </w:rPr>
      </w:pPr>
      <w:bookmarkStart w:id="7" w:name="_Toc80721701"/>
      <w:r w:rsidRPr="005B5F4F">
        <w:rPr>
          <w:rFonts w:asciiTheme="minorHAnsi" w:hAnsiTheme="minorHAnsi" w:cstheme="minorHAnsi"/>
        </w:rPr>
        <w:t>G</w:t>
      </w:r>
      <w:r w:rsidR="00981888" w:rsidRPr="005B5F4F">
        <w:rPr>
          <w:rFonts w:asciiTheme="minorHAnsi" w:hAnsiTheme="minorHAnsi" w:cstheme="minorHAnsi"/>
        </w:rPr>
        <w:t>overno</w:t>
      </w:r>
      <w:r w:rsidR="00E265DC" w:rsidRPr="005B5F4F">
        <w:rPr>
          <w:rFonts w:asciiTheme="minorHAnsi" w:hAnsiTheme="minorHAnsi" w:cstheme="minorHAnsi"/>
        </w:rPr>
        <w:t xml:space="preserve"> della </w:t>
      </w:r>
      <w:r w:rsidR="005F7CE8" w:rsidRPr="005B5F4F">
        <w:rPr>
          <w:rFonts w:asciiTheme="minorHAnsi" w:hAnsiTheme="minorHAnsi" w:cstheme="minorHAnsi"/>
        </w:rPr>
        <w:t>soluzione</w:t>
      </w:r>
      <w:bookmarkEnd w:id="7"/>
    </w:p>
    <w:p w14:paraId="3EF9F623" w14:textId="13A3499A" w:rsidR="00E265DC" w:rsidRPr="00227B09" w:rsidRDefault="00AA2616" w:rsidP="00E265DC">
      <w:pPr>
        <w:rPr>
          <w:rFonts w:asciiTheme="minorHAnsi" w:hAnsiTheme="minorHAnsi" w:cstheme="minorHAnsi"/>
        </w:rPr>
      </w:pPr>
      <w:r w:rsidRPr="00227B09">
        <w:rPr>
          <w:rFonts w:asciiTheme="minorHAnsi" w:hAnsiTheme="minorHAnsi" w:cstheme="minorHAnsi"/>
        </w:rPr>
        <w:t xml:space="preserve">Si </w:t>
      </w:r>
      <w:r w:rsidR="00227B09">
        <w:rPr>
          <w:rFonts w:asciiTheme="minorHAnsi" w:hAnsiTheme="minorHAnsi" w:cstheme="minorHAnsi"/>
        </w:rPr>
        <w:t>suggerisce,</w:t>
      </w:r>
      <w:r w:rsidRPr="00227B09">
        <w:rPr>
          <w:rFonts w:asciiTheme="minorHAnsi" w:hAnsiTheme="minorHAnsi" w:cstheme="minorHAnsi"/>
        </w:rPr>
        <w:t xml:space="preserve"> in questa sezione</w:t>
      </w:r>
      <w:r w:rsidR="00227B09">
        <w:rPr>
          <w:rFonts w:asciiTheme="minorHAnsi" w:hAnsiTheme="minorHAnsi" w:cstheme="minorHAnsi"/>
        </w:rPr>
        <w:t>,</w:t>
      </w:r>
      <w:r w:rsidRPr="00227B09">
        <w:rPr>
          <w:rFonts w:asciiTheme="minorHAnsi" w:hAnsiTheme="minorHAnsi" w:cstheme="minorHAnsi"/>
        </w:rPr>
        <w:t xml:space="preserve"> di </w:t>
      </w:r>
      <w:r w:rsidR="00E265DC" w:rsidRPr="00227B09">
        <w:rPr>
          <w:rFonts w:asciiTheme="minorHAnsi" w:hAnsiTheme="minorHAnsi" w:cstheme="minorHAnsi"/>
        </w:rPr>
        <w:t xml:space="preserve">analizzare la problematica dell’organizzazione </w:t>
      </w:r>
      <w:r w:rsidR="0089687F" w:rsidRPr="00227B09">
        <w:rPr>
          <w:rFonts w:asciiTheme="minorHAnsi" w:hAnsiTheme="minorHAnsi" w:cstheme="minorHAnsi"/>
        </w:rPr>
        <w:t xml:space="preserve">operativa </w:t>
      </w:r>
      <w:r w:rsidR="00E265DC" w:rsidRPr="00227B09">
        <w:rPr>
          <w:rFonts w:asciiTheme="minorHAnsi" w:hAnsiTheme="minorHAnsi" w:cstheme="minorHAnsi"/>
        </w:rPr>
        <w:t>della gestione</w:t>
      </w:r>
      <w:r w:rsidRPr="00227B09">
        <w:rPr>
          <w:rFonts w:asciiTheme="minorHAnsi" w:hAnsiTheme="minorHAnsi" w:cstheme="minorHAnsi"/>
        </w:rPr>
        <w:t xml:space="preserve"> e di evidenziare l’organizzazione che ci si intende dare per supportare al meglio le strategie di mantenimento e di evoluzione della soluzione</w:t>
      </w:r>
      <w:r w:rsidR="00227B09">
        <w:rPr>
          <w:rFonts w:asciiTheme="minorHAnsi" w:hAnsiTheme="minorHAnsi" w:cstheme="minorHAnsi"/>
        </w:rPr>
        <w:t>.</w:t>
      </w:r>
    </w:p>
    <w:p w14:paraId="562D60ED" w14:textId="09AED4EA" w:rsidR="00C43E8B" w:rsidRPr="005B5F4F" w:rsidRDefault="00C43E8B">
      <w:pPr>
        <w:jc w:val="left"/>
        <w:rPr>
          <w:rFonts w:asciiTheme="minorHAnsi" w:hAnsiTheme="minorHAnsi" w:cstheme="minorHAnsi"/>
        </w:rPr>
      </w:pPr>
      <w:r w:rsidRPr="005B5F4F">
        <w:rPr>
          <w:rFonts w:asciiTheme="minorHAnsi" w:hAnsiTheme="minorHAnsi" w:cstheme="minorHAnsi"/>
        </w:rPr>
        <w:br w:type="page"/>
      </w:r>
    </w:p>
    <w:p w14:paraId="6179DF2E" w14:textId="63737770" w:rsidR="00E265DC" w:rsidRPr="005B5F4F" w:rsidRDefault="00E265DC" w:rsidP="00F72126">
      <w:pPr>
        <w:pStyle w:val="Heading2"/>
        <w:rPr>
          <w:rFonts w:asciiTheme="minorHAnsi" w:hAnsiTheme="minorHAnsi" w:cstheme="minorHAnsi"/>
        </w:rPr>
      </w:pPr>
      <w:bookmarkStart w:id="8" w:name="_Toc80721702"/>
      <w:r w:rsidRPr="005B5F4F">
        <w:rPr>
          <w:rFonts w:asciiTheme="minorHAnsi" w:hAnsiTheme="minorHAnsi" w:cstheme="minorHAnsi"/>
        </w:rPr>
        <w:t>Check list di capacità gestionale</w:t>
      </w:r>
      <w:bookmarkEnd w:id="8"/>
    </w:p>
    <w:p w14:paraId="20A44089" w14:textId="381EF46F" w:rsidR="00BC5925" w:rsidRPr="005B5F4F" w:rsidRDefault="00AA2616" w:rsidP="004D5292">
      <w:pPr>
        <w:rPr>
          <w:rFonts w:asciiTheme="minorHAnsi" w:hAnsiTheme="minorHAnsi" w:cstheme="minorHAnsi"/>
        </w:rPr>
      </w:pPr>
      <w:r w:rsidRPr="005B5F4F">
        <w:rPr>
          <w:rFonts w:asciiTheme="minorHAnsi" w:hAnsiTheme="minorHAnsi" w:cstheme="minorHAnsi"/>
        </w:rPr>
        <w:t>Una volta identificato il modello e l’organizzazione operativa della gestione sar</w:t>
      </w:r>
      <w:r w:rsidR="00863B76">
        <w:rPr>
          <w:rFonts w:asciiTheme="minorHAnsi" w:hAnsiTheme="minorHAnsi" w:cstheme="minorHAnsi"/>
        </w:rPr>
        <w:t>à</w:t>
      </w:r>
      <w:r w:rsidRPr="005B5F4F">
        <w:rPr>
          <w:rFonts w:asciiTheme="minorHAnsi" w:hAnsiTheme="minorHAnsi" w:cstheme="minorHAnsi"/>
        </w:rPr>
        <w:t xml:space="preserve"> utile interrogarsi su quali e quante funzioni necessarie alla gestione completa e alla evoluzione del sistema siano previste, presenti e</w:t>
      </w:r>
      <w:r w:rsidR="00CE5C95">
        <w:rPr>
          <w:rFonts w:asciiTheme="minorHAnsi" w:hAnsiTheme="minorHAnsi" w:cstheme="minorHAnsi"/>
        </w:rPr>
        <w:t>/</w:t>
      </w:r>
      <w:r w:rsidRPr="005B5F4F">
        <w:rPr>
          <w:rFonts w:asciiTheme="minorHAnsi" w:hAnsiTheme="minorHAnsi" w:cstheme="minorHAnsi"/>
        </w:rPr>
        <w:t>o disponibili</w:t>
      </w:r>
      <w:r w:rsidR="00863B76">
        <w:rPr>
          <w:rFonts w:asciiTheme="minorHAnsi" w:hAnsiTheme="minorHAnsi" w:cstheme="minorHAnsi"/>
        </w:rPr>
        <w:t>.</w:t>
      </w:r>
    </w:p>
    <w:p w14:paraId="25AE77A9" w14:textId="2AC2AF2D" w:rsidR="00A64522" w:rsidRPr="005B5F4F" w:rsidRDefault="00996685" w:rsidP="004D5292">
      <w:pPr>
        <w:rPr>
          <w:rFonts w:asciiTheme="minorHAnsi" w:hAnsiTheme="minorHAnsi" w:cstheme="minorHAnsi"/>
        </w:rPr>
      </w:pPr>
      <w:r w:rsidRPr="005B5F4F">
        <w:rPr>
          <w:rFonts w:asciiTheme="minorHAnsi" w:hAnsiTheme="minorHAnsi" w:cstheme="minorHAnsi"/>
        </w:rPr>
        <w:t>(</w:t>
      </w:r>
      <w:r w:rsidR="00863B76">
        <w:rPr>
          <w:rFonts w:asciiTheme="minorHAnsi" w:hAnsiTheme="minorHAnsi" w:cstheme="minorHAnsi"/>
        </w:rPr>
        <w:t xml:space="preserve">Si riportano, nella tabella che segue, alcuni </w:t>
      </w:r>
      <w:r w:rsidRPr="005B5F4F">
        <w:rPr>
          <w:rFonts w:asciiTheme="minorHAnsi" w:hAnsiTheme="minorHAnsi" w:cstheme="minorHAnsi"/>
        </w:rPr>
        <w:t>esempi di compilazione)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64522" w:rsidRPr="005B5F4F" w14:paraId="49F4B80E" w14:textId="77777777" w:rsidTr="00166642">
        <w:tc>
          <w:tcPr>
            <w:tcW w:w="3209" w:type="dxa"/>
          </w:tcPr>
          <w:p w14:paraId="4E8A0234" w14:textId="77777777" w:rsidR="00A64522" w:rsidRPr="005B5F4F" w:rsidRDefault="00A64522" w:rsidP="00166642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B5F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Esigenza</w:t>
            </w:r>
          </w:p>
        </w:tc>
        <w:tc>
          <w:tcPr>
            <w:tcW w:w="3209" w:type="dxa"/>
          </w:tcPr>
          <w:p w14:paraId="1F835B0F" w14:textId="5E3DC01A" w:rsidR="00A64522" w:rsidRPr="005B5F4F" w:rsidRDefault="00AD7445" w:rsidP="00166642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</w:t>
            </w:r>
            <w:r w:rsidR="00A64522" w:rsidRPr="005B5F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resenza organizzativa</w:t>
            </w:r>
          </w:p>
        </w:tc>
        <w:tc>
          <w:tcPr>
            <w:tcW w:w="3210" w:type="dxa"/>
          </w:tcPr>
          <w:p w14:paraId="0D4923F2" w14:textId="46A54CEF" w:rsidR="00A64522" w:rsidRPr="005B5F4F" w:rsidRDefault="00AD7445" w:rsidP="00166642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</w:t>
            </w:r>
            <w:r w:rsidR="00A64522" w:rsidRPr="005B5F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ossibile soluzione</w:t>
            </w:r>
          </w:p>
        </w:tc>
      </w:tr>
      <w:tr w:rsidR="00A64522" w:rsidRPr="005B5F4F" w14:paraId="6C728E83" w14:textId="77777777" w:rsidTr="00166642">
        <w:tc>
          <w:tcPr>
            <w:tcW w:w="3209" w:type="dxa"/>
          </w:tcPr>
          <w:p w14:paraId="4C45D351" w14:textId="66C660BC" w:rsidR="00A64522" w:rsidRPr="00AD7445" w:rsidRDefault="00A64522" w:rsidP="00166642">
            <w:pPr>
              <w:spacing w:before="120" w:after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 xml:space="preserve">Laboratorio di manutenzione soluzione digitale </w:t>
            </w:r>
          </w:p>
        </w:tc>
        <w:tc>
          <w:tcPr>
            <w:tcW w:w="3209" w:type="dxa"/>
          </w:tcPr>
          <w:p w14:paraId="2DC8A949" w14:textId="77777777" w:rsidR="00A64522" w:rsidRPr="00AD7445" w:rsidRDefault="00A64522" w:rsidP="00166642">
            <w:pPr>
              <w:spacing w:before="120" w:after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>Presenza competenze sviluppo software</w:t>
            </w:r>
          </w:p>
        </w:tc>
        <w:tc>
          <w:tcPr>
            <w:tcW w:w="3210" w:type="dxa"/>
          </w:tcPr>
          <w:p w14:paraId="06132DB7" w14:textId="77777777" w:rsidR="00A64522" w:rsidRPr="00AD7445" w:rsidRDefault="00A64522" w:rsidP="00166642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Si:</w:t>
            </w: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 xml:space="preserve"> accordi di collaborazione con Laboratorio cedente</w:t>
            </w:r>
          </w:p>
          <w:p w14:paraId="28CD70F1" w14:textId="77777777" w:rsidR="00A64522" w:rsidRPr="00AD7445" w:rsidRDefault="00A64522" w:rsidP="00166642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No:</w:t>
            </w: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 xml:space="preserve"> affidamento esterno o accordi con Cedente (Comunità o convenzione) o ricerca su mercato con eventuale accordo con cedente</w:t>
            </w:r>
          </w:p>
        </w:tc>
      </w:tr>
      <w:tr w:rsidR="00A64522" w:rsidRPr="005B5F4F" w14:paraId="45D59038" w14:textId="77777777" w:rsidTr="00166642">
        <w:tc>
          <w:tcPr>
            <w:tcW w:w="3209" w:type="dxa"/>
          </w:tcPr>
          <w:p w14:paraId="01D223F1" w14:textId="77777777" w:rsidR="00A64522" w:rsidRPr="00AD7445" w:rsidRDefault="00A64522" w:rsidP="00166642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>Hub di conoscenza</w:t>
            </w:r>
          </w:p>
        </w:tc>
        <w:tc>
          <w:tcPr>
            <w:tcW w:w="3209" w:type="dxa"/>
          </w:tcPr>
          <w:p w14:paraId="75B97AD6" w14:textId="77777777" w:rsidR="00A64522" w:rsidRPr="00AD7445" w:rsidRDefault="00A64522" w:rsidP="00166642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>Presenza di personale con capacità di analisi di bisogni e di definizione di specifiche</w:t>
            </w:r>
          </w:p>
        </w:tc>
        <w:tc>
          <w:tcPr>
            <w:tcW w:w="3210" w:type="dxa"/>
          </w:tcPr>
          <w:p w14:paraId="67AA5CFA" w14:textId="77777777" w:rsidR="00A64522" w:rsidRPr="00AD7445" w:rsidRDefault="00A64522" w:rsidP="00166642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Si:</w:t>
            </w: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 xml:space="preserve"> accordi di collaborazione con Comunità cedente</w:t>
            </w:r>
          </w:p>
          <w:p w14:paraId="0DBDCFB2" w14:textId="77777777" w:rsidR="00A64522" w:rsidRPr="00AD7445" w:rsidRDefault="00A64522" w:rsidP="00166642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No:</w:t>
            </w: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 xml:space="preserve"> Convenzione di Consulenza con Centro di Competenza o accordi con Cedente (Comunità o convenzione)</w:t>
            </w:r>
          </w:p>
        </w:tc>
      </w:tr>
      <w:tr w:rsidR="00DD23A1" w:rsidRPr="005B5F4F" w14:paraId="59AC2E36" w14:textId="77777777" w:rsidTr="00166642">
        <w:tc>
          <w:tcPr>
            <w:tcW w:w="3209" w:type="dxa"/>
          </w:tcPr>
          <w:p w14:paraId="630DE1C4" w14:textId="5F4E26BA" w:rsidR="00DD23A1" w:rsidRPr="00AD7445" w:rsidRDefault="00DD23A1" w:rsidP="00DD23A1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>Help desk I livello</w:t>
            </w:r>
          </w:p>
        </w:tc>
        <w:tc>
          <w:tcPr>
            <w:tcW w:w="3209" w:type="dxa"/>
          </w:tcPr>
          <w:p w14:paraId="269B0EEC" w14:textId="691D26E5" w:rsidR="00DD23A1" w:rsidRPr="00AD7445" w:rsidRDefault="00DD23A1" w:rsidP="00DD23A1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>Presenza di personale degli uffici in grado di raccogliere e filtrare le esigenze</w:t>
            </w:r>
          </w:p>
        </w:tc>
        <w:tc>
          <w:tcPr>
            <w:tcW w:w="3210" w:type="dxa"/>
          </w:tcPr>
          <w:p w14:paraId="6585D6EB" w14:textId="77777777" w:rsidR="00DD23A1" w:rsidRPr="00AD7445" w:rsidRDefault="00DD23A1" w:rsidP="00DD23A1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Si:</w:t>
            </w: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 xml:space="preserve"> Formazione e accordi con Cedente per avvio funzione di assistenza interna</w:t>
            </w:r>
          </w:p>
          <w:p w14:paraId="25982ABC" w14:textId="5A92D6DA" w:rsidR="00DD23A1" w:rsidRPr="00AD7445" w:rsidRDefault="00DD23A1" w:rsidP="00DD23A1">
            <w:pPr>
              <w:tabs>
                <w:tab w:val="center" w:pos="1497"/>
              </w:tabs>
              <w:spacing w:before="120" w:after="12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No:</w:t>
            </w: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 xml:space="preserve"> Convenzione con Centro di Competenza, fornitore mercato, o accordi con Cedente (Comunità o convenzione)</w:t>
            </w:r>
          </w:p>
        </w:tc>
      </w:tr>
      <w:tr w:rsidR="00DD23A1" w:rsidRPr="005B5F4F" w14:paraId="146497D3" w14:textId="77777777" w:rsidTr="00166642">
        <w:tc>
          <w:tcPr>
            <w:tcW w:w="3209" w:type="dxa"/>
          </w:tcPr>
          <w:p w14:paraId="6852C617" w14:textId="4E494F19" w:rsidR="00DD23A1" w:rsidRPr="00AD7445" w:rsidRDefault="00DD23A1" w:rsidP="00DD23A1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>Help Desk II livello</w:t>
            </w:r>
          </w:p>
        </w:tc>
        <w:tc>
          <w:tcPr>
            <w:tcW w:w="3209" w:type="dxa"/>
          </w:tcPr>
          <w:p w14:paraId="4A863FE4" w14:textId="6D6C4D1E" w:rsidR="00DD23A1" w:rsidRPr="00AD7445" w:rsidRDefault="00DD23A1" w:rsidP="00DD23A1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>Presenza di personale degli uffici in grado di raccogliere e filtrare le esigenze e del personale di competenza tecnica su sviluppo software</w:t>
            </w:r>
          </w:p>
        </w:tc>
        <w:tc>
          <w:tcPr>
            <w:tcW w:w="3210" w:type="dxa"/>
          </w:tcPr>
          <w:p w14:paraId="6ED76C56" w14:textId="77777777" w:rsidR="00DD23A1" w:rsidRPr="00AD7445" w:rsidRDefault="00DD23A1" w:rsidP="00DD23A1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Si:</w:t>
            </w: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 xml:space="preserve"> Formazione e accordi con Cedente per avvio funzione di assistenza interna</w:t>
            </w:r>
          </w:p>
          <w:p w14:paraId="1B4DD802" w14:textId="59640392" w:rsidR="00DD23A1" w:rsidRPr="00AD7445" w:rsidRDefault="00DD23A1" w:rsidP="00DD23A1">
            <w:pPr>
              <w:tabs>
                <w:tab w:val="center" w:pos="1497"/>
              </w:tabs>
              <w:spacing w:before="120" w:after="12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No:</w:t>
            </w: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 xml:space="preserve"> Convenzione con Centro di Competenza, fornitore mercato, o accordi con Cedente (Comunità o convenzione)</w:t>
            </w:r>
          </w:p>
        </w:tc>
      </w:tr>
      <w:tr w:rsidR="00DD23A1" w:rsidRPr="005B5F4F" w14:paraId="6C8D6598" w14:textId="77777777" w:rsidTr="00166642">
        <w:tc>
          <w:tcPr>
            <w:tcW w:w="3209" w:type="dxa"/>
          </w:tcPr>
          <w:p w14:paraId="205D42BE" w14:textId="4E8550A1" w:rsidR="00DD23A1" w:rsidRPr="00AD7445" w:rsidRDefault="00DD23A1" w:rsidP="00DD23A1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>Formazione e consulenza</w:t>
            </w:r>
          </w:p>
        </w:tc>
        <w:tc>
          <w:tcPr>
            <w:tcW w:w="3209" w:type="dxa"/>
          </w:tcPr>
          <w:p w14:paraId="34D62FF1" w14:textId="626767ED" w:rsidR="00DD23A1" w:rsidRPr="00AD7445" w:rsidRDefault="00DD23A1" w:rsidP="00DD23A1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>Presenza di personale degli uffici in grado di raccogliere le esigenze e pianificare interventi o analisi</w:t>
            </w:r>
          </w:p>
        </w:tc>
        <w:tc>
          <w:tcPr>
            <w:tcW w:w="3210" w:type="dxa"/>
          </w:tcPr>
          <w:p w14:paraId="340AC770" w14:textId="77777777" w:rsidR="00DD23A1" w:rsidRPr="00AD7445" w:rsidRDefault="00DD23A1" w:rsidP="00DD23A1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Si:</w:t>
            </w: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 xml:space="preserve"> Formazione e accordi con Cedente per avvio funzione di formazione interna</w:t>
            </w:r>
          </w:p>
          <w:p w14:paraId="17F9FDE1" w14:textId="1C91F373" w:rsidR="00DD23A1" w:rsidRPr="00AD7445" w:rsidRDefault="00DD23A1" w:rsidP="00DD23A1">
            <w:pPr>
              <w:tabs>
                <w:tab w:val="center" w:pos="1497"/>
              </w:tabs>
              <w:spacing w:before="120" w:after="12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No:</w:t>
            </w: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 xml:space="preserve"> Convenzione con Centro di Competenza, fornitore mercato, o accordi con Cedente (Comunità o convenzione)</w:t>
            </w:r>
          </w:p>
        </w:tc>
      </w:tr>
      <w:tr w:rsidR="00DD23A1" w:rsidRPr="005B5F4F" w14:paraId="60064AF7" w14:textId="77777777" w:rsidTr="00166642">
        <w:tc>
          <w:tcPr>
            <w:tcW w:w="3209" w:type="dxa"/>
          </w:tcPr>
          <w:p w14:paraId="454831FD" w14:textId="26353B80" w:rsidR="00DD23A1" w:rsidRPr="00AD7445" w:rsidRDefault="00DD23A1" w:rsidP="00DD23A1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>Centro di Competenza (se Regione)</w:t>
            </w:r>
          </w:p>
        </w:tc>
        <w:tc>
          <w:tcPr>
            <w:tcW w:w="3209" w:type="dxa"/>
          </w:tcPr>
          <w:p w14:paraId="7DB2929E" w14:textId="6338643B" w:rsidR="00DD23A1" w:rsidRPr="00AD7445" w:rsidRDefault="00DD23A1" w:rsidP="00DD23A1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>Presenza di modelli o processi di predisposizione di un centro di Competenza</w:t>
            </w:r>
          </w:p>
        </w:tc>
        <w:tc>
          <w:tcPr>
            <w:tcW w:w="3210" w:type="dxa"/>
          </w:tcPr>
          <w:p w14:paraId="056A1742" w14:textId="77777777" w:rsidR="00DD23A1" w:rsidRPr="00AD7445" w:rsidRDefault="00DD23A1" w:rsidP="00DD23A1">
            <w:pPr>
              <w:spacing w:before="120"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Si:</w:t>
            </w: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 xml:space="preserve"> acquisizione competenze con Comunità Cedente</w:t>
            </w:r>
          </w:p>
          <w:p w14:paraId="46AFC430" w14:textId="520B0110" w:rsidR="00DD23A1" w:rsidRPr="00AD7445" w:rsidRDefault="00DD23A1" w:rsidP="00DD23A1">
            <w:pPr>
              <w:tabs>
                <w:tab w:val="center" w:pos="1497"/>
              </w:tabs>
              <w:spacing w:before="120" w:after="12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D74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No:</w:t>
            </w:r>
            <w:r w:rsidRPr="00AD7445">
              <w:rPr>
                <w:rFonts w:asciiTheme="minorHAnsi" w:hAnsiTheme="minorHAnsi" w:cstheme="minorHAnsi"/>
                <w:sz w:val="18"/>
                <w:szCs w:val="18"/>
              </w:rPr>
              <w:t xml:space="preserve"> Accordo con Cedente di ingresso o istituzione Centro di competenza</w:t>
            </w:r>
          </w:p>
        </w:tc>
      </w:tr>
    </w:tbl>
    <w:p w14:paraId="16A100FD" w14:textId="50FA115B" w:rsidR="00DF4124" w:rsidRPr="005B5F4F" w:rsidRDefault="00DF4124" w:rsidP="00A64522">
      <w:pPr>
        <w:rPr>
          <w:rFonts w:asciiTheme="minorHAnsi" w:hAnsiTheme="minorHAnsi" w:cstheme="minorHAnsi"/>
        </w:rPr>
      </w:pPr>
    </w:p>
    <w:sectPr w:rsidR="00DF4124" w:rsidRPr="005B5F4F" w:rsidSect="001236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35" w:right="1134" w:bottom="1850" w:left="1134" w:header="567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15EF2" w14:textId="77777777" w:rsidR="004141FB" w:rsidRDefault="004141FB" w:rsidP="00DD7646">
      <w:r>
        <w:separator/>
      </w:r>
    </w:p>
  </w:endnote>
  <w:endnote w:type="continuationSeparator" w:id="0">
    <w:p w14:paraId="3D2130C7" w14:textId="77777777" w:rsidR="004141FB" w:rsidRDefault="004141FB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1B4D3" w14:textId="77777777" w:rsidR="00123632" w:rsidRDefault="00123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8810310"/>
      <w:docPartObj>
        <w:docPartGallery w:val="Page Numbers (Bottom of Page)"/>
        <w:docPartUnique/>
      </w:docPartObj>
    </w:sdtPr>
    <w:sdtEndPr/>
    <w:sdtContent>
      <w:p w14:paraId="715F87A2" w14:textId="4134D2D6" w:rsidR="005B5F4F" w:rsidRDefault="005B5F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6CB646" w14:textId="0F6568C0" w:rsidR="00EC7375" w:rsidRDefault="00EC7375" w:rsidP="00DD7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EFC79" w14:textId="77777777" w:rsidR="00123632" w:rsidRDefault="0012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E7150" w14:textId="77777777" w:rsidR="004141FB" w:rsidRDefault="004141FB" w:rsidP="00DD7646">
      <w:bookmarkStart w:id="0" w:name="_Hlk532206960"/>
      <w:bookmarkEnd w:id="0"/>
      <w:r>
        <w:separator/>
      </w:r>
    </w:p>
  </w:footnote>
  <w:footnote w:type="continuationSeparator" w:id="0">
    <w:p w14:paraId="4E00AA6A" w14:textId="77777777" w:rsidR="004141FB" w:rsidRDefault="004141FB" w:rsidP="00DD7646">
      <w:r>
        <w:continuationSeparator/>
      </w:r>
    </w:p>
  </w:footnote>
  <w:footnote w:id="1">
    <w:p w14:paraId="6F0BA0BC" w14:textId="77777777" w:rsidR="00EC7375" w:rsidRPr="002A429D" w:rsidRDefault="00EC7375" w:rsidP="00F532FE">
      <w:pPr>
        <w:pStyle w:val="FootnoteText"/>
        <w:rPr>
          <w:rFonts w:asciiTheme="minorHAnsi" w:hAnsiTheme="minorHAnsi" w:cstheme="minorHAnsi"/>
        </w:rPr>
      </w:pPr>
      <w:r w:rsidRPr="002A429D">
        <w:rPr>
          <w:rStyle w:val="FootnoteReference"/>
          <w:rFonts w:asciiTheme="minorHAnsi" w:hAnsiTheme="minorHAnsi" w:cstheme="minorHAnsi"/>
        </w:rPr>
        <w:footnoteRef/>
      </w:r>
      <w:r w:rsidRPr="002A429D">
        <w:rPr>
          <w:rFonts w:asciiTheme="minorHAnsi" w:hAnsiTheme="minorHAnsi" w:cstheme="minorHAnsi"/>
        </w:rPr>
        <w:t xml:space="preserve"> </w:t>
      </w:r>
      <w:bookmarkStart w:id="3" w:name="_Hlk531793358"/>
      <w:r w:rsidRPr="002A429D">
        <w:rPr>
          <w:rFonts w:asciiTheme="minorHAnsi" w:hAnsiTheme="minorHAnsi" w:cstheme="minorHAnsi"/>
        </w:rPr>
        <w:t>OCPA – OpenCommunityPA2020: primo Avviso pubblico per interventi volti al trasferimento, evoluzione e diffusione di buone prassi fra Pubbliche Amministrazioni</w:t>
      </w:r>
      <w:bookmarkEnd w:id="3"/>
      <w:r w:rsidRPr="002A429D">
        <w:rPr>
          <w:rFonts w:asciiTheme="minorHAnsi" w:hAnsiTheme="minorHAnsi" w:cstheme="min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89590" w14:textId="77777777" w:rsidR="00123632" w:rsidRDefault="00123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3635D" w14:textId="08BFD023" w:rsidR="00EC7375" w:rsidRDefault="00123632" w:rsidP="00DD7646">
    <w:pPr>
      <w:pStyle w:val="Header"/>
    </w:pPr>
    <w:r>
      <w:rPr>
        <w:noProof/>
      </w:rPr>
      <w:drawing>
        <wp:inline distT="0" distB="0" distL="0" distR="0" wp14:anchorId="41A08FC1" wp14:editId="6C50D08E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1081D" w14:textId="77777777" w:rsidR="00123632" w:rsidRDefault="00123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54DB"/>
    <w:multiLevelType w:val="hybridMultilevel"/>
    <w:tmpl w:val="42423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31F0"/>
    <w:multiLevelType w:val="hybridMultilevel"/>
    <w:tmpl w:val="0E1827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54909"/>
    <w:multiLevelType w:val="hybridMultilevel"/>
    <w:tmpl w:val="5198BF6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A31B56"/>
    <w:multiLevelType w:val="hybridMultilevel"/>
    <w:tmpl w:val="15A6CF1C"/>
    <w:lvl w:ilvl="0" w:tplc="36C21C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28F3"/>
    <w:multiLevelType w:val="hybridMultilevel"/>
    <w:tmpl w:val="7C9622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20E79"/>
    <w:multiLevelType w:val="hybridMultilevel"/>
    <w:tmpl w:val="EE04BDDC"/>
    <w:lvl w:ilvl="0" w:tplc="1CEA8A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95655"/>
    <w:multiLevelType w:val="hybridMultilevel"/>
    <w:tmpl w:val="6B1A4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C2FEB"/>
    <w:multiLevelType w:val="hybridMultilevel"/>
    <w:tmpl w:val="18F49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F5DC1"/>
    <w:multiLevelType w:val="hybridMultilevel"/>
    <w:tmpl w:val="09904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32328"/>
    <w:multiLevelType w:val="hybridMultilevel"/>
    <w:tmpl w:val="FF2CC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D02DE"/>
    <w:multiLevelType w:val="hybridMultilevel"/>
    <w:tmpl w:val="38A6989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936438"/>
    <w:multiLevelType w:val="hybridMultilevel"/>
    <w:tmpl w:val="0DCCA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B0868"/>
    <w:multiLevelType w:val="hybridMultilevel"/>
    <w:tmpl w:val="79FC5B74"/>
    <w:lvl w:ilvl="0" w:tplc="36C21C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049A4"/>
    <w:multiLevelType w:val="hybridMultilevel"/>
    <w:tmpl w:val="BB227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B750C"/>
    <w:multiLevelType w:val="hybridMultilevel"/>
    <w:tmpl w:val="33C4566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1762"/>
    <w:multiLevelType w:val="hybridMultilevel"/>
    <w:tmpl w:val="73D060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75CA9"/>
    <w:multiLevelType w:val="multilevel"/>
    <w:tmpl w:val="4D729DD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10451C"/>
    <w:multiLevelType w:val="hybridMultilevel"/>
    <w:tmpl w:val="FE56C1A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210B63"/>
    <w:multiLevelType w:val="hybridMultilevel"/>
    <w:tmpl w:val="42343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2"/>
  </w:num>
  <w:num w:numId="5">
    <w:abstractNumId w:val="7"/>
  </w:num>
  <w:num w:numId="6">
    <w:abstractNumId w:val="21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4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4"/>
  </w:num>
  <w:num w:numId="17">
    <w:abstractNumId w:val="0"/>
  </w:num>
  <w:num w:numId="18">
    <w:abstractNumId w:val="10"/>
  </w:num>
  <w:num w:numId="19">
    <w:abstractNumId w:val="15"/>
  </w:num>
  <w:num w:numId="20">
    <w:abstractNumId w:val="19"/>
  </w:num>
  <w:num w:numId="21">
    <w:abstractNumId w:val="8"/>
  </w:num>
  <w:num w:numId="22">
    <w:abstractNumId w:val="20"/>
  </w:num>
  <w:num w:numId="23">
    <w:abstractNumId w:val="3"/>
  </w:num>
  <w:num w:numId="24">
    <w:abstractNumId w:val="16"/>
  </w:num>
  <w:num w:numId="25">
    <w:abstractNumId w:val="19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9"/>
  </w:num>
  <w:num w:numId="30">
    <w:abstractNumId w:val="1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9"/>
  </w:num>
  <w:num w:numId="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26E2"/>
    <w:rsid w:val="00024364"/>
    <w:rsid w:val="0002789A"/>
    <w:rsid w:val="00031F5F"/>
    <w:rsid w:val="000353BC"/>
    <w:rsid w:val="0003552C"/>
    <w:rsid w:val="00036223"/>
    <w:rsid w:val="000529ED"/>
    <w:rsid w:val="000564A9"/>
    <w:rsid w:val="0006317E"/>
    <w:rsid w:val="0007134D"/>
    <w:rsid w:val="000713E3"/>
    <w:rsid w:val="000849F1"/>
    <w:rsid w:val="000A16A9"/>
    <w:rsid w:val="000A34B4"/>
    <w:rsid w:val="000D7090"/>
    <w:rsid w:val="000E530E"/>
    <w:rsid w:val="000E590D"/>
    <w:rsid w:val="000F082C"/>
    <w:rsid w:val="000F2E78"/>
    <w:rsid w:val="000F72E5"/>
    <w:rsid w:val="00100823"/>
    <w:rsid w:val="00101313"/>
    <w:rsid w:val="0010171A"/>
    <w:rsid w:val="00103A2F"/>
    <w:rsid w:val="001208D4"/>
    <w:rsid w:val="00121BAD"/>
    <w:rsid w:val="00123632"/>
    <w:rsid w:val="00126539"/>
    <w:rsid w:val="00131A04"/>
    <w:rsid w:val="00132858"/>
    <w:rsid w:val="00132EE1"/>
    <w:rsid w:val="00135A26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34FA"/>
    <w:rsid w:val="0018578C"/>
    <w:rsid w:val="001A187C"/>
    <w:rsid w:val="001A1F24"/>
    <w:rsid w:val="001A3E30"/>
    <w:rsid w:val="001A7A8E"/>
    <w:rsid w:val="001C536A"/>
    <w:rsid w:val="001D39BC"/>
    <w:rsid w:val="001E399B"/>
    <w:rsid w:val="001E4656"/>
    <w:rsid w:val="001E5217"/>
    <w:rsid w:val="001E631B"/>
    <w:rsid w:val="001E7AB0"/>
    <w:rsid w:val="001F2BD1"/>
    <w:rsid w:val="00212479"/>
    <w:rsid w:val="00213E83"/>
    <w:rsid w:val="0021609B"/>
    <w:rsid w:val="002229DC"/>
    <w:rsid w:val="0022605C"/>
    <w:rsid w:val="00227B09"/>
    <w:rsid w:val="00231DB6"/>
    <w:rsid w:val="0023473B"/>
    <w:rsid w:val="00240336"/>
    <w:rsid w:val="00264C22"/>
    <w:rsid w:val="00265925"/>
    <w:rsid w:val="002857A8"/>
    <w:rsid w:val="0029689B"/>
    <w:rsid w:val="002A07FC"/>
    <w:rsid w:val="002A22F1"/>
    <w:rsid w:val="002A2700"/>
    <w:rsid w:val="002A429D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11E93"/>
    <w:rsid w:val="00313345"/>
    <w:rsid w:val="00317CB9"/>
    <w:rsid w:val="00324E98"/>
    <w:rsid w:val="00333699"/>
    <w:rsid w:val="00333E2F"/>
    <w:rsid w:val="0035110E"/>
    <w:rsid w:val="003516D2"/>
    <w:rsid w:val="00356FC4"/>
    <w:rsid w:val="00370837"/>
    <w:rsid w:val="00382BE5"/>
    <w:rsid w:val="0038322B"/>
    <w:rsid w:val="00385444"/>
    <w:rsid w:val="003A2026"/>
    <w:rsid w:val="003B1C74"/>
    <w:rsid w:val="003D1BB4"/>
    <w:rsid w:val="003E380F"/>
    <w:rsid w:val="003F12EF"/>
    <w:rsid w:val="003F5E1A"/>
    <w:rsid w:val="00400885"/>
    <w:rsid w:val="00402638"/>
    <w:rsid w:val="00410597"/>
    <w:rsid w:val="004141FB"/>
    <w:rsid w:val="00420B98"/>
    <w:rsid w:val="00430B95"/>
    <w:rsid w:val="00433051"/>
    <w:rsid w:val="00433EC5"/>
    <w:rsid w:val="004362FA"/>
    <w:rsid w:val="0045160B"/>
    <w:rsid w:val="004740DC"/>
    <w:rsid w:val="00474964"/>
    <w:rsid w:val="0047512E"/>
    <w:rsid w:val="00475BC3"/>
    <w:rsid w:val="00485ED2"/>
    <w:rsid w:val="004918C8"/>
    <w:rsid w:val="00494609"/>
    <w:rsid w:val="00496780"/>
    <w:rsid w:val="0049797C"/>
    <w:rsid w:val="004A51E0"/>
    <w:rsid w:val="004B407E"/>
    <w:rsid w:val="004B6205"/>
    <w:rsid w:val="004C7162"/>
    <w:rsid w:val="004D2FB9"/>
    <w:rsid w:val="004D5292"/>
    <w:rsid w:val="004D7760"/>
    <w:rsid w:val="004E03CB"/>
    <w:rsid w:val="004E2832"/>
    <w:rsid w:val="004E46C6"/>
    <w:rsid w:val="004F4C14"/>
    <w:rsid w:val="0050064A"/>
    <w:rsid w:val="0050349A"/>
    <w:rsid w:val="0050752E"/>
    <w:rsid w:val="0054095F"/>
    <w:rsid w:val="00542A1B"/>
    <w:rsid w:val="00542C17"/>
    <w:rsid w:val="005441F9"/>
    <w:rsid w:val="00550659"/>
    <w:rsid w:val="005524C3"/>
    <w:rsid w:val="00552BB0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0C60"/>
    <w:rsid w:val="00592BF0"/>
    <w:rsid w:val="005970ED"/>
    <w:rsid w:val="005A42CD"/>
    <w:rsid w:val="005B3259"/>
    <w:rsid w:val="005B5F4F"/>
    <w:rsid w:val="005C26FB"/>
    <w:rsid w:val="005C2C3B"/>
    <w:rsid w:val="005E329F"/>
    <w:rsid w:val="005E64D1"/>
    <w:rsid w:val="005F7CE8"/>
    <w:rsid w:val="006022DC"/>
    <w:rsid w:val="0060730F"/>
    <w:rsid w:val="00621077"/>
    <w:rsid w:val="00623C76"/>
    <w:rsid w:val="00642946"/>
    <w:rsid w:val="006432E5"/>
    <w:rsid w:val="00653A7A"/>
    <w:rsid w:val="006612C7"/>
    <w:rsid w:val="00670070"/>
    <w:rsid w:val="006833D3"/>
    <w:rsid w:val="00686604"/>
    <w:rsid w:val="00686B81"/>
    <w:rsid w:val="006B1B03"/>
    <w:rsid w:val="006B59F8"/>
    <w:rsid w:val="006B6780"/>
    <w:rsid w:val="006C68DD"/>
    <w:rsid w:val="006F29D7"/>
    <w:rsid w:val="006F5023"/>
    <w:rsid w:val="006F57A9"/>
    <w:rsid w:val="006F60CA"/>
    <w:rsid w:val="007009A4"/>
    <w:rsid w:val="0073241F"/>
    <w:rsid w:val="007327D8"/>
    <w:rsid w:val="00735415"/>
    <w:rsid w:val="0073650E"/>
    <w:rsid w:val="00736EE4"/>
    <w:rsid w:val="007528EF"/>
    <w:rsid w:val="007679D9"/>
    <w:rsid w:val="00773DC7"/>
    <w:rsid w:val="00776B6D"/>
    <w:rsid w:val="00786CC8"/>
    <w:rsid w:val="00786D2D"/>
    <w:rsid w:val="007925A9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8110D7"/>
    <w:rsid w:val="00812E6A"/>
    <w:rsid w:val="00814D39"/>
    <w:rsid w:val="00821AF4"/>
    <w:rsid w:val="00827D01"/>
    <w:rsid w:val="00831962"/>
    <w:rsid w:val="00831C19"/>
    <w:rsid w:val="00832684"/>
    <w:rsid w:val="00833819"/>
    <w:rsid w:val="008356D1"/>
    <w:rsid w:val="00835866"/>
    <w:rsid w:val="00836B33"/>
    <w:rsid w:val="00837890"/>
    <w:rsid w:val="00852BAB"/>
    <w:rsid w:val="008536A2"/>
    <w:rsid w:val="008536DB"/>
    <w:rsid w:val="0085656E"/>
    <w:rsid w:val="00862BE9"/>
    <w:rsid w:val="00863B76"/>
    <w:rsid w:val="00867471"/>
    <w:rsid w:val="00877E76"/>
    <w:rsid w:val="0088742D"/>
    <w:rsid w:val="00893F2F"/>
    <w:rsid w:val="0089687F"/>
    <w:rsid w:val="008974C7"/>
    <w:rsid w:val="008A53F8"/>
    <w:rsid w:val="008E1277"/>
    <w:rsid w:val="008E412C"/>
    <w:rsid w:val="008F22B3"/>
    <w:rsid w:val="00910E6F"/>
    <w:rsid w:val="00914E10"/>
    <w:rsid w:val="009176C2"/>
    <w:rsid w:val="00941895"/>
    <w:rsid w:val="00945207"/>
    <w:rsid w:val="00945332"/>
    <w:rsid w:val="00951910"/>
    <w:rsid w:val="009535D0"/>
    <w:rsid w:val="00955EDE"/>
    <w:rsid w:val="00981888"/>
    <w:rsid w:val="00982285"/>
    <w:rsid w:val="00983B96"/>
    <w:rsid w:val="00984913"/>
    <w:rsid w:val="00987DAD"/>
    <w:rsid w:val="00991AF1"/>
    <w:rsid w:val="00996685"/>
    <w:rsid w:val="009A0E9F"/>
    <w:rsid w:val="009A6E7F"/>
    <w:rsid w:val="009B44BB"/>
    <w:rsid w:val="009F0275"/>
    <w:rsid w:val="00A00B0A"/>
    <w:rsid w:val="00A11057"/>
    <w:rsid w:val="00A1231C"/>
    <w:rsid w:val="00A23233"/>
    <w:rsid w:val="00A467D9"/>
    <w:rsid w:val="00A527CE"/>
    <w:rsid w:val="00A540AC"/>
    <w:rsid w:val="00A64522"/>
    <w:rsid w:val="00A82D48"/>
    <w:rsid w:val="00A932B2"/>
    <w:rsid w:val="00AA1C18"/>
    <w:rsid w:val="00AA2616"/>
    <w:rsid w:val="00AA5E7F"/>
    <w:rsid w:val="00AA7E1C"/>
    <w:rsid w:val="00AB2F51"/>
    <w:rsid w:val="00AB47BE"/>
    <w:rsid w:val="00AB5443"/>
    <w:rsid w:val="00AC4B1B"/>
    <w:rsid w:val="00AD4035"/>
    <w:rsid w:val="00AD4E94"/>
    <w:rsid w:val="00AD7445"/>
    <w:rsid w:val="00B023E4"/>
    <w:rsid w:val="00B044BF"/>
    <w:rsid w:val="00B05666"/>
    <w:rsid w:val="00B15681"/>
    <w:rsid w:val="00B2510D"/>
    <w:rsid w:val="00B30468"/>
    <w:rsid w:val="00B32479"/>
    <w:rsid w:val="00B425CD"/>
    <w:rsid w:val="00B44893"/>
    <w:rsid w:val="00B5585F"/>
    <w:rsid w:val="00B6005A"/>
    <w:rsid w:val="00B62729"/>
    <w:rsid w:val="00B62D75"/>
    <w:rsid w:val="00B67F47"/>
    <w:rsid w:val="00B7094C"/>
    <w:rsid w:val="00B80A90"/>
    <w:rsid w:val="00B91817"/>
    <w:rsid w:val="00B970E7"/>
    <w:rsid w:val="00BA0D02"/>
    <w:rsid w:val="00BA57B8"/>
    <w:rsid w:val="00BB372A"/>
    <w:rsid w:val="00BC5925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13B00"/>
    <w:rsid w:val="00C231C9"/>
    <w:rsid w:val="00C31096"/>
    <w:rsid w:val="00C368CD"/>
    <w:rsid w:val="00C43E8B"/>
    <w:rsid w:val="00C60C69"/>
    <w:rsid w:val="00C630FF"/>
    <w:rsid w:val="00C66E44"/>
    <w:rsid w:val="00C67DC9"/>
    <w:rsid w:val="00C7353B"/>
    <w:rsid w:val="00C74731"/>
    <w:rsid w:val="00C80DD9"/>
    <w:rsid w:val="00C82BCC"/>
    <w:rsid w:val="00C85CE6"/>
    <w:rsid w:val="00C91FDB"/>
    <w:rsid w:val="00C94EBB"/>
    <w:rsid w:val="00CB3644"/>
    <w:rsid w:val="00CD2D37"/>
    <w:rsid w:val="00CD3389"/>
    <w:rsid w:val="00CE5C95"/>
    <w:rsid w:val="00CF5BD4"/>
    <w:rsid w:val="00CF6DA9"/>
    <w:rsid w:val="00D04671"/>
    <w:rsid w:val="00D12AFC"/>
    <w:rsid w:val="00D15878"/>
    <w:rsid w:val="00D16196"/>
    <w:rsid w:val="00D205B3"/>
    <w:rsid w:val="00D2509C"/>
    <w:rsid w:val="00D30A00"/>
    <w:rsid w:val="00D31DCB"/>
    <w:rsid w:val="00D37968"/>
    <w:rsid w:val="00D42A85"/>
    <w:rsid w:val="00D43C35"/>
    <w:rsid w:val="00D52B48"/>
    <w:rsid w:val="00D60779"/>
    <w:rsid w:val="00D67E92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23A1"/>
    <w:rsid w:val="00DD24D2"/>
    <w:rsid w:val="00DD7611"/>
    <w:rsid w:val="00DD7646"/>
    <w:rsid w:val="00DE253E"/>
    <w:rsid w:val="00DF020A"/>
    <w:rsid w:val="00DF4124"/>
    <w:rsid w:val="00E01284"/>
    <w:rsid w:val="00E01569"/>
    <w:rsid w:val="00E02138"/>
    <w:rsid w:val="00E04805"/>
    <w:rsid w:val="00E05E49"/>
    <w:rsid w:val="00E06E98"/>
    <w:rsid w:val="00E223FB"/>
    <w:rsid w:val="00E265DC"/>
    <w:rsid w:val="00E314FB"/>
    <w:rsid w:val="00E3429B"/>
    <w:rsid w:val="00E5312E"/>
    <w:rsid w:val="00E60534"/>
    <w:rsid w:val="00E649D6"/>
    <w:rsid w:val="00E82655"/>
    <w:rsid w:val="00E84EA3"/>
    <w:rsid w:val="00E917B0"/>
    <w:rsid w:val="00EA112B"/>
    <w:rsid w:val="00EA2652"/>
    <w:rsid w:val="00EA7939"/>
    <w:rsid w:val="00EA7B04"/>
    <w:rsid w:val="00EC0A29"/>
    <w:rsid w:val="00EC3560"/>
    <w:rsid w:val="00EC3646"/>
    <w:rsid w:val="00EC45A5"/>
    <w:rsid w:val="00EC5509"/>
    <w:rsid w:val="00EC6D81"/>
    <w:rsid w:val="00EC7375"/>
    <w:rsid w:val="00EC757B"/>
    <w:rsid w:val="00ED289C"/>
    <w:rsid w:val="00EE2B40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330C"/>
    <w:rsid w:val="00F56EA7"/>
    <w:rsid w:val="00F62DBE"/>
    <w:rsid w:val="00F72126"/>
    <w:rsid w:val="00F845BF"/>
    <w:rsid w:val="00FA0C2C"/>
    <w:rsid w:val="00FA2BFE"/>
    <w:rsid w:val="00FC3C27"/>
    <w:rsid w:val="00FD655E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CE6"/>
    <w:pPr>
      <w:keepNext/>
      <w:pBdr>
        <w:top w:val="single" w:sz="4" w:space="6" w:color="808080"/>
      </w:pBdr>
      <w:tabs>
        <w:tab w:val="num" w:pos="432"/>
      </w:tabs>
      <w:spacing w:before="480" w:after="120" w:line="240" w:lineRule="auto"/>
      <w:ind w:left="431" w:hanging="431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F72126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5CE6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F72126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line="276" w:lineRule="auto"/>
      <w:outlineLvl w:val="9"/>
    </w:pPr>
    <w:rPr>
      <w:b/>
      <w:bCs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styleId="GridTable5Dark-Accent4">
    <w:name w:val="Grid Table 5 Dark Accent 4"/>
    <w:basedOn w:val="TableNormal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3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9BFB7F2B-7920-4986-95A6-B14AB15F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Sara De Girolamo</cp:lastModifiedBy>
  <cp:revision>2</cp:revision>
  <cp:lastPrinted>2018-12-05T16:48:00Z</cp:lastPrinted>
  <dcterms:created xsi:type="dcterms:W3CDTF">2022-05-13T16:13:00Z</dcterms:created>
  <dcterms:modified xsi:type="dcterms:W3CDTF">2022-05-13T16:13:00Z</dcterms:modified>
</cp:coreProperties>
</file>