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4" w:rsidRPr="00944F64" w:rsidRDefault="005E20E4" w:rsidP="00944F64">
      <w:pPr>
        <w:pStyle w:val="Sansinterligne"/>
        <w:jc w:val="right"/>
        <w:rPr>
          <w:i/>
        </w:rPr>
      </w:pPr>
      <w:r w:rsidRPr="00944F64">
        <w:rPr>
          <w:i/>
        </w:rPr>
        <w:t>Administrez vos bases de données avec MySQL</w:t>
      </w:r>
    </w:p>
    <w:p w:rsidR="00225DEA" w:rsidRPr="00BC01EB" w:rsidRDefault="00225DEA" w:rsidP="000972C4">
      <w:pPr>
        <w:pStyle w:val="Sansinterligne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Introduction : </w:t>
      </w:r>
    </w:p>
    <w:p w:rsidR="00225DEA" w:rsidRPr="00D41AAA" w:rsidRDefault="00225DEA" w:rsidP="000972C4">
      <w:pPr>
        <w:pStyle w:val="Sansinterligne"/>
        <w:jc w:val="both"/>
        <w:rPr>
          <w:sz w:val="20"/>
        </w:rPr>
      </w:pPr>
    </w:p>
    <w:p w:rsidR="00225DEA" w:rsidRDefault="00225DEA" w:rsidP="000972C4">
      <w:pPr>
        <w:pStyle w:val="Sansinterligne"/>
        <w:numPr>
          <w:ilvl w:val="0"/>
          <w:numId w:val="1"/>
        </w:numPr>
        <w:jc w:val="both"/>
      </w:pPr>
      <w:r>
        <w:t xml:space="preserve">La base de données constitue l’ensemble des données stockées en tables / </w:t>
      </w:r>
      <w:proofErr w:type="spellStart"/>
      <w:r>
        <w:t>rows</w:t>
      </w:r>
      <w:proofErr w:type="spellEnd"/>
      <w:r>
        <w:t>.</w:t>
      </w:r>
    </w:p>
    <w:p w:rsidR="00225DEA" w:rsidRDefault="00225DEA" w:rsidP="000972C4">
      <w:pPr>
        <w:pStyle w:val="Sansinterligne"/>
        <w:numPr>
          <w:ilvl w:val="0"/>
          <w:numId w:val="1"/>
        </w:numPr>
        <w:jc w:val="both"/>
      </w:pPr>
      <w:r>
        <w:t>Le SGBDR correspond au logiciel qui permet, par le biais du langage SQL, d’interagir avec la base de données.</w:t>
      </w:r>
    </w:p>
    <w:p w:rsidR="00225DEA" w:rsidRDefault="00225DEA" w:rsidP="000972C4">
      <w:pPr>
        <w:pStyle w:val="Sansinterligne"/>
        <w:jc w:val="both"/>
      </w:pPr>
    </w:p>
    <w:p w:rsidR="00225DEA" w:rsidRDefault="00225DEA" w:rsidP="000972C4">
      <w:pPr>
        <w:pStyle w:val="Sansinterligne"/>
        <w:jc w:val="both"/>
      </w:pPr>
    </w:p>
    <w:p w:rsidR="00225DEA" w:rsidRPr="00BC01EB" w:rsidRDefault="00225DEA" w:rsidP="000972C4">
      <w:pPr>
        <w:pStyle w:val="Sansinterligne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Démarrage :</w:t>
      </w:r>
    </w:p>
    <w:p w:rsidR="00225DEA" w:rsidRPr="00D41AAA" w:rsidRDefault="00225DEA" w:rsidP="000972C4">
      <w:pPr>
        <w:pStyle w:val="Sansinterligne"/>
        <w:jc w:val="both"/>
        <w:rPr>
          <w:sz w:val="20"/>
        </w:rPr>
      </w:pPr>
    </w:p>
    <w:p w:rsidR="00225DEA" w:rsidRDefault="00225DEA" w:rsidP="000972C4">
      <w:pPr>
        <w:pStyle w:val="Sansinterligne"/>
        <w:jc w:val="both"/>
        <w:rPr>
          <w:b/>
        </w:rPr>
      </w:pPr>
      <w:r>
        <w:t xml:space="preserve">Il est important de préciser l’encodage à chaque démarrage de MySQL : </w:t>
      </w:r>
      <w:r w:rsidRPr="00225DEA">
        <w:rPr>
          <w:b/>
        </w:rPr>
        <w:t>« SET NAMES ‘utf8’ ; »</w:t>
      </w:r>
    </w:p>
    <w:p w:rsidR="00225DEA" w:rsidRDefault="00225DEA" w:rsidP="000972C4">
      <w:pPr>
        <w:pStyle w:val="Sansinterligne"/>
        <w:jc w:val="both"/>
        <w:rPr>
          <w:b/>
        </w:rPr>
      </w:pPr>
    </w:p>
    <w:p w:rsidR="00225DEA" w:rsidRDefault="00225DEA" w:rsidP="000972C4">
      <w:pPr>
        <w:pStyle w:val="Sansinterligne"/>
        <w:jc w:val="both"/>
        <w:rPr>
          <w:b/>
        </w:rPr>
      </w:pPr>
    </w:p>
    <w:p w:rsidR="00225DEA" w:rsidRPr="00225DEA" w:rsidRDefault="00667161" w:rsidP="000972C4">
      <w:pPr>
        <w:pStyle w:val="Sansinterligne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Création d’une base </w:t>
      </w:r>
      <w:r w:rsidR="00225DEA" w:rsidRPr="00225DEA">
        <w:rPr>
          <w:b/>
          <w:sz w:val="26"/>
          <w:szCs w:val="26"/>
          <w:u w:val="single"/>
        </w:rPr>
        <w:t>de données :</w:t>
      </w:r>
    </w:p>
    <w:p w:rsidR="00225DEA" w:rsidRDefault="00225DEA" w:rsidP="000972C4">
      <w:pPr>
        <w:pStyle w:val="Sansinterligne"/>
        <w:jc w:val="both"/>
        <w:rPr>
          <w:b/>
        </w:rPr>
      </w:pPr>
    </w:p>
    <w:p w:rsidR="00225DEA" w:rsidRDefault="00667161" w:rsidP="000972C4">
      <w:pPr>
        <w:pStyle w:val="Sansinterligne"/>
        <w:numPr>
          <w:ilvl w:val="0"/>
          <w:numId w:val="1"/>
        </w:numPr>
        <w:jc w:val="both"/>
      </w:pPr>
      <w:r>
        <w:t>Jamais d’accents, de caractères spéciaux ou d’espaces dans le nom de la base de données, des tables ou de leurs colonnes.</w:t>
      </w:r>
    </w:p>
    <w:p w:rsidR="00667161" w:rsidRDefault="00667161" w:rsidP="000972C4">
      <w:pPr>
        <w:pStyle w:val="Sansinterligne"/>
        <w:numPr>
          <w:ilvl w:val="0"/>
          <w:numId w:val="1"/>
        </w:numPr>
        <w:jc w:val="both"/>
      </w:pPr>
      <w:r>
        <w:t xml:space="preserve">Jamais de mots </w:t>
      </w:r>
      <w:r w:rsidR="00945F74">
        <w:t>réservés</w:t>
      </w:r>
      <w:r>
        <w:t xml:space="preserve"> non plus dans le nom de la base de données, des tables ou de leurs colonnes.</w:t>
      </w:r>
    </w:p>
    <w:p w:rsidR="00945F74" w:rsidRDefault="00945F74" w:rsidP="000972C4">
      <w:pPr>
        <w:pStyle w:val="Sansinterligne"/>
        <w:jc w:val="both"/>
      </w:pPr>
    </w:p>
    <w:p w:rsidR="00945F74" w:rsidRDefault="00945F74" w:rsidP="000972C4">
      <w:pPr>
        <w:pStyle w:val="Sansinterligne"/>
        <w:jc w:val="both"/>
      </w:pPr>
    </w:p>
    <w:p w:rsidR="00945F74" w:rsidRPr="003F1069" w:rsidRDefault="0049753C" w:rsidP="000972C4">
      <w:pPr>
        <w:pStyle w:val="Sansinterligne"/>
        <w:jc w:val="both"/>
        <w:rPr>
          <w:b/>
          <w:sz w:val="26"/>
          <w:szCs w:val="26"/>
          <w:u w:val="single"/>
        </w:rPr>
      </w:pPr>
      <w:r w:rsidRPr="003F1069">
        <w:rPr>
          <w:b/>
          <w:sz w:val="26"/>
          <w:szCs w:val="26"/>
          <w:u w:val="single"/>
        </w:rPr>
        <w:t>Sauvegarde d’une base de données</w:t>
      </w:r>
      <w:r w:rsidR="00945F74" w:rsidRPr="003F1069">
        <w:rPr>
          <w:b/>
          <w:sz w:val="26"/>
          <w:szCs w:val="26"/>
          <w:u w:val="single"/>
        </w:rPr>
        <w:t> :</w:t>
      </w:r>
    </w:p>
    <w:p w:rsidR="00945F74" w:rsidRDefault="00945F74" w:rsidP="000972C4">
      <w:pPr>
        <w:pStyle w:val="Sansinterligne"/>
        <w:jc w:val="both"/>
      </w:pPr>
    </w:p>
    <w:p w:rsidR="00945F74" w:rsidRDefault="0049753C" w:rsidP="000972C4">
      <w:pPr>
        <w:pStyle w:val="Sansinterligne"/>
        <w:jc w:val="both"/>
      </w:pPr>
      <w:r>
        <w:t xml:space="preserve">MySQL dispose d’un outil spécialement dédié à la sauvegarde des données sous forme de fichier </w:t>
      </w:r>
      <w:r w:rsidRPr="003F1069">
        <w:t xml:space="preserve">texte : </w:t>
      </w:r>
      <w:proofErr w:type="spellStart"/>
      <w:r w:rsidRPr="003F1069">
        <w:t>mysqldump</w:t>
      </w:r>
      <w:proofErr w:type="spellEnd"/>
      <w:r w:rsidRPr="003F1069">
        <w:t>.</w:t>
      </w:r>
    </w:p>
    <w:p w:rsidR="003F1069" w:rsidRDefault="003F1069" w:rsidP="000972C4">
      <w:pPr>
        <w:pStyle w:val="Sansinterligne"/>
        <w:jc w:val="both"/>
        <w:rPr>
          <w:b/>
        </w:rPr>
      </w:pPr>
      <w:r>
        <w:t xml:space="preserve">Pour se faire on utilise la commande : </w:t>
      </w:r>
      <w:r w:rsidRPr="003F1069">
        <w:rPr>
          <w:b/>
        </w:rPr>
        <w:t>« </w:t>
      </w:r>
      <w:proofErr w:type="spellStart"/>
      <w:r>
        <w:rPr>
          <w:b/>
        </w:rPr>
        <w:t>mysqldump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–p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opt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bddName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fichierDeSortie</w:t>
      </w:r>
      <w:proofErr w:type="spellEnd"/>
      <w:r w:rsidRPr="003F1069">
        <w:rPr>
          <w:b/>
        </w:rPr>
        <w:t> »</w:t>
      </w:r>
    </w:p>
    <w:p w:rsidR="003F1069" w:rsidRDefault="003F1069" w:rsidP="000972C4">
      <w:pPr>
        <w:pStyle w:val="Sansinterligne"/>
        <w:jc w:val="both"/>
        <w:rPr>
          <w:b/>
        </w:rPr>
      </w:pPr>
    </w:p>
    <w:p w:rsidR="003F1069" w:rsidRPr="003F1069" w:rsidRDefault="003F1069" w:rsidP="000972C4">
      <w:pPr>
        <w:pStyle w:val="Sansinterligne"/>
        <w:jc w:val="both"/>
        <w:rPr>
          <w:b/>
          <w:u w:val="single"/>
        </w:rPr>
      </w:pPr>
    </w:p>
    <w:p w:rsidR="003F1069" w:rsidRPr="003F1069" w:rsidRDefault="003F1069" w:rsidP="000972C4">
      <w:pPr>
        <w:pStyle w:val="Sansinterligne"/>
        <w:jc w:val="both"/>
        <w:rPr>
          <w:b/>
          <w:sz w:val="26"/>
          <w:szCs w:val="26"/>
          <w:u w:val="single"/>
        </w:rPr>
      </w:pPr>
      <w:r w:rsidRPr="003F1069">
        <w:rPr>
          <w:b/>
          <w:sz w:val="26"/>
          <w:szCs w:val="26"/>
          <w:u w:val="single"/>
        </w:rPr>
        <w:t>Les index :</w:t>
      </w:r>
    </w:p>
    <w:p w:rsidR="003F1069" w:rsidRDefault="003F1069" w:rsidP="000972C4">
      <w:pPr>
        <w:pStyle w:val="Sansinterligne"/>
        <w:jc w:val="both"/>
        <w:rPr>
          <w:b/>
        </w:rPr>
      </w:pPr>
    </w:p>
    <w:p w:rsidR="00EB1EB4" w:rsidRDefault="000D259B" w:rsidP="000972C4">
      <w:pPr>
        <w:pStyle w:val="Sansinterligne"/>
        <w:numPr>
          <w:ilvl w:val="0"/>
          <w:numId w:val="2"/>
        </w:numPr>
        <w:jc w:val="both"/>
      </w:pPr>
      <w:r>
        <w:t>Un index correspond à l’enregistrement de manière ordonnée des valeurs présentes dans une table.</w:t>
      </w:r>
    </w:p>
    <w:p w:rsidR="000D259B" w:rsidRDefault="000D259B" w:rsidP="000972C4">
      <w:pPr>
        <w:pStyle w:val="Sansinterligne"/>
        <w:numPr>
          <w:ilvl w:val="0"/>
          <w:numId w:val="2"/>
        </w:numPr>
        <w:jc w:val="both"/>
      </w:pPr>
      <w:r>
        <w:t>Les index améliorent le temps de chargement des requêtes de sélections vu que les données sont déjà triées.</w:t>
      </w:r>
    </w:p>
    <w:p w:rsidR="000D259B" w:rsidRDefault="000D259B" w:rsidP="000972C4">
      <w:pPr>
        <w:pStyle w:val="Sansinterligne"/>
        <w:numPr>
          <w:ilvl w:val="0"/>
          <w:numId w:val="2"/>
        </w:numPr>
        <w:jc w:val="both"/>
      </w:pPr>
      <w:r>
        <w:t>En contrepartie il peut grandement diminuer le temps d’</w:t>
      </w:r>
      <w:r w:rsidR="00357724">
        <w:t xml:space="preserve">écriture (insert, update, </w:t>
      </w:r>
      <w:proofErr w:type="spellStart"/>
      <w:r w:rsidR="00357724">
        <w:t>delete</w:t>
      </w:r>
      <w:proofErr w:type="spellEnd"/>
      <w:r w:rsidR="00357724">
        <w:t xml:space="preserve">) </w:t>
      </w:r>
      <w:r>
        <w:t>vu que l’index doit être mis à jour pour chacune d’entre elle.</w:t>
      </w:r>
    </w:p>
    <w:p w:rsidR="000D259B" w:rsidRDefault="000D259B" w:rsidP="000972C4">
      <w:pPr>
        <w:pStyle w:val="Sansinterligne"/>
        <w:numPr>
          <w:ilvl w:val="0"/>
          <w:numId w:val="2"/>
        </w:numPr>
        <w:jc w:val="both"/>
      </w:pPr>
      <w:r>
        <w:t>Il est possible de mettre un index sur plusieurs colonnes.  La table sera ainsi triée sur l’ordre du premier champ, puis du second, etc…</w:t>
      </w:r>
    </w:p>
    <w:p w:rsidR="00357724" w:rsidRDefault="000D259B" w:rsidP="000972C4">
      <w:pPr>
        <w:pStyle w:val="Sansinterligne"/>
        <w:numPr>
          <w:ilvl w:val="0"/>
          <w:numId w:val="2"/>
        </w:numPr>
        <w:jc w:val="both"/>
      </w:pPr>
      <w:r>
        <w:t xml:space="preserve">Il est possible de définir combien de </w:t>
      </w:r>
      <w:r w:rsidR="000972C4">
        <w:t>caractères</w:t>
      </w:r>
      <w:r>
        <w:t xml:space="preserve"> sont à prendre en compte pour l’</w:t>
      </w:r>
      <w:r w:rsidR="000972C4">
        <w:t xml:space="preserve">indexation et c’est d’ailleurs obligatoire pour les variables de types </w:t>
      </w:r>
      <w:r w:rsidR="00357724">
        <w:t xml:space="preserve">TEXT </w:t>
      </w:r>
      <w:r w:rsidR="000972C4">
        <w:t>ou</w:t>
      </w:r>
      <w:r w:rsidR="00357724">
        <w:t xml:space="preserve"> BLOB</w:t>
      </w:r>
      <w:r w:rsidR="000972C4">
        <w:t>.</w:t>
      </w:r>
    </w:p>
    <w:p w:rsidR="00D045E6" w:rsidRDefault="00357724" w:rsidP="000972C4">
      <w:pPr>
        <w:pStyle w:val="Sansinterligne"/>
        <w:numPr>
          <w:ilvl w:val="0"/>
          <w:numId w:val="2"/>
        </w:numPr>
        <w:jc w:val="both"/>
      </w:pPr>
      <w:r>
        <w:t>La contrainte UNIQUE</w:t>
      </w:r>
      <w:r w:rsidRPr="003F1069">
        <w:t xml:space="preserve"> </w:t>
      </w:r>
      <w:r>
        <w:t>ajoute également un index à la colonne sur laquelle elle est appliquée.</w:t>
      </w:r>
    </w:p>
    <w:p w:rsidR="00357724" w:rsidRDefault="00357724" w:rsidP="000972C4">
      <w:pPr>
        <w:pStyle w:val="Sansinterligne"/>
        <w:numPr>
          <w:ilvl w:val="0"/>
          <w:numId w:val="2"/>
        </w:numPr>
        <w:jc w:val="both"/>
      </w:pPr>
      <w:r>
        <w:t>L’index FULLTEXT permet d’accéder grandement le temps d’exécution des requêtes sur des données textuelles mais en contrepartie l’indexation par la gauche n’est plus possible.</w:t>
      </w:r>
    </w:p>
    <w:p w:rsidR="00357724" w:rsidRDefault="00357724" w:rsidP="00357724">
      <w:pPr>
        <w:pStyle w:val="Sansinterligne"/>
        <w:jc w:val="both"/>
      </w:pPr>
    </w:p>
    <w:p w:rsidR="00357724" w:rsidRPr="003F1069" w:rsidRDefault="00357724" w:rsidP="00357724">
      <w:pPr>
        <w:pStyle w:val="Sansinterligne"/>
        <w:jc w:val="both"/>
      </w:pPr>
      <w:bookmarkStart w:id="0" w:name="_GoBack"/>
      <w:bookmarkEnd w:id="0"/>
    </w:p>
    <w:sectPr w:rsidR="00357724" w:rsidRPr="003F1069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13"/>
    <w:rsid w:val="000972C4"/>
    <w:rsid w:val="000A2FA4"/>
    <w:rsid w:val="000D259B"/>
    <w:rsid w:val="00225DEA"/>
    <w:rsid w:val="00357724"/>
    <w:rsid w:val="00386914"/>
    <w:rsid w:val="003A20CD"/>
    <w:rsid w:val="003E241B"/>
    <w:rsid w:val="003F1069"/>
    <w:rsid w:val="0049753C"/>
    <w:rsid w:val="005E20E4"/>
    <w:rsid w:val="00667161"/>
    <w:rsid w:val="00784213"/>
    <w:rsid w:val="00925B16"/>
    <w:rsid w:val="00944F64"/>
    <w:rsid w:val="00945F74"/>
    <w:rsid w:val="00D045E6"/>
    <w:rsid w:val="00E44001"/>
    <w:rsid w:val="00E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20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2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9</cp:revision>
  <dcterms:created xsi:type="dcterms:W3CDTF">2017-12-06T08:47:00Z</dcterms:created>
  <dcterms:modified xsi:type="dcterms:W3CDTF">2017-12-11T08:54:00Z</dcterms:modified>
</cp:coreProperties>
</file>