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anchor distT="0" distB="0" distL="0" distR="0" simplePos="0" allowOverlap="1" behindDoc="0" locked="0" layoutInCell="1" relativeHeight="272415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2724150"/>
            <wp:effectExtent t="0" r="0" b="0" l="0"/>
            <wp:wrapNone/>
            <wp:docPr id="1" name="capa_full_bleed" descr="capa_full_bleed" title="capa_full_bl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850" w:before="0"/>
      </w:pPr>
      <w:r>
        <w:t xml:space="preserve"/>
      </w:r>
    </w:p>
    <w:p>
      <w:pPr>
        <w:spacing w:after="45" w:before="4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CLIENTE: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Construtora Horizonte Ltda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CONTATO: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(48) 99821-4477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Descrição dos Serviços</w:t>
      </w:r>
    </w:p>
    <w:p>
      <w:pPr>
        <w:spacing w:after="75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Prestação de serviços de ELABORAÇÃO E APROVAÇÃO de Projeto Preventivo Contra Incêndio (PPCI) junto ao Corpo de Bombeiros Militar de Santa Catarina. Edificação com aproximadamente 3.240,00 m² de área construída em São José.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Incluso na Proposta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Impressão do Projeto em A1 e Memoriais e envio dos arquivos em formato .DWG e PDF;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Emissão da ART - Anotação de Responsabilidade Técnica emitida por Engenheiro Civil;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Visitas técnicas à empresa e reunião para entrega do serviço;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Assessoria para obtenção de prorrogação de prazos (autos de fiscalização) junto ao CBMSC;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Acompanhamento da tramitação do processo até a sua aprovação pelo sistema e-SCI;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Elaboração do PPCI seguindo todas as normativas vigentes do CBMSC, bem como com a inclusão de todos os sistemas preventivos necessários para a edificação;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Nota fiscal (e-NFs) de todos os serviços prestados.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Sistemas Preventivos Previstos para a Edificação</w:t>
      </w:r>
    </w:p>
    <w:p>
      <w:pPr>
        <w:spacing w:after="75" w:before="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TABELA 3 - DIVISÕES DO GRUPO C-1, C-2 COM ÁREA ≥ 750 m² OU ALTURA ≥ 12,00 m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 preventivo por extintores;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 hidráulico preventivo;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Instalações de gás combustível (se instalado);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Saídas de emergência;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 de iluminação de emergência;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Sinalização de abandono do local;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Instalação elétrica de baixa tensão;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Sistema de alarme e detecção de incêndio;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Proteção estrutural (TRRF).</w:t>
      </w:r>
    </w:p>
    <w:p>
      <w:pPr>
        <w:spacing w:after="8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Prazo para Entrega</w:t>
      </w:r>
    </w:p>
    <w:p>
      <w:pPr>
        <w:spacing w:after="75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30 (trinta) dias a partir da assinatura do termo de aceite e pagamento do valor da entrada.</w:t>
      </w:r>
    </w:p>
    <w:p>
      <w:pPr>
        <w:sectPr>
          <w:footerReference w:type="default" r:id="rId7"/>
          <w:pgSz w:w="11906" w:h="16838" w:orient="portrait"/>
          <w:pgMar w:top="0" w:right="1134" w:bottom="2100" w:left="1134" w:header="708" w:footer="520" w:gutter="0"/>
          <w:pgNumType/>
          <w:docGrid w:linePitch="360"/>
        </w:sectPr>
      </w:pPr>
    </w:p>
    <w:tbl>
      <w:tblPr>
        <w:tblW w:type="dxa" w:w="6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FE24D"/>
                <w:sz w:val="36"/>
                <w:szCs w:val="36"/>
              </w:rPr>
              <w:t xml:space="preserve">PROPOSTA DE SERVIÇO</w:t>
            </w:r>
          </w:p>
        </w:tc>
      </w:tr>
    </w:tbl>
    <w:p>
      <w:pPr>
        <w:spacing w:after="300" w:before="15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Não Está Incluso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Taxa de análise de Projeto do Corpo de Bombeiros Militar de SC;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Documentos para aprovação na prefeitura (EIV, EIPGV, Licenças Ambientais, Projetos hidrossanitário e elétrico);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Alterações realizadas após a aprovação do projeto.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Valor do Serviço e Forma de Pagamento</w:t>
      </w:r>
    </w:p>
    <w:p>
      <w:pPr>
        <w:spacing w:after="80" w:before="0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R$ 8.500,00 (oito mil e quinhentos reais)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nas seguintes formas de pagamento:</w:t>
      </w:r>
    </w:p>
    <w:p>
      <w:pPr>
        <w:spacing w:after="75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⅓ do valor quando da assinatura do contrato para o início dos serviços;</w:t>
      </w:r>
    </w:p>
    <w:p>
      <w:pPr>
        <w:spacing w:after="75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⅓ quando o PPCI estiver protocolado no Corpo de Bombeiros;</w:t>
      </w:r>
    </w:p>
    <w:p>
      <w:pPr>
        <w:spacing w:after="75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⅓ quando o PPCI estiver aprovado no Corpo de Bombeiros.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Responsabilidade Técnica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Todos os serviços são acompanhados pelo Engenheiro Civil </w:t>
      </w: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Vinicius Marcos Figueiredo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CREA 198631-4. Profissional com comprovada experiência na área, formado pela Universidade Federal de Santa Catarina (UFSC).</w:t>
      </w:r>
    </w:p>
    <w:p>
      <w:pPr>
        <w:spacing w:after="40" w:before="0"/>
      </w:pPr>
      <w:r>
        <w:t xml:space="preserve"/>
      </w:r>
    </w:p>
    <w:p>
      <w:pPr>
        <w:spacing w:after="105" w:before="285"/>
      </w:pPr>
      <w:r>
        <w:rPr>
          <w:rFonts w:ascii="Arial" w:cs="Arial" w:eastAsia="Arial" w:hAnsi="Arial"/>
          <w:b/>
          <w:bCs/>
          <w:caps/>
          <w:color w:val="1A1A1A"/>
          <w:sz w:val="23"/>
          <w:szCs w:val="23"/>
        </w:rPr>
        <w:t xml:space="preserve">Acervo Técnico - Projetos Aprovados pela VF Engenharia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Il Campanário Vilaggio Resort - Hotel - Florianópolis - 44.149,15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Jurerê Beach Village - Hotel - Florianópolis - 21.655,39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FIESC - Federação das Indústrias de SC - Escritórios - Florianópolis - 15.685,50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Frumar Frutos do Mar - Indústria - Tijucas - 7.527,13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Paróquia Senhor Bom Jesus de Nazaré - Igreja - Palhoça - 6.971,41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Galpões Tornado Log (Proprietário: Bild Engenharia) - Galpão Logístico - Biguaçu - 7.119,25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Mercofar Distribuidora, Importadora e Exp. de Autopeças - Indústria - Biguaçu - 4.273,04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FAPEU (UFSC) - Educacional - Florianópolis - 2.778,00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Comércio de Madeiras Sorocaba - Indústria - Biguaçu - 2.095,38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Techsail Indústria e Comércio de Produtos Químicos - Indústria - Jaraguá do Sul - 1.224,91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SESI - Serviço Social da Indústria - Clínica Ambulatorial - Chapecó - 2.290,85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Centro de Eventos Coan (Antigo Petry) - Boate - Biguaçu - 3.548,15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Mega Jet Comércio e Representação - Comércio - São José - 1.339,79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Residencial Solar Manacor - Edifício Multifamiliar - Florianópolis - 4.217,93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Igreja Matriz São João Batista - Igreja - Biguaçu - 1.982,40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Residencial Gran Vitta Palmas - Edifício Multifamiliar - Governador Celso Ramos - 589,63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Agora Sou Mãe - Indústria - São José - 879,85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Associação de Praças do Estado de Santa Catarina - Escritórios Administrativos - Florianópolis - 284,86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Academia Gerber - Espaço para atividade física - Biguaçu - 1.840,83 m²;</w:t>
      </w:r>
    </w:p>
    <w:p>
      <w:pPr>
        <w:pStyle w:val="ListParagraph"/>
        <w:numPr>
          <w:ilvl w:val="0"/>
          <w:numId w:val="2"/>
        </w:numPr>
        <w:spacing w:after="23" w:before="23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Comercial Vitória de Armarinhos - Edificação Mista - São José - 1.113,71 m²;</w:t>
      </w:r>
    </w:p>
    <w:sectPr>
      <w:footerReference w:type="default" r:id="rId8"/>
      <w:type w:val="nextPage"/>
      <w:pgSz w:w="11906" w:h="16838" w:orient="portrait"/>
      <w:pgMar w:top="680" w:right="1134" w:bottom="2300" w:left="1134" w:header="708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spacing w:after="80" w:before="0"/>
    </w:pPr>
    <w:r>
      <w:t xml:space="preserve"/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450"/>
      <w:gridCol w:w="8188"/>
    </w:tblGrid>
    <w:tr>
      <w:tc>
        <w:tcPr>
          <w:tcW w:type="dxa" w:w="14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876300" cy="552450"/>
                <wp:effectExtent t="0" r="0" b="0" l="0"/>
                <wp:docPr id="1" name="logo" descr="Logo" title="V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8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</w:tcPr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Endereço: Rua José de Araújo, 39.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Barreiros - São José.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Contato: (48) 98874-9269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E-mail: contato@vf-engenharia.com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Site: www.vf-engenharia.com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spacing w:after="80" w:before="0"/>
    </w:pPr>
    <w:r>
      <w:t xml:space="preserve"/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450"/>
      <w:gridCol w:w="5400"/>
      <w:gridCol w:w="2788"/>
    </w:tblGrid>
    <w:tr>
      <w:tc>
        <w:tcPr>
          <w:tcW w:type="dxa" w:w="14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876300" cy="552450"/>
                <wp:effectExtent t="0" r="0" b="0" l="0"/>
                <wp:docPr id="1" name="logo" descr="Logo" title="V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</w:tcPr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Endereço: Rua José de Araújo, 39.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Barreiros - São José.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Contato: (48) 98874-9269</w:t>
          </w:r>
        </w:p>
        <w:p>
          <w:pPr>
            <w:spacing w:after="24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E-mail: contato@vf-engenharia.com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666666"/>
              <w:sz w:val="17"/>
              <w:szCs w:val="17"/>
            </w:rPr>
            <w:t xml:space="preserve">Site: www.vf-engenharia.com</w:t>
          </w:r>
        </w:p>
      </w:tc>
      <w:tc>
        <w:tcPr>
          <w:tcW w:type="dxa" w:w="278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60"/>
            <w:left w:type="dxa" w:w="120"/>
            <w:bottom w:type="dxa" w:w="0"/>
            <w:right w:type="dxa" w:w="0"/>
          </w:tcMar>
        </w:tcPr>
        <w:p>
          <w:pPr>
            <w:spacing w:after="26" w:before="0"/>
            <w:jc w:val="right"/>
          </w:pPr>
          <w:r>
            <w:rPr>
              <w:rFonts w:ascii="Arial" w:cs="Arial" w:eastAsia="Arial" w:hAnsi="Arial"/>
              <w:b/>
              <w:bCs/>
              <w:color w:val="1A1A1A"/>
              <w:sz w:val="18"/>
              <w:szCs w:val="18"/>
            </w:rPr>
            <w:t xml:space="preserve">Proposta válida por 15 dias.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1A1A1A"/>
              <w:sz w:val="18"/>
              <w:szCs w:val="18"/>
            </w:rPr>
            <w:t xml:space="preserve">São José, 29 de abril de 2026.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9a14f6fb5681d9b3e10de3dec90f93b76c5affe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ee3995278b18a025a2da9894f33b33dd8c723c1.jp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dee3995278b18a025a2da9894f33b33dd8c723c1.jp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2026-05-04T11:15:43.330Z</dcterms:created>
  <dcterms:modified xsi:type="dcterms:W3CDTF">2026-05-04T11:15:43.330Z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