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C998" w14:textId="77777777" w:rsidR="00161EFF" w:rsidRDefault="00161EFF" w:rsidP="00161EFF">
      <w:pPr>
        <w:jc w:val="both"/>
      </w:pPr>
      <w:r>
        <w:t xml:space="preserve">This study presents an open-source, R-based microstratification workflow to guide sub-national tailoring of insecticide-treated net (ITN) campaigns in Nigeria under the High Burden to High Impact framework. Since Nigeria bears the largest global malaria burden and urban transmission is highly heterogeneous, blanket inclusion or exclusion of cities for ITN distribution is inefficient. The workflow classifies wards as urban or rural using the Global Human Settlement Layer (GHS-SMOD), then ranks urban wards by </w:t>
      </w:r>
      <w:proofErr w:type="spellStart"/>
      <w:r>
        <w:t>modeled</w:t>
      </w:r>
      <w:proofErr w:type="spellEnd"/>
      <w:r>
        <w:t xml:space="preserve"> malaria prevalence (</w:t>
      </w:r>
      <w:proofErr w:type="spellStart"/>
      <w:r>
        <w:t>PfPR</w:t>
      </w:r>
      <w:proofErr w:type="spellEnd"/>
      <w:r>
        <w:t>) within each state to prioritize the 2026 ITN cycle.</w:t>
      </w:r>
    </w:p>
    <w:p w14:paraId="09269521" w14:textId="420D2839" w:rsidR="00161EFF" w:rsidRDefault="00161EFF" w:rsidP="00161EFF">
      <w:pPr>
        <w:jc w:val="both"/>
      </w:pPr>
      <w:r>
        <w:t xml:space="preserve">Methods integrate three ward-level geospatial datasets across all 36 states and the FCT: GHS-SMOD (urban classification), </w:t>
      </w:r>
      <w:proofErr w:type="spellStart"/>
      <w:r>
        <w:t>WorldPop</w:t>
      </w:r>
      <w:proofErr w:type="spellEnd"/>
      <w:r>
        <w:t xml:space="preserve"> 2025 population data, and a 2025 </w:t>
      </w:r>
      <w:proofErr w:type="spellStart"/>
      <w:r>
        <w:t>PfPR</w:t>
      </w:r>
      <w:proofErr w:type="spellEnd"/>
      <w:r>
        <w:t xml:space="preserve"> surface for children aged 2–10 </w:t>
      </w:r>
      <w:proofErr w:type="spellStart"/>
      <w:r>
        <w:t>modeled</w:t>
      </w:r>
      <w:proofErr w:type="spellEnd"/>
      <w:r>
        <w:t xml:space="preserve"> via INLA. Wards with at least 80% of their population in urban-classified pixels are </w:t>
      </w:r>
      <w:r w:rsidR="008F67DB">
        <w:t>labelled</w:t>
      </w:r>
      <w:r>
        <w:t xml:space="preserve"> urban; all others are rural and automatically retained for ITN distribution. Urban wards receive an unweighted mean </w:t>
      </w:r>
      <w:proofErr w:type="spellStart"/>
      <w:r>
        <w:t>PfPR</w:t>
      </w:r>
      <w:proofErr w:type="spellEnd"/>
      <w:r>
        <w:t xml:space="preserve"> score and are ranked within their state. Wards in the top 80% of within-state rank falling in WHO moderate (10–35%) or high (&gt;35%) endemicity bands are flagged as prioritized, </w:t>
      </w:r>
      <w:r w:rsidR="008F67DB">
        <w:t>otherwise</w:t>
      </w:r>
      <w:r>
        <w:t xml:space="preserve"> deprioritized. The pipeline runs through three reproducible R scripts (urban classification, </w:t>
      </w:r>
      <w:proofErr w:type="spellStart"/>
      <w:r>
        <w:t>PfPR</w:t>
      </w:r>
      <w:proofErr w:type="spellEnd"/>
      <w:r>
        <w:t xml:space="preserve"> ranking, and mapping) using sf, terra, and </w:t>
      </w:r>
      <w:proofErr w:type="spellStart"/>
      <w:r>
        <w:t>exactextractr</w:t>
      </w:r>
      <w:proofErr w:type="spellEnd"/>
      <w:r>
        <w:t xml:space="preserve"> packages.</w:t>
      </w:r>
    </w:p>
    <w:p w14:paraId="2833BC5A" w14:textId="77777777" w:rsidR="00161EFF" w:rsidRDefault="00161EFF" w:rsidP="00161EFF">
      <w:pPr>
        <w:jc w:val="both"/>
      </w:pPr>
      <w:r>
        <w:t xml:space="preserve">Results yield, for each state with urban wards, ranked lists identifying prioritized versus deprioritized urban wards, along with </w:t>
      </w:r>
      <w:proofErr w:type="spellStart"/>
      <w:r>
        <w:t>PfPR</w:t>
      </w:r>
      <w:proofErr w:type="spellEnd"/>
      <w:r>
        <w:t xml:space="preserve"> values, endemicity bands, rank, and urban-share metrics. Maps highlight spatial clustering of high-burden urban wards, supporting engagement with state malaria teams. Rural wards remain default ITN beneficiaries and appear as blanked context on maps to keep urban prioritization visually clear. The entire workflow is scripted, version-controlled, and rerunnable as new data becomes available.</w:t>
      </w:r>
    </w:p>
    <w:p w14:paraId="63CD865C" w14:textId="77777777" w:rsidR="00161EFF" w:rsidRDefault="00161EFF" w:rsidP="00161EFF">
      <w:pPr>
        <w:jc w:val="both"/>
      </w:pPr>
      <w:r>
        <w:t xml:space="preserve">The authors conclude that this transparent method combining urban classification with within-state </w:t>
      </w:r>
      <w:proofErr w:type="spellStart"/>
      <w:r>
        <w:t>PfPR</w:t>
      </w:r>
      <w:proofErr w:type="spellEnd"/>
      <w:r>
        <w:t xml:space="preserve"> ranking provides a defensible approach for concentrating urban ITN campaigns on the highest-burden wards while maintaining universal rural coverage. The framework is adaptable to other malaria-endemic countries and future campaign cycles, supporting equitable, evidence-based decision-making in vector control.</w:t>
      </w:r>
    </w:p>
    <w:p w14:paraId="6A50FDB1" w14:textId="77777777" w:rsidR="00161EFF" w:rsidRPr="00161EFF" w:rsidRDefault="00161EFF" w:rsidP="00161EFF"/>
    <w:sectPr w:rsidR="00161EFF" w:rsidRPr="00161EFF" w:rsidSect="00161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FA"/>
    <w:rsid w:val="000B0E24"/>
    <w:rsid w:val="00115336"/>
    <w:rsid w:val="00161EFF"/>
    <w:rsid w:val="004218A4"/>
    <w:rsid w:val="006A08D3"/>
    <w:rsid w:val="008F67DB"/>
    <w:rsid w:val="009424B3"/>
    <w:rsid w:val="00A73156"/>
    <w:rsid w:val="00F55DFA"/>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5E05"/>
  <w15:chartTrackingRefBased/>
  <w15:docId w15:val="{77370229-3A20-8945-B7FB-08BA4DE1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FA"/>
    <w:pPr>
      <w:spacing w:after="0" w:line="240" w:lineRule="auto"/>
    </w:pPr>
    <w:rPr>
      <w:rFonts w:ascii="Arial" w:eastAsia="Arial" w:hAnsi="Arial" w:cs="Arial"/>
      <w:kern w:val="0"/>
      <w:sz w:val="22"/>
      <w:szCs w:val="22"/>
      <w:lang w:val="en-AU" w:eastAsia="en-GB"/>
      <w14:ligatures w14:val="none"/>
    </w:rPr>
  </w:style>
  <w:style w:type="paragraph" w:styleId="Heading1">
    <w:name w:val="heading 1"/>
    <w:basedOn w:val="Normal"/>
    <w:next w:val="Normal"/>
    <w:link w:val="Heading1Char"/>
    <w:uiPriority w:val="9"/>
    <w:qFormat/>
    <w:rsid w:val="00F55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FA"/>
    <w:rPr>
      <w:rFonts w:eastAsiaTheme="majorEastAsia" w:cstheme="majorBidi"/>
      <w:color w:val="272727" w:themeColor="text1" w:themeTint="D8"/>
    </w:rPr>
  </w:style>
  <w:style w:type="paragraph" w:styleId="Title">
    <w:name w:val="Title"/>
    <w:basedOn w:val="Normal"/>
    <w:next w:val="Normal"/>
    <w:link w:val="TitleChar"/>
    <w:uiPriority w:val="10"/>
    <w:qFormat/>
    <w:rsid w:val="00F55D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FA"/>
    <w:pPr>
      <w:spacing w:before="160"/>
      <w:jc w:val="center"/>
    </w:pPr>
    <w:rPr>
      <w:i/>
      <w:iCs/>
      <w:color w:val="404040" w:themeColor="text1" w:themeTint="BF"/>
    </w:rPr>
  </w:style>
  <w:style w:type="character" w:customStyle="1" w:styleId="QuoteChar">
    <w:name w:val="Quote Char"/>
    <w:basedOn w:val="DefaultParagraphFont"/>
    <w:link w:val="Quote"/>
    <w:uiPriority w:val="29"/>
    <w:rsid w:val="00F55DFA"/>
    <w:rPr>
      <w:i/>
      <w:iCs/>
      <w:color w:val="404040" w:themeColor="text1" w:themeTint="BF"/>
    </w:rPr>
  </w:style>
  <w:style w:type="paragraph" w:styleId="ListParagraph">
    <w:name w:val="List Paragraph"/>
    <w:basedOn w:val="Normal"/>
    <w:uiPriority w:val="34"/>
    <w:qFormat/>
    <w:rsid w:val="00F55DFA"/>
    <w:pPr>
      <w:ind w:left="720"/>
      <w:contextualSpacing/>
    </w:pPr>
  </w:style>
  <w:style w:type="character" w:styleId="IntenseEmphasis">
    <w:name w:val="Intense Emphasis"/>
    <w:basedOn w:val="DefaultParagraphFont"/>
    <w:uiPriority w:val="21"/>
    <w:qFormat/>
    <w:rsid w:val="00F55DFA"/>
    <w:rPr>
      <w:i/>
      <w:iCs/>
      <w:color w:val="0F4761" w:themeColor="accent1" w:themeShade="BF"/>
    </w:rPr>
  </w:style>
  <w:style w:type="paragraph" w:styleId="IntenseQuote">
    <w:name w:val="Intense Quote"/>
    <w:basedOn w:val="Normal"/>
    <w:next w:val="Normal"/>
    <w:link w:val="IntenseQuoteChar"/>
    <w:uiPriority w:val="30"/>
    <w:qFormat/>
    <w:rsid w:val="00F55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FA"/>
    <w:rPr>
      <w:i/>
      <w:iCs/>
      <w:color w:val="0F4761" w:themeColor="accent1" w:themeShade="BF"/>
    </w:rPr>
  </w:style>
  <w:style w:type="character" w:styleId="IntenseReference">
    <w:name w:val="Intense Reference"/>
    <w:basedOn w:val="DefaultParagraphFont"/>
    <w:uiPriority w:val="32"/>
    <w:qFormat/>
    <w:rsid w:val="00F55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B076E-8741-6442-8F1C-68B85791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Punam Amratia</dc:creator>
  <cp:keywords/>
  <dc:description/>
  <cp:lastModifiedBy>Punam Amratia</cp:lastModifiedBy>
  <cp:revision>3</cp:revision>
  <dcterms:created xsi:type="dcterms:W3CDTF">2026-07-10T07:13:00Z</dcterms:created>
  <dcterms:modified xsi:type="dcterms:W3CDTF">2026-07-10T07:32:00Z</dcterms:modified>
</cp:coreProperties>
</file>