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:prestations remboursables enregistrées (janv. 2024 – juil. 2025).</w:t>
      </w:r>
    </w:p>
    <w:p>
      <w:pPr>
        <w:pStyle w:val="ListBullet"/>
      </w:pPr>
      <w:r>
        <w:t>Normalisations :typographie des centres, homogénéisation des statuts, formats monétaires.</w:t>
      </w:r>
    </w:p>
    <w:p>
      <w:pPr>
        <w:pStyle w:val="ListBullet"/>
      </w:pPr>
      <w:r>
        <w:t>Correctif calendaire :dates août–décembre 2025 rebasculées sur 2024 (anomalie corrigée et tracée).</w:t>
      </w:r>
    </w:p>
    <w:p>
      <w:pPr>
        <w:pStyle w:val="ListBullet"/>
      </w:pPr>
      <w:r>
        <w:t>Qualité :élimination des doublons (extraction conservatoire), contrôle des colonnes critiques, conversion explicite des montants.</w:t>
      </w:r>
    </w:p>
    <w:p>
      <w:pPr>
        <w:pStyle w:val="ListBullet"/>
      </w:pPr>
      <w:r>
        <w:t>Exclusions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:somme des montants enregistrés.</w:t>
      </w:r>
    </w:p>
    <w:p>
      <w:pPr>
        <w:pStyle w:val="ListBullet"/>
      </w:pPr>
      <w:r>
        <w:t>Nombre de prestations :enregistrements unitaires après nettoyage.</w:t>
      </w:r>
    </w:p>
    <w:p>
      <w:pPr>
        <w:pStyle w:val="ListBullet"/>
      </w:pPr>
      <w:r>
        <w:t>Coût moyen par prestation :montant total / nombre de prestations.</w:t>
      </w:r>
    </w:p>
    <w:p>
      <w:pPr>
        <w:pStyle w:val="ListBullet"/>
      </w:pPr>
      <w:r>
        <w:t>Statuts :catégories de traitement (accepté / autre) harmonisées.</w:t>
      </w:r>
    </w:p>
    <w:p>
      <w:pPr>
        <w:pStyle w:val="ListBullet"/>
      </w:pPr>
      <w:r>
        <w:t>Type / sous type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Taux de recours aux prestations globales (%)</w:t>
            </w:r>
          </w:p>
        </w:tc>
        <w:tc>
          <w:tcPr>
            <w:tcW w:type="dxa" w:w="4320"/>
          </w:tcPr>
          <w:p>
            <w:r>
              <w:t>24,13</w:t>
            </w:r>
          </w:p>
        </w:tc>
      </w:tr>
      <w:tr>
        <w:tc>
          <w:tcPr>
            <w:tcW w:type="dxa" w:w="4320"/>
          </w:tcPr>
          <w:p>
            <w:r>
              <w:t>Nombre total de mutualistes éligibles</w:t>
            </w:r>
          </w:p>
        </w:tc>
        <w:tc>
          <w:tcPr>
            <w:tcW w:type="dxa" w:w="4320"/>
          </w:tcPr>
          <w:p>
            <w:r>
              <w:t>5 284</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y_yyof4u.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y2p_d7_u.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1yegrjjz.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a4sj9ryz.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aohq5i5g.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r>
        <w:tc>
          <w:tcPr>
            <w:tcW w:type="dxa" w:w="1440"/>
          </w:tcPr>
          <w:p>
            <w:r>
              <w:t>3</w:t>
            </w:r>
          </w:p>
        </w:tc>
        <w:tc>
          <w:tcPr>
            <w:tcW w:type="dxa" w:w="1440"/>
          </w:tcPr>
          <w:p>
            <w:r>
              <w:t>Mutualiste</w:t>
            </w:r>
          </w:p>
        </w:tc>
        <w:tc>
          <w:tcPr>
            <w:tcW w:type="dxa" w:w="1440"/>
          </w:tcPr>
          <w:p>
            <w:r>
              <w:t>83 250 760</w:t>
            </w:r>
          </w:p>
        </w:tc>
        <w:tc>
          <w:tcPr>
            <w:tcW w:type="dxa" w:w="1440"/>
          </w:tcPr>
          <w:p>
            <w:r>
              <w:t>6 843</w:t>
            </w:r>
          </w:p>
        </w:tc>
        <w:tc>
          <w:tcPr>
            <w:tcW w:type="dxa" w:w="1440"/>
          </w:tcPr>
          <w:p>
            <w:r>
              <w:t>12 165,83</w:t>
            </w:r>
          </w:p>
        </w:tc>
        <w:tc>
          <w:tcPr>
            <w:tcW w:type="dxa" w:w="1440"/>
          </w:tcPr>
          <w:p>
            <w:r>
              <w:t>1 331</w:t>
            </w:r>
          </w:p>
        </w:tc>
      </w:tr>
      <w:tr>
        <w:tc>
          <w:tcPr>
            <w:tcW w:type="dxa" w:w="1440"/>
          </w:tcPr>
          <w:p>
            <w:r>
              <w:t>4</w:t>
            </w:r>
          </w:p>
        </w:tc>
        <w:tc>
          <w:tcPr>
            <w:tcW w:type="dxa" w:w="1440"/>
          </w:tcPr>
          <w:p>
            <w:r>
              <w:t>Proportion ayants droits/adhérents (%)</w:t>
            </w:r>
          </w:p>
        </w:tc>
        <w:tc>
          <w:tcPr>
            <w:tcW w:type="dxa" w:w="1440"/>
          </w:tcPr>
          <w:p>
            <w:r/>
          </w:p>
        </w:tc>
        <w:tc>
          <w:tcPr>
            <w:tcW w:type="dxa" w:w="1440"/>
          </w:tcPr>
          <w:p>
            <w:r/>
          </w:p>
        </w:tc>
        <w:tc>
          <w:tcPr>
            <w:tcW w:type="dxa" w:w="1440"/>
          </w:tcPr>
          <w:p>
            <w:r/>
          </w:p>
        </w:tc>
        <w:tc>
          <w:tcPr>
            <w:tcW w:type="dxa" w:w="1440"/>
          </w:tcPr>
          <w:p>
            <w:r>
              <w:t>8,30</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yc3zrwt9.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uyleoh1r.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70bexhdm.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altrrcsu.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o4j85mn7.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xsk5i3jg.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w77ndlja.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ei5_cw02.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0y6uewx5.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Montant moyen par type de prestation : comparaison 2024 vs 2025</w:t>
      </w:r>
    </w:p>
    <w:p>
      <w:r>
        <w:t>Analyse comparative du coût moyen de chaque type de prestation entre 2024 (12 mois) et 2025 (période partielle), avec calcul de l'évolution par acte. Ce graphique en barres groupées visualise l'évolution des coûts moyens pour chaque type de prestation entre 2024 et 2025. Les différences de hauteur entre les barres révèlent les prestations qui ont connu une inflation ou une déflation tarifaire, guidant les décisions budgétaires et de couverture.</w:t>
      </w:r>
    </w:p>
    <w:p>
      <w:r>
        <w:t>Tableau : montants moyens par type de prestation comparés entre 2024 et 2025.</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Acte</w:t>
            </w:r>
          </w:p>
        </w:tc>
        <w:tc>
          <w:tcPr>
            <w:tcW w:type="dxa" w:w="1440"/>
          </w:tcPr>
          <w:p>
            <w:r>
              <w:t>Prestations 2024</w:t>
            </w:r>
          </w:p>
        </w:tc>
        <w:tc>
          <w:tcPr>
            <w:tcW w:type="dxa" w:w="1440"/>
          </w:tcPr>
          <w:p>
            <w:r>
              <w:t>Montant moyen 2024</w:t>
            </w:r>
          </w:p>
        </w:tc>
        <w:tc>
          <w:tcPr>
            <w:tcW w:type="dxa" w:w="1440"/>
          </w:tcPr>
          <w:p>
            <w:r>
              <w:t>Prestations 2025</w:t>
            </w:r>
          </w:p>
        </w:tc>
        <w:tc>
          <w:tcPr>
            <w:tcW w:type="dxa" w:w="1440"/>
          </w:tcPr>
          <w:p>
            <w:r>
              <w:t>Montant moyen 2025</w:t>
            </w:r>
          </w:p>
        </w:tc>
        <w:tc>
          <w:tcPr>
            <w:tcW w:type="dxa" w:w="1440"/>
          </w:tcPr>
          <w:p>
            <w:r>
              <w:t>Évolution (%)</w:t>
            </w:r>
          </w:p>
        </w:tc>
      </w:tr>
      <w:tr>
        <w:tc>
          <w:tcPr>
            <w:tcW w:type="dxa" w:w="1440"/>
          </w:tcPr>
          <w:p>
            <w:r>
              <w:t>Optique</w:t>
            </w:r>
          </w:p>
        </w:tc>
        <w:tc>
          <w:tcPr>
            <w:tcW w:type="dxa" w:w="1440"/>
          </w:tcPr>
          <w:p>
            <w:r>
              <w:t>38</w:t>
            </w:r>
          </w:p>
        </w:tc>
        <w:tc>
          <w:tcPr>
            <w:tcW w:type="dxa" w:w="1440"/>
          </w:tcPr>
          <w:p>
            <w:r>
              <w:t>87 868,42</w:t>
            </w:r>
          </w:p>
        </w:tc>
        <w:tc>
          <w:tcPr>
            <w:tcW w:type="dxa" w:w="1440"/>
          </w:tcPr>
          <w:p>
            <w:r>
              <w:t>40</w:t>
            </w:r>
          </w:p>
        </w:tc>
        <w:tc>
          <w:tcPr>
            <w:tcW w:type="dxa" w:w="1440"/>
          </w:tcPr>
          <w:p>
            <w:r>
              <w:t>97 937,50</w:t>
            </w:r>
          </w:p>
        </w:tc>
        <w:tc>
          <w:tcPr>
            <w:tcW w:type="dxa" w:w="1440"/>
          </w:tcPr>
          <w:p>
            <w:r>
              <w:t>↗️ +11.5%</w:t>
            </w:r>
          </w:p>
        </w:tc>
      </w:tr>
      <w:tr>
        <w:tc>
          <w:tcPr>
            <w:tcW w:type="dxa" w:w="1440"/>
          </w:tcPr>
          <w:p>
            <w:r>
              <w:t>Maternité</w:t>
            </w:r>
          </w:p>
        </w:tc>
        <w:tc>
          <w:tcPr>
            <w:tcW w:type="dxa" w:w="1440"/>
          </w:tcPr>
          <w:p>
            <w:r>
              <w:t>24</w:t>
            </w:r>
          </w:p>
        </w:tc>
        <w:tc>
          <w:tcPr>
            <w:tcW w:type="dxa" w:w="1440"/>
          </w:tcPr>
          <w:p>
            <w:r>
              <w:t>60 539,71</w:t>
            </w:r>
          </w:p>
        </w:tc>
        <w:tc>
          <w:tcPr>
            <w:tcW w:type="dxa" w:w="1440"/>
          </w:tcPr>
          <w:p>
            <w:r>
              <w:t>20</w:t>
            </w:r>
          </w:p>
        </w:tc>
        <w:tc>
          <w:tcPr>
            <w:tcW w:type="dxa" w:w="1440"/>
          </w:tcPr>
          <w:p>
            <w:r>
              <w:t>52 121,25</w:t>
            </w:r>
          </w:p>
        </w:tc>
        <w:tc>
          <w:tcPr>
            <w:tcW w:type="dxa" w:w="1440"/>
          </w:tcPr>
          <w:p>
            <w:r>
              <w:t>↘️ -13.9%</w:t>
            </w:r>
          </w:p>
        </w:tc>
      </w:tr>
      <w:tr>
        <w:tc>
          <w:tcPr>
            <w:tcW w:type="dxa" w:w="1440"/>
          </w:tcPr>
          <w:p>
            <w:r>
              <w:t>Hospitalisation</w:t>
            </w:r>
          </w:p>
        </w:tc>
        <w:tc>
          <w:tcPr>
            <w:tcW w:type="dxa" w:w="1440"/>
          </w:tcPr>
          <w:p>
            <w:r>
              <w:t>199</w:t>
            </w:r>
          </w:p>
        </w:tc>
        <w:tc>
          <w:tcPr>
            <w:tcW w:type="dxa" w:w="1440"/>
          </w:tcPr>
          <w:p>
            <w:r>
              <w:t>37 102,64</w:t>
            </w:r>
          </w:p>
        </w:tc>
        <w:tc>
          <w:tcPr>
            <w:tcW w:type="dxa" w:w="1440"/>
          </w:tcPr>
          <w:p>
            <w:r>
              <w:t>76</w:t>
            </w:r>
          </w:p>
        </w:tc>
        <w:tc>
          <w:tcPr>
            <w:tcW w:type="dxa" w:w="1440"/>
          </w:tcPr>
          <w:p>
            <w:r>
              <w:t>36 648,91</w:t>
            </w:r>
          </w:p>
        </w:tc>
        <w:tc>
          <w:tcPr>
            <w:tcW w:type="dxa" w:w="1440"/>
          </w:tcPr>
          <w:p>
            <w:r>
              <w:t>↘️ -1.2%</w:t>
            </w:r>
          </w:p>
        </w:tc>
      </w:tr>
      <w:tr>
        <w:tc>
          <w:tcPr>
            <w:tcW w:type="dxa" w:w="1440"/>
          </w:tcPr>
          <w:p>
            <w:r>
              <w:t>Dentaire &amp; Auditif</w:t>
            </w:r>
          </w:p>
        </w:tc>
        <w:tc>
          <w:tcPr>
            <w:tcW w:type="dxa" w:w="1440"/>
          </w:tcPr>
          <w:p>
            <w:r>
              <w:t>17</w:t>
            </w:r>
          </w:p>
        </w:tc>
        <w:tc>
          <w:tcPr>
            <w:tcW w:type="dxa" w:w="1440"/>
          </w:tcPr>
          <w:p>
            <w:r>
              <w:t>22 594,12</w:t>
            </w:r>
          </w:p>
        </w:tc>
        <w:tc>
          <w:tcPr>
            <w:tcW w:type="dxa" w:w="1440"/>
          </w:tcPr>
          <w:p>
            <w:r>
              <w:t>5</w:t>
            </w:r>
          </w:p>
        </w:tc>
        <w:tc>
          <w:tcPr>
            <w:tcW w:type="dxa" w:w="1440"/>
          </w:tcPr>
          <w:p>
            <w:r>
              <w:t>7 160</w:t>
            </w:r>
          </w:p>
        </w:tc>
        <w:tc>
          <w:tcPr>
            <w:tcW w:type="dxa" w:w="1440"/>
          </w:tcPr>
          <w:p>
            <w:r>
              <w:t>↘️ -68.3%</w:t>
            </w:r>
          </w:p>
        </w:tc>
      </w:tr>
      <w:tr>
        <w:tc>
          <w:tcPr>
            <w:tcW w:type="dxa" w:w="1440"/>
          </w:tcPr>
          <w:p>
            <w:r>
              <w:t>Autre</w:t>
            </w:r>
          </w:p>
        </w:tc>
        <w:tc>
          <w:tcPr>
            <w:tcW w:type="dxa" w:w="1440"/>
          </w:tcPr>
          <w:p>
            <w:r>
              <w:t>51</w:t>
            </w:r>
          </w:p>
        </w:tc>
        <w:tc>
          <w:tcPr>
            <w:tcW w:type="dxa" w:w="1440"/>
          </w:tcPr>
          <w:p>
            <w:r>
              <w:t>18 030,39</w:t>
            </w:r>
          </w:p>
        </w:tc>
        <w:tc>
          <w:tcPr>
            <w:tcW w:type="dxa" w:w="1440"/>
          </w:tcPr>
          <w:p>
            <w:r>
              <w:t>48</w:t>
            </w:r>
          </w:p>
        </w:tc>
        <w:tc>
          <w:tcPr>
            <w:tcW w:type="dxa" w:w="1440"/>
          </w:tcPr>
          <w:p>
            <w:r>
              <w:t>52 425,12</w:t>
            </w:r>
          </w:p>
        </w:tc>
        <w:tc>
          <w:tcPr>
            <w:tcW w:type="dxa" w:w="1440"/>
          </w:tcPr>
          <w:p>
            <w:r>
              <w:t>↗️ +190.8%</w:t>
            </w:r>
          </w:p>
        </w:tc>
      </w:tr>
      <w:tr>
        <w:tc>
          <w:tcPr>
            <w:tcW w:type="dxa" w:w="1440"/>
          </w:tcPr>
          <w:p>
            <w:r>
              <w:t>Radio</w:t>
            </w:r>
          </w:p>
        </w:tc>
        <w:tc>
          <w:tcPr>
            <w:tcW w:type="dxa" w:w="1440"/>
          </w:tcPr>
          <w:p>
            <w:r>
              <w:t>344</w:t>
            </w:r>
          </w:p>
        </w:tc>
        <w:tc>
          <w:tcPr>
            <w:tcW w:type="dxa" w:w="1440"/>
          </w:tcPr>
          <w:p>
            <w:r>
              <w:t>16 417,88</w:t>
            </w:r>
          </w:p>
        </w:tc>
        <w:tc>
          <w:tcPr>
            <w:tcW w:type="dxa" w:w="1440"/>
          </w:tcPr>
          <w:p>
            <w:r>
              <w:t>253</w:t>
            </w:r>
          </w:p>
        </w:tc>
        <w:tc>
          <w:tcPr>
            <w:tcW w:type="dxa" w:w="1440"/>
          </w:tcPr>
          <w:p>
            <w:r>
              <w:t>14 463,93</w:t>
            </w:r>
          </w:p>
        </w:tc>
        <w:tc>
          <w:tcPr>
            <w:tcW w:type="dxa" w:w="1440"/>
          </w:tcPr>
          <w:p>
            <w:r>
              <w:t>↘️ -11.9%</w:t>
            </w:r>
          </w:p>
        </w:tc>
      </w:tr>
      <w:tr>
        <w:tc>
          <w:tcPr>
            <w:tcW w:type="dxa" w:w="1440"/>
          </w:tcPr>
          <w:p>
            <w:r>
              <w:t>Analyse biomédicale</w:t>
            </w:r>
          </w:p>
        </w:tc>
        <w:tc>
          <w:tcPr>
            <w:tcW w:type="dxa" w:w="1440"/>
          </w:tcPr>
          <w:p>
            <w:r>
              <w:t>570</w:t>
            </w:r>
          </w:p>
        </w:tc>
        <w:tc>
          <w:tcPr>
            <w:tcW w:type="dxa" w:w="1440"/>
          </w:tcPr>
          <w:p>
            <w:r>
              <w:t>12 474,94</w:t>
            </w:r>
          </w:p>
        </w:tc>
        <w:tc>
          <w:tcPr>
            <w:tcW w:type="dxa" w:w="1440"/>
          </w:tcPr>
          <w:p>
            <w:r>
              <w:t>280</w:t>
            </w:r>
          </w:p>
        </w:tc>
        <w:tc>
          <w:tcPr>
            <w:tcW w:type="dxa" w:w="1440"/>
          </w:tcPr>
          <w:p>
            <w:r>
              <w:t>13 279,39</w:t>
            </w:r>
          </w:p>
        </w:tc>
        <w:tc>
          <w:tcPr>
            <w:tcW w:type="dxa" w:w="1440"/>
          </w:tcPr>
          <w:p>
            <w:r>
              <w:t>↗️ +6.4%</w:t>
            </w:r>
          </w:p>
        </w:tc>
      </w:tr>
      <w:tr>
        <w:tc>
          <w:tcPr>
            <w:tcW w:type="dxa" w:w="1440"/>
          </w:tcPr>
          <w:p>
            <w:r>
              <w:t>Pharmacie</w:t>
            </w:r>
          </w:p>
        </w:tc>
        <w:tc>
          <w:tcPr>
            <w:tcW w:type="dxa" w:w="1440"/>
          </w:tcPr>
          <w:p>
            <w:r>
              <w:t>2 442</w:t>
            </w:r>
          </w:p>
        </w:tc>
        <w:tc>
          <w:tcPr>
            <w:tcW w:type="dxa" w:w="1440"/>
          </w:tcPr>
          <w:p>
            <w:r>
              <w:t>8 582,46</w:t>
            </w:r>
          </w:p>
        </w:tc>
        <w:tc>
          <w:tcPr>
            <w:tcW w:type="dxa" w:w="1440"/>
          </w:tcPr>
          <w:p>
            <w:r>
              <w:t>1 389</w:t>
            </w:r>
          </w:p>
        </w:tc>
        <w:tc>
          <w:tcPr>
            <w:tcW w:type="dxa" w:w="1440"/>
          </w:tcPr>
          <w:p>
            <w:r>
              <w:t>9 021,72</w:t>
            </w:r>
          </w:p>
        </w:tc>
        <w:tc>
          <w:tcPr>
            <w:tcW w:type="dxa" w:w="1440"/>
          </w:tcPr>
          <w:p>
            <w:r>
              <w:t>↗️ +5.1%</w:t>
            </w:r>
          </w:p>
        </w:tc>
      </w:tr>
      <w:tr>
        <w:tc>
          <w:tcPr>
            <w:tcW w:type="dxa" w:w="1440"/>
          </w:tcPr>
          <w:p>
            <w:r>
              <w:t>Consultation</w:t>
            </w:r>
          </w:p>
        </w:tc>
        <w:tc>
          <w:tcPr>
            <w:tcW w:type="dxa" w:w="1440"/>
          </w:tcPr>
          <w:p>
            <w:r>
              <w:t>701</w:t>
            </w:r>
          </w:p>
        </w:tc>
        <w:tc>
          <w:tcPr>
            <w:tcW w:type="dxa" w:w="1440"/>
          </w:tcPr>
          <w:p>
            <w:r>
              <w:t>5 258,70</w:t>
            </w:r>
          </w:p>
        </w:tc>
        <w:tc>
          <w:tcPr>
            <w:tcW w:type="dxa" w:w="1440"/>
          </w:tcPr>
          <w:p>
            <w:r>
              <w:t>346</w:t>
            </w:r>
          </w:p>
        </w:tc>
        <w:tc>
          <w:tcPr>
            <w:tcW w:type="dxa" w:w="1440"/>
          </w:tcPr>
          <w:p>
            <w:r>
              <w:t>6 249,48</w:t>
            </w:r>
          </w:p>
        </w:tc>
        <w:tc>
          <w:tcPr>
            <w:tcW w:type="dxa" w:w="1440"/>
          </w:tcPr>
          <w:p>
            <w:r>
              <w:t>↗️ +18.8%</w:t>
            </w:r>
          </w:p>
        </w:tc>
      </w:tr>
    </w:tbl>
    <w:p>
      <w:r>
        <w:t>Graphique : barres groupées visualisant l'évolution des coûts moyens pour identifier les inflations tarifaires par spécialité.</w:t>
      </w:r>
    </w:p>
    <w:p>
      <w:r>
        <w:drawing>
          <wp:inline xmlns:a="http://schemas.openxmlformats.org/drawingml/2006/main" xmlns:pic="http://schemas.openxmlformats.org/drawingml/2006/picture">
            <wp:extent cx="5029200" cy="2817875"/>
            <wp:docPr id="15" name="Picture 15"/>
            <wp:cNvGraphicFramePr>
              <a:graphicFrameLocks noChangeAspect="1"/>
            </wp:cNvGraphicFramePr>
            <a:graphic>
              <a:graphicData uri="http://schemas.openxmlformats.org/drawingml/2006/picture">
                <pic:pic>
                  <pic:nvPicPr>
                    <pic:cNvPr id="0" name="tmpfwwhfzu0.png"/>
                    <pic:cNvPicPr/>
                  </pic:nvPicPr>
                  <pic:blipFill>
                    <a:blip r:embed="rId23"/>
                    <a:stretch>
                      <a:fillRect/>
                    </a:stretch>
                  </pic:blipFill>
                  <pic:spPr>
                    <a:xfrm>
                      <a:off x="0" y="0"/>
                      <a:ext cx="5029200" cy="2817875"/>
                    </a:xfrm>
                    <a:prstGeom prst="rect"/>
                  </pic:spPr>
                </pic:pic>
              </a:graphicData>
            </a:graphic>
          </wp:inline>
        </w:drawing>
      </w:r>
    </w:p>
    <w:p>
      <w:r>
        <w:t>Comparaison du montant moyen par type de prestation : 2024 vs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6" name="Picture 16"/>
            <wp:cNvGraphicFramePr>
              <a:graphicFrameLocks noChangeAspect="1"/>
            </wp:cNvGraphicFramePr>
            <a:graphic>
              <a:graphicData uri="http://schemas.openxmlformats.org/drawingml/2006/picture">
                <pic:pic>
                  <pic:nvPicPr>
                    <pic:cNvPr id="0" name="tmp7g4hgmqd.png"/>
                    <pic:cNvPicPr/>
                  </pic:nvPicPr>
                  <pic:blipFill>
                    <a:blip r:embed="rId24"/>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7" name="Picture 17"/>
            <wp:cNvGraphicFramePr>
              <a:graphicFrameLocks noChangeAspect="1"/>
            </wp:cNvGraphicFramePr>
            <a:graphic>
              <a:graphicData uri="http://schemas.openxmlformats.org/drawingml/2006/picture">
                <pic:pic>
                  <pic:nvPicPr>
                    <pic:cNvPr id="0" name="tmpiy8mh5lm.png"/>
                    <pic:cNvPicPr/>
                  </pic:nvPicPr>
                  <pic:blipFill>
                    <a:blip r:embed="rId25"/>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