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24,13</w:t>
            </w:r>
          </w:p>
        </w:tc>
      </w:tr>
      <w:tr>
        <w:tc>
          <w:tcPr>
            <w:tcW w:type="dxa" w:w="4320"/>
          </w:tcPr>
          <w:p>
            <w:r>
              <w:t>Nombre total de mutualistes éligibles</w:t>
            </w:r>
          </w:p>
        </w:tc>
        <w:tc>
          <w:tcPr>
            <w:tcW w:type="dxa" w:w="4320"/>
          </w:tcPr>
          <w:p>
            <w:r>
              <w:t>5 284</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9r2i5col.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un5peeqb.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e8fnfpad.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rf7fme4k.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ar4jobzl.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r>
        <w:tc>
          <w:tcPr>
            <w:tcW w:type="dxa" w:w="1440"/>
          </w:tcPr>
          <w:p>
            <w:r>
              <w:t>3</w:t>
            </w:r>
          </w:p>
        </w:tc>
        <w:tc>
          <w:tcPr>
            <w:tcW w:type="dxa" w:w="1440"/>
          </w:tcPr>
          <w:p>
            <w:r>
              <w:t>Mutualiste</w:t>
            </w:r>
          </w:p>
        </w:tc>
        <w:tc>
          <w:tcPr>
            <w:tcW w:type="dxa" w:w="1440"/>
          </w:tcPr>
          <w:p>
            <w:r>
              <w:t>83 250 760</w:t>
            </w:r>
          </w:p>
        </w:tc>
        <w:tc>
          <w:tcPr>
            <w:tcW w:type="dxa" w:w="1440"/>
          </w:tcPr>
          <w:p>
            <w:r>
              <w:t>6 843</w:t>
            </w:r>
          </w:p>
        </w:tc>
        <w:tc>
          <w:tcPr>
            <w:tcW w:type="dxa" w:w="1440"/>
          </w:tcPr>
          <w:p>
            <w:r>
              <w:t>12 165,83</w:t>
            </w:r>
          </w:p>
        </w:tc>
        <w:tc>
          <w:tcPr>
            <w:tcW w:type="dxa" w:w="1440"/>
          </w:tcPr>
          <w:p>
            <w:r>
              <w:t>1 331</w:t>
            </w:r>
          </w:p>
        </w:tc>
      </w:tr>
      <w:tr>
        <w:tc>
          <w:tcPr>
            <w:tcW w:type="dxa" w:w="1440"/>
          </w:tcPr>
          <w:p>
            <w:r>
              <w:t>4</w:t>
            </w:r>
          </w:p>
        </w:tc>
        <w:tc>
          <w:tcPr>
            <w:tcW w:type="dxa" w:w="1440"/>
          </w:tcPr>
          <w:p>
            <w:r>
              <w:t>Proportion ayants droits/adhérents (%)</w:t>
            </w:r>
          </w:p>
        </w:tc>
        <w:tc>
          <w:tcPr>
            <w:tcW w:type="dxa" w:w="1440"/>
          </w:tcPr>
          <w:p>
            <w:r/>
          </w:p>
        </w:tc>
        <w:tc>
          <w:tcPr>
            <w:tcW w:type="dxa" w:w="1440"/>
          </w:tcPr>
          <w:p>
            <w:r/>
          </w:p>
        </w:tc>
        <w:tc>
          <w:tcPr>
            <w:tcW w:type="dxa" w:w="1440"/>
          </w:tcPr>
          <w:p>
            <w:r/>
          </w:p>
        </w:tc>
        <w:tc>
          <w:tcPr>
            <w:tcW w:type="dxa" w:w="1440"/>
          </w:tcPr>
          <w:p>
            <w:r>
              <w:t>8,30</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e3bnh7fz.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x9anedwe.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l843_lc7.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k3d57yxl.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4ebnqy9d.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opqnjl8z.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mdmdi07d.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nuooaz9o.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5oafpz5t.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5" name="Picture 15"/>
            <wp:cNvGraphicFramePr>
              <a:graphicFrameLocks noChangeAspect="1"/>
            </wp:cNvGraphicFramePr>
            <a:graphic>
              <a:graphicData uri="http://schemas.openxmlformats.org/drawingml/2006/picture">
                <pic:pic>
                  <pic:nvPicPr>
                    <pic:cNvPr id="0" name="tmp6d2zmh1m.png"/>
                    <pic:cNvPicPr/>
                  </pic:nvPicPr>
                  <pic:blipFill>
                    <a:blip r:embed="rId23"/>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jti1bs92.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