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40"/>
        <w:jc w:val="center"/>
      </w:pPr>
      <w:r>
        <w:rPr>
          <w:rFonts w:ascii="Times New Roman" w:cs="Times New Roman" w:eastAsia="Times New Roman" w:hAnsi="Times New Roman"/>
          <w:b/>
          <w:bCs/>
          <w:color w:val="1F3651"/>
          <w:sz w:val="44"/>
          <w:szCs w:val="44"/>
        </w:rPr>
        <w:t xml:space="preserve">ODR PANEL</w:t>
      </w:r>
    </w:p>
    <w:p>
      <w:pPr>
        <w:spacing w:after="480"/>
        <w:jc w:val="center"/>
      </w:pPr>
      <w:r>
        <w:rPr>
          <w:rFonts w:ascii="Times New Roman" w:cs="Times New Roman" w:eastAsia="Times New Roman" w:hAnsi="Times New Roman"/>
          <w:b/>
          <w:bCs/>
          <w:sz w:val="28"/>
          <w:szCs w:val="28"/>
        </w:rPr>
        <w:t xml:space="preserve">Online Dispute Resolution and Case Management Platform for Arbitrators</w:t>
      </w:r>
    </w:p>
    <w:p>
      <w:pPr>
        <w:spacing w:after="240"/>
        <w:jc w:val="center"/>
      </w:pPr>
      <w:r>
        <w:rPr>
          <w:rFonts w:ascii="Times New Roman" w:cs="Times New Roman" w:eastAsia="Times New Roman" w:hAnsi="Times New Roman"/>
          <w:b/>
          <w:bCs/>
          <w:color w:val="8A6D3B"/>
          <w:sz w:val="32"/>
          <w:szCs w:val="32"/>
        </w:rPr>
        <w:t xml:space="preserve">AWS SERVER INSTALLATION GUIDE</w:t>
      </w:r>
    </w:p>
    <w:p>
      <w:pPr>
        <w:spacing w:after="960"/>
        <w:jc w:val="center"/>
      </w:pPr>
      <w:r>
        <w:rPr>
          <w:rFonts w:ascii="Times New Roman" w:cs="Times New Roman" w:eastAsia="Times New Roman" w:hAnsi="Times New Roman"/>
          <w:i/>
          <w:iCs/>
          <w:sz w:val="24"/>
          <w:szCs w:val="24"/>
        </w:rPr>
        <w:t xml:space="preserve">Single-Server Evaluation Deployment — Amazon Web Services</w:t>
      </w:r>
    </w:p>
    <w:p>
      <w:pPr>
        <w:spacing w:after="120"/>
        <w:jc w:val="center"/>
      </w:pPr>
      <w:r>
        <w:rPr>
          <w:rFonts w:ascii="Times New Roman" w:cs="Times New Roman" w:eastAsia="Times New Roman" w:hAnsi="Times New Roman"/>
          <w:sz w:val="22"/>
          <w:szCs w:val="22"/>
        </w:rPr>
        <w:t xml:space="preserve">Prepared for: Client review and short-term evaluation by a wider group, prior to any production deployment</w:t>
      </w:r>
    </w:p>
    <w:p>
      <w:pPr>
        <w:spacing w:after="120"/>
        <w:jc w:val="center"/>
      </w:pPr>
      <w:r>
        <w:rPr>
          <w:rFonts w:ascii="Times New Roman" w:cs="Times New Roman" w:eastAsia="Times New Roman" w:hAnsi="Times New Roman"/>
          <w:sz w:val="22"/>
          <w:szCs w:val="22"/>
        </w:rPr>
        <w:t xml:space="preserve">Status: Evaluation build — not configured for permanent production or internet-wide public use</w:t>
      </w:r>
    </w:p>
    <w:p>
      <w:pPr>
        <w:jc w:val="center"/>
      </w:pPr>
      <w:r>
        <w:rPr>
          <w:rFonts w:ascii="Times New Roman" w:cs="Times New Roman" w:eastAsia="Times New Roman" w:hAnsi="Times New Roman"/>
          <w:sz w:val="22"/>
          <w:szCs w:val="22"/>
        </w:rPr>
        <w:t xml:space="preserve">25 September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How to Use This Guide</w:t>
      </w:r>
    </w:p>
    <w:p>
      <w:pPr>
        <w:spacing w:after="120" w:line="360" w:lineRule="auto"/>
        <w:jc w:val="both"/>
      </w:pPr>
      <w:r>
        <w:t xml:space="preserve">This guide sets out, in full and in sequence, the steps required to install and run the ODR Panel platform on a single server rented from Amazon Web Services (“AWS”), so that it may be reached over the internet by more than one reviewer at a time, without each reviewer installing anything on their own computer. It is written for a reader with no prior programming, server administration, or cloud computing experience. No step has been assumed or omitted.</w:t>
      </w:r>
    </w:p>
    <w:p>
      <w:pPr>
        <w:spacing w:after="120" w:line="360" w:lineRule="auto"/>
        <w:jc w:val="both"/>
      </w:pPr>
      <w:r>
        <w:t xml:space="preserve">This deployment is intended for evaluation by a small group over a short period — for example, a handful of colleagues reviewing the platform over a few days or weeks — and not as a permanent, production system open to the general public. Section 11 (Important Notes on Security and Scope) explains this limitation and what would need to change before any wider or permanent use.</w:t>
      </w:r>
    </w:p>
    <w:p>
      <w:pPr>
        <w:spacing w:after="120" w:line="360" w:lineRule="auto"/>
        <w:jc w:val="both"/>
      </w:pPr>
      <w:r>
        <w:t xml:space="preserve">Where a step requires text to be typed exactly, that text is shown in a shaded box, thus:</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example command — type exactly as shown, then press Enter</w:t>
      </w:r>
    </w:p>
    <w:p>
      <w:pPr>
        <w:spacing w:after="120" w:line="360" w:lineRule="auto"/>
        <w:jc w:val="both"/>
      </w:pPr>
      <w:r>
        <w:t xml:space="preserve">Every step in this guide is carried out using nothing more than an ordinary web browser and two small, free helper programs described in Section 2. No knowledge of any programming language is required at any point.</w:t>
      </w:r>
    </w:p>
    <w:p>
      <w:pPr>
        <w:pStyle w:val="Heading1"/>
      </w:pPr>
      <w:r>
        <w:t xml:space="preserve">2. Before You Begin</w:t>
      </w:r>
    </w:p>
    <w:p>
      <w:pPr>
        <w:pStyle w:val="Heading2"/>
      </w:pPr>
      <w:r>
        <w:t xml:space="preserve">2.1 What This Deployment Provides</w:t>
      </w:r>
    </w:p>
    <w:p>
      <w:pPr>
        <w:spacing w:after="120" w:line="360" w:lineRule="auto"/>
        <w:jc w:val="both"/>
      </w:pPr>
      <w:r>
        <w:t xml:space="preserve">This guide places the entire ODR Panel platform — the application itself and the PostgreSQL database in which all case data is stored — on a single rented computer (called a “server” or “instance”) running inside Amazon's data centres. That server is given its own public internet address, so that any reviewer with the address and a demonstration sign-in (Section 9) may reach it from their own computer, tablet or phone, without installing anything themselves.</w:t>
      </w:r>
    </w:p>
    <w:p>
      <w:pPr>
        <w:spacing w:after="120" w:line="360" w:lineRule="auto"/>
        <w:jc w:val="both"/>
      </w:pPr>
      <w:r>
        <w:t xml:space="preserve">Because no internet domain name (such as odrpanel.yourfirm.com) has been arranged for this deployment, reviewers will reach the platform using a numeric address (for example, http://13.234.56.78:3000) rather than a memorable web address, and the connection will not show the small padlock icon that indicates an encrypted connection. Section 11 explains why this is acceptable for short-term evaluation only, and what should be arranged before any wider or longer use.</w:t>
      </w:r>
    </w:p>
    <w:p>
      <w:pPr>
        <w:pStyle w:val="Heading2"/>
      </w:pPr>
      <w:r>
        <w:t xml:space="preserve">2.2 What the Reader Will Need</w:t>
      </w:r>
    </w:p>
    <w:p>
      <w:pPr>
        <w:pStyle w:val="ListParagraph"/>
        <w:numPr>
          <w:ilvl w:val="0"/>
          <w:numId w:val="2"/>
        </w:numPr>
        <w:spacing w:after="100" w:line="360" w:lineRule="auto"/>
      </w:pPr>
      <w:r>
        <w:t xml:space="preserve">A Windows, Mac, or Chromebook computer with a web browser and an internet connection.</w:t>
      </w:r>
    </w:p>
    <w:p>
      <w:pPr>
        <w:pStyle w:val="ListParagraph"/>
        <w:numPr>
          <w:ilvl w:val="0"/>
          <w:numId w:val="2"/>
        </w:numPr>
        <w:spacing w:after="100" w:line="360" w:lineRule="auto"/>
      </w:pPr>
      <w:r>
        <w:t xml:space="preserve">A personal email address, and a debit or credit card, to create the AWS account (Section 3). AWS will not charge the card without further action by the reader, but does require a card on file, consistent with standard industry practice for cloud services.</w:t>
      </w:r>
    </w:p>
    <w:p>
      <w:pPr>
        <w:pStyle w:val="ListParagraph"/>
        <w:numPr>
          <w:ilvl w:val="0"/>
          <w:numId w:val="2"/>
        </w:numPr>
        <w:spacing w:after="100" w:line="360" w:lineRule="auto"/>
      </w:pPr>
      <w:r>
        <w:t xml:space="preserve">A mobile phone number, for AWS's identity verification step during account creation.</w:t>
      </w:r>
    </w:p>
    <w:p>
      <w:pPr>
        <w:pStyle w:val="ListParagraph"/>
        <w:numPr>
          <w:ilvl w:val="0"/>
          <w:numId w:val="2"/>
        </w:numPr>
        <w:spacing w:after="100" w:line="360" w:lineRule="auto"/>
      </w:pPr>
      <w:r>
        <w:t xml:space="preserve">The ODR Panel project files, already downloaded to the reader's own computer as a ZIP file (the same file obtained while following the local installation guide).</w:t>
      </w:r>
    </w:p>
    <w:p>
      <w:pPr>
        <w:pStyle w:val="ListParagraph"/>
        <w:numPr>
          <w:ilvl w:val="0"/>
          <w:numId w:val="2"/>
        </w:numPr>
        <w:spacing w:after="100" w:line="360" w:lineRule="auto"/>
      </w:pPr>
      <w:r>
        <w:t xml:space="preserve">Approximately ninety minutes, uninterrupted, for a first deployment.</w:t>
      </w:r>
    </w:p>
    <w:p>
      <w:pPr>
        <w:pStyle w:val="Heading2"/>
      </w:pPr>
      <w:r>
        <w:t xml:space="preserve">2.3 What Will Be Rented and Installed</w:t>
      </w:r>
    </w:p>
    <w:p>
      <w:pPr>
        <w:spacing w:after="120" w:line="360" w:lineRule="auto"/>
        <w:jc w:val="both"/>
      </w:pPr>
      <w:r>
        <w:t xml:space="preserve">This guide rents one small virtual server from Amazon Web Services, and installs the following free software on it, in addition to the ODR Panel project files themselves:</w:t>
      </w:r>
    </w:p>
    <w:p>
      <w:pPr>
        <w:pStyle w:val="ListParagraph"/>
        <w:numPr>
          <w:ilvl w:val="0"/>
          <w:numId w:val="2"/>
        </w:numPr>
        <w:spacing w:after="100" w:line="360" w:lineRule="auto"/>
      </w:pPr>
      <w:r>
        <w:t xml:space="preserve">Ubuntu Linux — the operating system on which the server runs (chosen automatically when the server is created; no separate installation step is needed).</w:t>
      </w:r>
    </w:p>
    <w:p>
      <w:pPr>
        <w:pStyle w:val="ListParagraph"/>
        <w:numPr>
          <w:ilvl w:val="0"/>
          <w:numId w:val="2"/>
        </w:numPr>
        <w:spacing w:after="100" w:line="360" w:lineRule="auto"/>
      </w:pPr>
      <w:r>
        <w:t xml:space="preserve">Node.js — the software that runs the ODR Panel application.</w:t>
      </w:r>
    </w:p>
    <w:p>
      <w:pPr>
        <w:pStyle w:val="ListParagraph"/>
        <w:numPr>
          <w:ilvl w:val="0"/>
          <w:numId w:val="2"/>
        </w:numPr>
        <w:spacing w:after="100" w:line="360" w:lineRule="auto"/>
      </w:pPr>
      <w:r>
        <w:t xml:space="preserve">PostgreSQL — the database in which all case data is stored.</w:t>
      </w:r>
    </w:p>
    <w:p>
      <w:pPr>
        <w:pStyle w:val="ListParagraph"/>
        <w:numPr>
          <w:ilvl w:val="0"/>
          <w:numId w:val="2"/>
        </w:numPr>
        <w:spacing w:after="100" w:line="360" w:lineRule="auto"/>
      </w:pPr>
      <w:r>
        <w:t xml:space="preserve">PM2 — a small utility that keeps the application running continuously, and restarts it automatically if the server is rebooted.</w:t>
      </w:r>
    </w:p>
    <w:p>
      <w:pPr>
        <w:pBdr>
          <w:left w:val="single" w:color="8A6D3B" w:sz="12"/>
        </w:pBdr>
        <w:shd w:fill="F5F0E6" w:val="clear"/>
        <w:spacing w:after="160" w:before="80" w:line="360" w:lineRule="auto"/>
        <w:ind w:left="200" w:right="200"/>
      </w:pPr>
      <w:r>
        <w:rPr>
          <w:b/>
          <w:bCs/>
        </w:rPr>
        <w:t xml:space="preserve">Note on cost: </w:t>
      </w:r>
      <w:r>
        <w:t xml:space="preserve">AWS is a paid service, billed by the hour for as long as the server is left running. At the size recommended in this guide (Section 4.4), the cost is approximately USD 0.03–0.05 per hour — broadly USD 25–35 per month if left running continuously, or considerably less if the server is stopped between review sessions, as described in Section 10. Section 3.5 shows how to set a billing alert so the reader is notified before any significant charge is incurred.</w:t>
      </w:r>
    </w:p>
    <w:p>
      <w:r>
        <w:br w:type="page"/>
      </w:r>
    </w:p>
    <w:p>
      <w:pPr>
        <w:pStyle w:val="Heading1"/>
      </w:pPr>
      <w:r>
        <w:t xml:space="preserve">3. Creating Your AWS Account</w:t>
      </w:r>
    </w:p>
    <w:p>
      <w:pPr>
        <w:spacing w:after="120" w:line="360" w:lineRule="auto"/>
        <w:jc w:val="both"/>
      </w:pPr>
      <w:r>
        <w:t xml:space="preserve">If the reader already has a usable AWS account with a working sign-in, this section may be skipped in favour of Section 4. Otherwise, the following steps create a new account, free of charge, in approximately ten minutes.</w:t>
      </w:r>
    </w:p>
    <w:p>
      <w:pPr>
        <w:pStyle w:val="Heading2"/>
      </w:pPr>
      <w:r>
        <w:t xml:space="preserve">3.1 Sign Up</w:t>
      </w:r>
    </w:p>
    <w:p>
      <w:pPr>
        <w:pStyle w:val="ListParagraph"/>
        <w:numPr>
          <w:ilvl w:val="0"/>
          <w:numId w:val="3"/>
        </w:numPr>
        <w:spacing w:after="120" w:line="360" w:lineRule="auto"/>
      </w:pPr>
      <w:r>
        <w:t xml:space="preserve">Open a web browser and go to aws.amazon.com.</w:t>
      </w:r>
    </w:p>
    <w:p>
      <w:pPr>
        <w:pStyle w:val="ListParagraph"/>
        <w:numPr>
          <w:ilvl w:val="0"/>
          <w:numId w:val="3"/>
        </w:numPr>
        <w:spacing w:after="120" w:line="360" w:lineRule="auto"/>
      </w:pPr>
      <w:r>
        <w:t xml:space="preserve">Click “Create an AWS Account” (usually near the top right of the page).</w:t>
      </w:r>
    </w:p>
    <w:p>
      <w:pPr>
        <w:pStyle w:val="ListParagraph"/>
        <w:numPr>
          <w:ilvl w:val="0"/>
          <w:numId w:val="3"/>
        </w:numPr>
        <w:spacing w:after="120" w:line="360" w:lineRule="auto"/>
      </w:pPr>
      <w:r>
        <w:t xml:space="preserve">Enter the email address to be used for this account, choose an account name (for example, the firm's name), and click “Verify email address”. A verification code will be sent to that email — enter it when prompted.</w:t>
      </w:r>
    </w:p>
    <w:p>
      <w:pPr>
        <w:pStyle w:val="ListParagraph"/>
        <w:numPr>
          <w:ilvl w:val="0"/>
          <w:numId w:val="3"/>
        </w:numPr>
        <w:spacing w:after="120" w:line="360" w:lineRule="auto"/>
      </w:pPr>
      <w:r>
        <w:t xml:space="preserve">Choose a strong root password when prompted, and store it securely (for example, in the firm's password manager); this is the master password for the entire AWS account.</w:t>
      </w:r>
    </w:p>
    <w:p>
      <w:pPr>
        <w:pStyle w:val="Heading2"/>
      </w:pPr>
      <w:r>
        <w:t xml:space="preserve">3.2 Contact and Payment Information</w:t>
      </w:r>
    </w:p>
    <w:p>
      <w:pPr>
        <w:pStyle w:val="ListParagraph"/>
        <w:numPr>
          <w:ilvl w:val="0"/>
          <w:numId w:val="4"/>
        </w:numPr>
        <w:spacing w:after="120" w:line="360" w:lineRule="auto"/>
      </w:pPr>
      <w:r>
        <w:t xml:space="preserve">Select “Personal” or “Business” as the account type, as appropriate, and complete the contact details requested.</w:t>
      </w:r>
    </w:p>
    <w:p>
      <w:pPr>
        <w:pStyle w:val="ListParagraph"/>
        <w:numPr>
          <w:ilvl w:val="0"/>
          <w:numId w:val="4"/>
        </w:numPr>
        <w:spacing w:after="120" w:line="360" w:lineRule="auto"/>
      </w:pPr>
      <w:r>
        <w:t xml:space="preserve">Enter a debit or credit card when prompted. AWS may place a small, temporary authorisation charge on the card purely to confirm it is valid; this is refunded automatically and is not a service charge.</w:t>
      </w:r>
    </w:p>
    <w:p>
      <w:pPr>
        <w:pStyle w:val="Heading2"/>
      </w:pPr>
      <w:r>
        <w:t xml:space="preserve">3.3 Identity Verification</w:t>
      </w:r>
    </w:p>
    <w:p>
      <w:pPr>
        <w:pStyle w:val="ListParagraph"/>
        <w:numPr>
          <w:ilvl w:val="0"/>
          <w:numId w:val="5"/>
        </w:numPr>
        <w:spacing w:after="120" w:line="360" w:lineRule="auto"/>
      </w:pPr>
      <w:r>
        <w:t xml:space="preserve">Enter a mobile phone number when prompted, and choose either a text message or a voice call for the verification code.</w:t>
      </w:r>
    </w:p>
    <w:p>
      <w:pPr>
        <w:pStyle w:val="ListParagraph"/>
        <w:numPr>
          <w:ilvl w:val="0"/>
          <w:numId w:val="5"/>
        </w:numPr>
        <w:spacing w:after="120" w:line="360" w:lineRule="auto"/>
      </w:pPr>
      <w:r>
        <w:t xml:space="preserve">Enter the code received, to complete this step.</w:t>
      </w:r>
    </w:p>
    <w:p>
      <w:pPr>
        <w:pStyle w:val="Heading2"/>
      </w:pPr>
      <w:r>
        <w:t xml:space="preserve">3.4 Support Plan</w:t>
      </w:r>
    </w:p>
    <w:p>
      <w:pPr>
        <w:pStyle w:val="ListParagraph"/>
        <w:numPr>
          <w:ilvl w:val="0"/>
          <w:numId w:val="6"/>
        </w:numPr>
        <w:spacing w:after="120" w:line="360" w:lineRule="auto"/>
      </w:pPr>
      <w:r>
        <w:t xml:space="preserve">When asked to choose a support plan, select “Basic support — Free”. This is entirely sufficient for the present purpose and carries no charge.</w:t>
      </w:r>
    </w:p>
    <w:p>
      <w:pPr>
        <w:pStyle w:val="ListParagraph"/>
        <w:numPr>
          <w:ilvl w:val="0"/>
          <w:numId w:val="6"/>
        </w:numPr>
        <w:spacing w:after="120" w:line="360" w:lineRule="auto"/>
      </w:pPr>
      <w:r>
        <w:t xml:space="preserve">Once the sign-up process confirms the account is ready, click “Go to the AWS Management Console” and sign in using the email address and root password chosen above.</w:t>
      </w:r>
    </w:p>
    <w:p>
      <w:pPr>
        <w:pStyle w:val="Heading2"/>
      </w:pPr>
      <w:r>
        <w:t xml:space="preserve">3.5 Setting a Billing Alert (Strongly Recommended)</w:t>
      </w:r>
    </w:p>
    <w:p>
      <w:pPr>
        <w:pStyle w:val="ListParagraph"/>
        <w:numPr>
          <w:ilvl w:val="0"/>
          <w:numId w:val="7"/>
        </w:numPr>
        <w:spacing w:after="120" w:line="360" w:lineRule="auto"/>
      </w:pPr>
      <w:r>
        <w:t xml:space="preserve">Once signed in, type “Billing” into the search bar at the top of the page and open “Billing and Cost Management”.</w:t>
      </w:r>
    </w:p>
    <w:p>
      <w:pPr>
        <w:pStyle w:val="ListParagraph"/>
        <w:numPr>
          <w:ilvl w:val="0"/>
          <w:numId w:val="7"/>
        </w:numPr>
        <w:spacing w:after="120" w:line="360" w:lineRule="auto"/>
      </w:pPr>
      <w:r>
        <w:t xml:space="preserve">In the left-hand menu, choose “Budgets”, then “Create budget”.</w:t>
      </w:r>
    </w:p>
    <w:p>
      <w:pPr>
        <w:pStyle w:val="ListParagraph"/>
        <w:numPr>
          <w:ilvl w:val="0"/>
          <w:numId w:val="7"/>
        </w:numPr>
        <w:spacing w:after="120" w:line="360" w:lineRule="auto"/>
      </w:pPr>
      <w:r>
        <w:t xml:space="preserve">Choose “Use a template”, then “Monthly cost budget”, and enter a threshold appropriate to the reader's expectations — for example, USD 20.</w:t>
      </w:r>
    </w:p>
    <w:p>
      <w:pPr>
        <w:pStyle w:val="ListParagraph"/>
        <w:numPr>
          <w:ilvl w:val="0"/>
          <w:numId w:val="7"/>
        </w:numPr>
        <w:spacing w:after="120" w:line="360" w:lineRule="auto"/>
      </w:pPr>
      <w:r>
        <w:t xml:space="preserve">Enter the email address that should receive an alert if this threshold is reached, and complete the wizard by clicking “Create budget”.</w:t>
      </w:r>
    </w:p>
    <w:p>
      <w:pPr>
        <w:pBdr>
          <w:left w:val="single" w:color="8A6D3B" w:sz="12"/>
        </w:pBdr>
        <w:shd w:fill="F5F0E6" w:val="clear"/>
        <w:spacing w:after="160" w:before="80" w:line="360" w:lineRule="auto"/>
        <w:ind w:left="200" w:right="200"/>
      </w:pPr>
      <w:r>
        <w:rPr>
          <w:b/>
          <w:bCs/>
        </w:rPr>
        <w:t xml:space="preserve">Note: </w:t>
      </w:r>
      <w:r>
        <w:t xml:space="preserve">This alert notifies the reader by email if AWS charges begin to exceed the amount expected; it does not itself prevent or cap spending. The most reliable way to avoid ongoing charges remains stopping the server when it is not in use, as described in Section 10.</w:t>
      </w:r>
    </w:p>
    <w:p>
      <w:r>
        <w:br w:type="page"/>
      </w:r>
    </w:p>
    <w:p>
      <w:pPr>
        <w:pStyle w:val="Heading1"/>
      </w:pPr>
      <w:r>
        <w:t xml:space="preserve">4. Launching the Server</w:t>
      </w:r>
    </w:p>
    <w:p>
      <w:pPr>
        <w:spacing w:after="120" w:line="360" w:lineRule="auto"/>
        <w:jc w:val="both"/>
      </w:pPr>
      <w:r>
        <w:t xml:space="preserve">This section creates the single virtual server (“EC2 instance”, in Amazon's terminology) on which the ODR Panel platform will run.</w:t>
      </w:r>
    </w:p>
    <w:p>
      <w:pPr>
        <w:pStyle w:val="Heading2"/>
      </w:pPr>
      <w:r>
        <w:t xml:space="preserve">4.1 Open the EC2 Service</w:t>
      </w:r>
    </w:p>
    <w:p>
      <w:pPr>
        <w:pStyle w:val="ListParagraph"/>
        <w:numPr>
          <w:ilvl w:val="0"/>
          <w:numId w:val="8"/>
        </w:numPr>
        <w:spacing w:after="120" w:line="360" w:lineRule="auto"/>
      </w:pPr>
      <w:r>
        <w:t xml:space="preserve">From the AWS Management Console, type “EC2” into the search bar at the top of the page and select “EC2” from the results.</w:t>
      </w:r>
    </w:p>
    <w:p>
      <w:pPr>
        <w:pStyle w:val="ListParagraph"/>
        <w:numPr>
          <w:ilvl w:val="0"/>
          <w:numId w:val="8"/>
        </w:numPr>
        <w:spacing w:after="120" w:line="360" w:lineRule="auto"/>
      </w:pPr>
      <w:r>
        <w:t xml:space="preserve">Note the AWS Region shown at the top right of the page (for example, “Asia Pacific (Mumbai) ap-south-1”). Choosing a region physically closer to the reviewers gives a faster connection; any region may be used, provided the same region is used consistently throughout this guide.</w:t>
      </w:r>
    </w:p>
    <w:p>
      <w:pPr>
        <w:pStyle w:val="ListParagraph"/>
        <w:numPr>
          <w:ilvl w:val="0"/>
          <w:numId w:val="8"/>
        </w:numPr>
        <w:spacing w:after="120" w:line="360" w:lineRule="auto"/>
      </w:pPr>
      <w:r>
        <w:t xml:space="preserve">Click the orange “Launch instance” button.</w:t>
      </w:r>
    </w:p>
    <w:p>
      <w:pPr>
        <w:pStyle w:val="Heading2"/>
      </w:pPr>
      <w:r>
        <w:t xml:space="preserve">4.2 Name and Operating System</w:t>
      </w:r>
    </w:p>
    <w:p>
      <w:pPr>
        <w:pStyle w:val="ListParagraph"/>
        <w:numPr>
          <w:ilvl w:val="0"/>
          <w:numId w:val="9"/>
        </w:numPr>
        <w:spacing w:after="120" w:line="360" w:lineRule="auto"/>
      </w:pPr>
      <w:r>
        <w:t xml:space="preserve">Under “Name”, enter a recognisable name, for example: ODR-Panel-Evaluation.</w:t>
      </w:r>
    </w:p>
    <w:p>
      <w:pPr>
        <w:pStyle w:val="ListParagraph"/>
        <w:numPr>
          <w:ilvl w:val="0"/>
          <w:numId w:val="9"/>
        </w:numPr>
        <w:spacing w:after="120" w:line="360" w:lineRule="auto"/>
      </w:pPr>
      <w:r>
        <w:t xml:space="preserve">Under “Application and OS Images (Amazon Machine Image)”, choose “Ubuntu”, and confirm the option shown is “Ubuntu Server 22.04 LTS” (this is normally selected by default). Leave the architecture as “64-bit (x86)”.</w:t>
      </w:r>
    </w:p>
    <w:p>
      <w:pPr>
        <w:pStyle w:val="Heading2"/>
      </w:pPr>
      <w:r>
        <w:t xml:space="preserve">4.3 Key Pair (Login Credential)</w:t>
      </w:r>
    </w:p>
    <w:p>
      <w:pPr>
        <w:pStyle w:val="ListParagraph"/>
        <w:numPr>
          <w:ilvl w:val="0"/>
          <w:numId w:val="10"/>
        </w:numPr>
        <w:spacing w:after="120" w:line="360" w:lineRule="auto"/>
      </w:pPr>
      <w:r>
        <w:t xml:space="preserve">Under “Key pair (login)”, click “Create new key pair”.</w:t>
      </w:r>
    </w:p>
    <w:p>
      <w:pPr>
        <w:pStyle w:val="ListParagraph"/>
        <w:numPr>
          <w:ilvl w:val="0"/>
          <w:numId w:val="10"/>
        </w:numPr>
        <w:spacing w:after="120" w:line="360" w:lineRule="auto"/>
      </w:pPr>
      <w:r>
        <w:t xml:space="preserve">Enter a name, for example: odr-panel-key, leave the type as “RSA” and the format as “.pem”, and click “Create key pair”.</w:t>
      </w:r>
    </w:p>
    <w:p>
      <w:pPr>
        <w:pStyle w:val="ListParagraph"/>
        <w:numPr>
          <w:ilvl w:val="0"/>
          <w:numId w:val="10"/>
        </w:numPr>
        <w:spacing w:after="120" w:line="360" w:lineRule="auto"/>
      </w:pPr>
      <w:r>
        <w:t xml:space="preserve">A file named odr-panel-key.pem will download automatically. Move this file to a location the reader will remember (for example, a folder named AWS Keys inside Documents) and do not share, email, or upload it anywhere — it is the equivalent of a password for this server, and cannot be downloaded again if lost.</w:t>
      </w:r>
    </w:p>
    <w:p>
      <w:pPr>
        <w:pStyle w:val="Heading2"/>
      </w:pPr>
      <w:r>
        <w:t xml:space="preserve">4.4 Instance Type (Server Size)</w:t>
      </w:r>
    </w:p>
    <w:p>
      <w:pPr>
        <w:pStyle w:val="ListParagraph"/>
        <w:numPr>
          <w:ilvl w:val="0"/>
          <w:numId w:val="11"/>
        </w:numPr>
        <w:spacing w:after="120" w:line="360" w:lineRule="auto"/>
      </w:pPr>
      <w:r>
        <w:t xml:space="preserve">Under “Instance type”, click the dropdown and choose t3.medium (2 virtual processors, 4 GiB of memory). This size is sufficient for a handful of simultaneous reviewers and comfortably handles the one-time build step in Section 7.</w:t>
      </w:r>
    </w:p>
    <w:p>
      <w:pPr>
        <w:pBdr>
          <w:left w:val="single" w:color="8A6D3B" w:sz="12"/>
        </w:pBdr>
        <w:shd w:fill="F5F0E6" w:val="clear"/>
        <w:spacing w:after="160" w:before="80" w:line="360" w:lineRule="auto"/>
        <w:ind w:left="200" w:right="200"/>
      </w:pPr>
      <w:r>
        <w:rPr>
          <w:b/>
          <w:bCs/>
        </w:rPr>
        <w:t xml:space="preserve">Note on cost versus size: </w:t>
      </w:r>
      <w:r>
        <w:t xml:space="preserve">A smaller, cheaper size such as t3.small (2 GiB of memory) may appear tempting, but is not recommended: the one-time step that prepares the application for use (Section 7.6) can fail or run very slowly with only 2 GiB of memory available. t3.medium is the smallest size confirmed comfortable for this platform.</w:t>
      </w:r>
    </w:p>
    <w:p>
      <w:pPr>
        <w:pStyle w:val="Heading2"/>
      </w:pPr>
      <w:r>
        <w:t xml:space="preserve">4.5 Network Settings and Firewall</w:t>
      </w:r>
    </w:p>
    <w:p>
      <w:pPr>
        <w:pStyle w:val="ListParagraph"/>
        <w:numPr>
          <w:ilvl w:val="0"/>
          <w:numId w:val="12"/>
        </w:numPr>
        <w:spacing w:after="120" w:line="360" w:lineRule="auto"/>
      </w:pPr>
      <w:r>
        <w:t xml:space="preserve">Under “Network settings”, click “Edit” to expand the detailed options.</w:t>
      </w:r>
    </w:p>
    <w:p>
      <w:pPr>
        <w:pStyle w:val="ListParagraph"/>
        <w:numPr>
          <w:ilvl w:val="0"/>
          <w:numId w:val="12"/>
        </w:numPr>
        <w:spacing w:after="120" w:line="360" w:lineRule="auto"/>
      </w:pPr>
      <w:r>
        <w:t xml:space="preserve">Ensure “Auto-assign public IP” is set to “Enable”.</w:t>
      </w:r>
    </w:p>
    <w:p>
      <w:pPr>
        <w:pStyle w:val="ListParagraph"/>
        <w:numPr>
          <w:ilvl w:val="0"/>
          <w:numId w:val="12"/>
        </w:numPr>
        <w:spacing w:after="120" w:line="360" w:lineRule="auto"/>
      </w:pPr>
      <w:r>
        <w:t xml:space="preserve">Under “Firewall (security groups)”, choose “Create security group”, and give it a name such as odr-panel-sg.</w:t>
      </w:r>
    </w:p>
    <w:p>
      <w:pPr>
        <w:pStyle w:val="ListParagraph"/>
        <w:numPr>
          <w:ilvl w:val="0"/>
          <w:numId w:val="12"/>
        </w:numPr>
        <w:spacing w:after="120" w:line="360" w:lineRule="auto"/>
      </w:pPr>
      <w:r>
        <w:t xml:space="preserve">A rule for “SSH” on port 22 will already be listed. Change its source from “Anywhere” to “My IP” — AWS will detect the reader's current internet address automatically. This restricts remote administrative access to the reader's own computer only.</w:t>
      </w:r>
    </w:p>
    <w:p>
      <w:pPr>
        <w:pStyle w:val="ListParagraph"/>
        <w:numPr>
          <w:ilvl w:val="0"/>
          <w:numId w:val="12"/>
        </w:numPr>
        <w:spacing w:after="120" w:line="360" w:lineRule="auto"/>
      </w:pPr>
      <w:r>
        <w:t xml:space="preserve">Click “Add security group rule”. Under “Type” choose “Custom TCP”, under “Port range” enter 3000, and under “Source” choose “Anywhere” (so that reviewers elsewhere may reach the application). This is the port on which the ODR Panel application itself will be reached.</w:t>
      </w:r>
    </w:p>
    <w:p>
      <w:pPr>
        <w:pBdr>
          <w:left w:val="single" w:color="8A3B3B" w:sz="12"/>
        </w:pBdr>
        <w:shd w:fill="F5E6E6" w:val="clear"/>
        <w:spacing w:after="160" w:before="80" w:line="360" w:lineRule="auto"/>
        <w:ind w:left="200" w:right="200"/>
      </w:pPr>
      <w:r>
        <w:rPr>
          <w:b/>
          <w:bCs/>
        </w:rPr>
        <w:t xml:space="preserve">Important: </w:t>
      </w:r>
      <w:r>
        <w:t xml:space="preserve">Opening port 3000 to “Anywhere” means anyone on the internet who is given, or who guesses, the server's address will be able to reach the sign-in page (though not sign in without a valid demonstration account and password). This is an accepted, deliberate trade-off for a short evaluation deployment, and is precisely why Section 11 insists this build must not be used with real case data, and why the server should be stopped (Section 10) when not actively being reviewed.</w:t>
      </w:r>
    </w:p>
    <w:p>
      <w:pPr>
        <w:pStyle w:val="Heading2"/>
      </w:pPr>
      <w:r>
        <w:t xml:space="preserve">4.6 Storage</w:t>
      </w:r>
    </w:p>
    <w:p>
      <w:pPr>
        <w:pStyle w:val="ListParagraph"/>
        <w:numPr>
          <w:ilvl w:val="0"/>
          <w:numId w:val="13"/>
        </w:numPr>
        <w:spacing w:after="120" w:line="360" w:lineRule="auto"/>
      </w:pPr>
      <w:r>
        <w:t xml:space="preserve">Under “Configure storage”, change the default size from 8 GiB to 30 GiB. This provides headroom for the application, its uploaded evidence files, and the database.</w:t>
      </w:r>
    </w:p>
    <w:p>
      <w:pPr>
        <w:pStyle w:val="Heading2"/>
      </w:pPr>
      <w:r>
        <w:t xml:space="preserve">4.7 Launch</w:t>
      </w:r>
    </w:p>
    <w:p>
      <w:pPr>
        <w:pStyle w:val="ListParagraph"/>
        <w:numPr>
          <w:ilvl w:val="0"/>
          <w:numId w:val="14"/>
        </w:numPr>
        <w:spacing w:after="120" w:line="360" w:lineRule="auto"/>
      </w:pPr>
      <w:r>
        <w:t xml:space="preserve">Review the “Summary” panel on the right, then click the orange “Launch instance” button.</w:t>
      </w:r>
    </w:p>
    <w:p>
      <w:pPr>
        <w:pStyle w:val="ListParagraph"/>
        <w:numPr>
          <w:ilvl w:val="0"/>
          <w:numId w:val="14"/>
        </w:numPr>
        <w:spacing w:after="120" w:line="360" w:lineRule="auto"/>
      </w:pPr>
      <w:r>
        <w:t xml:space="preserve">Click “View all instances”. The new server will show a status of “Pending” for a short time, changing to “Running” within one to two minutes. Wait for “Running” before continuing.</w:t>
      </w:r>
    </w:p>
    <w:p>
      <w:pPr>
        <w:pStyle w:val="Heading2"/>
      </w:pPr>
      <w:r>
        <w:t xml:space="preserve">4.8 Reserving a Fixed Address (Elastic IP)</w:t>
      </w:r>
    </w:p>
    <w:p>
      <w:pPr>
        <w:spacing w:after="120" w:line="360" w:lineRule="auto"/>
        <w:jc w:val="both"/>
      </w:pPr>
      <w:r>
        <w:t xml:space="preserve">By default, a server's public address changes each time it is stopped and started again, which would require reviewers to be given a new address every time. The following steps reserve a fixed address that stays the same throughout the evaluation period.</w:t>
      </w:r>
    </w:p>
    <w:p>
      <w:pPr>
        <w:pStyle w:val="ListParagraph"/>
        <w:numPr>
          <w:ilvl w:val="0"/>
          <w:numId w:val="15"/>
        </w:numPr>
        <w:spacing w:after="120" w:line="360" w:lineRule="auto"/>
      </w:pPr>
      <w:r>
        <w:t xml:space="preserve">In the left-hand menu, under “Network &amp; Security”, click “Elastic IPs”.</w:t>
      </w:r>
    </w:p>
    <w:p>
      <w:pPr>
        <w:pStyle w:val="ListParagraph"/>
        <w:numPr>
          <w:ilvl w:val="0"/>
          <w:numId w:val="15"/>
        </w:numPr>
        <w:spacing w:after="120" w:line="360" w:lineRule="auto"/>
      </w:pPr>
      <w:r>
        <w:t xml:space="preserve">Click “Allocate Elastic IP address”, leave the default options, and click “Allocate”.</w:t>
      </w:r>
    </w:p>
    <w:p>
      <w:pPr>
        <w:pStyle w:val="ListParagraph"/>
        <w:numPr>
          <w:ilvl w:val="0"/>
          <w:numId w:val="15"/>
        </w:numPr>
        <w:spacing w:after="120" w:line="360" w:lineRule="auto"/>
      </w:pPr>
      <w:r>
        <w:t xml:space="preserve">Select the newly allocated address, click “Actions”, then “Associate Elastic IP address”.</w:t>
      </w:r>
    </w:p>
    <w:p>
      <w:pPr>
        <w:pStyle w:val="ListParagraph"/>
        <w:numPr>
          <w:ilvl w:val="0"/>
          <w:numId w:val="15"/>
        </w:numPr>
        <w:spacing w:after="120" w:line="360" w:lineRule="auto"/>
      </w:pPr>
      <w:r>
        <w:t xml:space="preserve">Under “Instance”, choose the ODR-Panel-Evaluation server created above, and click “Associate”.</w:t>
      </w:r>
    </w:p>
    <w:p>
      <w:pPr>
        <w:pStyle w:val="ListParagraph"/>
        <w:numPr>
          <w:ilvl w:val="0"/>
          <w:numId w:val="15"/>
        </w:numPr>
        <w:spacing w:after="120" w:line="360" w:lineRule="auto"/>
      </w:pPr>
      <w:r>
        <w:t xml:space="preserve">Note down this address (for example, 13.234.56.78) — this is the fixed public address of the server for the remainder of this guide, and the address reviewers will later use to sign in.</w:t>
      </w:r>
    </w:p>
    <w:p>
      <w:pPr>
        <w:pBdr>
          <w:left w:val="single" w:color="8A6D3B" w:sz="12"/>
        </w:pBdr>
        <w:shd w:fill="F5F0E6" w:val="clear"/>
        <w:spacing w:after="160" w:before="80" w:line="360" w:lineRule="auto"/>
        <w:ind w:left="200" w:right="200"/>
      </w:pPr>
      <w:r>
        <w:rPr>
          <w:b/>
          <w:bCs/>
        </w:rPr>
        <w:t xml:space="preserve">Note on cost: </w:t>
      </w:r>
      <w:r>
        <w:t xml:space="preserve">An Elastic IP address is provided free of charge for as long as it remains attached to a running server. A small hourly charge applies only if the address is left unattached (for example, if the server is terminated but the address is not released) — Section 10.3 explains how to release it when the evaluation concludes.</w:t>
      </w:r>
    </w:p>
    <w:p>
      <w:r>
        <w:br w:type="page"/>
      </w:r>
    </w:p>
    <w:p>
      <w:pPr>
        <w:pStyle w:val="Heading1"/>
      </w:pPr>
      <w:r>
        <w:t xml:space="preserve">5. Connecting to the Server</w:t>
      </w:r>
    </w:p>
    <w:p>
      <w:pPr>
        <w:spacing w:after="120" w:line="360" w:lineRule="auto"/>
        <w:jc w:val="both"/>
      </w:pPr>
      <w:r>
        <w:t xml:space="preserve">The remaining configuration steps are carried out by typing commands into the server itself, over a secure connection from the reader's own browser. AWS provides a built-in, browser-based connection tool that requires no additional software to be installed on the reader's computer.</w:t>
      </w:r>
    </w:p>
    <w:p>
      <w:pPr>
        <w:pStyle w:val="Heading2"/>
      </w:pPr>
      <w:r>
        <w:t xml:space="preserve">5.1 Using EC2 Instance Connect (Browser-Based)</w:t>
      </w:r>
    </w:p>
    <w:p>
      <w:pPr>
        <w:pStyle w:val="ListParagraph"/>
        <w:numPr>
          <w:ilvl w:val="0"/>
          <w:numId w:val="16"/>
        </w:numPr>
        <w:spacing w:after="120" w:line="360" w:lineRule="auto"/>
      </w:pPr>
      <w:r>
        <w:t xml:space="preserve">From the list of instances in the EC2 console, select the ODR-Panel-Evaluation server (tick the checkbox beside it).</w:t>
      </w:r>
    </w:p>
    <w:p>
      <w:pPr>
        <w:pStyle w:val="ListParagraph"/>
        <w:numPr>
          <w:ilvl w:val="0"/>
          <w:numId w:val="16"/>
        </w:numPr>
        <w:spacing w:after="120" w:line="360" w:lineRule="auto"/>
      </w:pPr>
      <w:r>
        <w:t xml:space="preserve">Click the “Connect” button near the top of the page.</w:t>
      </w:r>
    </w:p>
    <w:p>
      <w:pPr>
        <w:pStyle w:val="ListParagraph"/>
        <w:numPr>
          <w:ilvl w:val="0"/>
          <w:numId w:val="16"/>
        </w:numPr>
        <w:spacing w:after="120" w:line="360" w:lineRule="auto"/>
      </w:pPr>
      <w:r>
        <w:t xml:space="preserve">On the page that follows, ensure the “EC2 Instance Connect” tab is selected, leave the username as ubuntu, and click the orange “Connect” button.</w:t>
      </w:r>
    </w:p>
    <w:p>
      <w:pPr>
        <w:pStyle w:val="ListParagraph"/>
        <w:numPr>
          <w:ilvl w:val="0"/>
          <w:numId w:val="16"/>
        </w:numPr>
        <w:spacing w:after="120" w:line="360" w:lineRule="auto"/>
      </w:pPr>
      <w:r>
        <w:t xml:space="preserve">A new browser tab opens showing a black terminal window, already signed in to the server. This window is where every command in Sections 6 and 7 below is typed.</w:t>
      </w:r>
    </w:p>
    <w:p>
      <w:pPr>
        <w:pBdr>
          <w:left w:val="single" w:color="8A6D3B" w:sz="12"/>
        </w:pBdr>
        <w:shd w:fill="F5F0E6" w:val="clear"/>
        <w:spacing w:after="160" w:before="80" w:line="360" w:lineRule="auto"/>
        <w:ind w:left="200" w:right="200"/>
      </w:pPr>
      <w:r>
        <w:rPr>
          <w:b/>
          <w:bCs/>
        </w:rPr>
        <w:t xml:space="preserve">Note: </w:t>
      </w:r>
      <w:r>
        <w:t xml:space="preserve">If this window fails to open, or the connection is refused, the most likely cause is that the security group rule for SSH (Section 4.5) was not correctly restricted to “My IP”, and the reader's internet address has since changed. See Section 12 (Troubleshooting) for the remedy.</w:t>
      </w:r>
    </w:p>
    <w:p>
      <w:pPr>
        <w:pStyle w:val="Heading2"/>
      </w:pPr>
      <w:r>
        <w:t xml:space="preserve">5.2 A Note on This Terminal Window</w:t>
      </w:r>
    </w:p>
    <w:p>
      <w:pPr>
        <w:spacing w:after="120" w:line="360" w:lineRule="auto"/>
        <w:jc w:val="both"/>
      </w:pPr>
      <w:r>
        <w:t xml:space="preserve">This window behaves like the Command Prompt or Terminal used in the local installation guide, except that every command typed here runs on the rented server in Amazon's data centre, not on the reader's own computer. It may safely be closed and reopened at any time using the same “Connect” button; nothing running on the server is affected by closing this window, provided the steps in Section 7.9 (PM2) have been completed.</w:t>
      </w:r>
    </w:p>
    <w:p>
      <w:r>
        <w:br w:type="page"/>
      </w:r>
    </w:p>
    <w:p>
      <w:pPr>
        <w:pStyle w:val="Heading1"/>
      </w:pPr>
      <w:r>
        <w:t xml:space="preserve">6. Installing Required Software on the Server</w:t>
      </w:r>
    </w:p>
    <w:p>
      <w:pPr>
        <w:spacing w:after="120" w:line="360" w:lineRule="auto"/>
        <w:jc w:val="both"/>
      </w:pPr>
      <w:r>
        <w:t xml:space="preserve">The following commands are typed into the terminal window opened in Section 5, one at a time, pressing Enter after each and waiting for it to finish before typing the next.</w:t>
      </w:r>
    </w:p>
    <w:p>
      <w:pPr>
        <w:pStyle w:val="Heading2"/>
      </w:pPr>
      <w:r>
        <w:t xml:space="preserve">6.1 Update the Server</w:t>
      </w:r>
    </w:p>
    <w:p>
      <w:pPr>
        <w:pStyle w:val="ListParagraph"/>
        <w:numPr>
          <w:ilvl w:val="0"/>
          <w:numId w:val="17"/>
        </w:numPr>
        <w:spacing w:after="120" w:line="360" w:lineRule="auto"/>
      </w:pPr>
      <w:r>
        <w:t xml:space="preserve">Bring the server's own software up to date: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sudo apt update &amp;&amp; sudo apt upgrade -y</w:t>
      </w:r>
    </w:p>
    <w:p>
      <w:pPr>
        <w:spacing w:after="120" w:line="360" w:lineRule="auto"/>
        <w:jc w:val="both"/>
      </w:pPr>
      <w:r>
        <w:t xml:space="preserve">This may take two to three minutes on first run.</w:t>
      </w:r>
    </w:p>
    <w:p>
      <w:pPr>
        <w:pStyle w:val="Heading2"/>
      </w:pPr>
      <w:r>
        <w:t xml:space="preserve">6.2 Install Node.js</w:t>
      </w:r>
    </w:p>
    <w:p>
      <w:pPr>
        <w:pStyle w:val="ListParagraph"/>
        <w:numPr>
          <w:ilvl w:val="0"/>
          <w:numId w:val="18"/>
        </w:numPr>
        <w:spacing w:after="120" w:line="360" w:lineRule="auto"/>
      </w:pPr>
      <w:r>
        <w:t xml:space="preserve">Add the official Node.js software source: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curl -fsSL https://deb.nodesource.com/setup_20.x | sudo -E bash -</w:t>
      </w:r>
    </w:p>
    <w:p>
      <w:pPr>
        <w:pStyle w:val="ListParagraph"/>
        <w:numPr>
          <w:ilvl w:val="0"/>
          <w:numId w:val="18"/>
        </w:numPr>
        <w:spacing w:after="120" w:line="360" w:lineRule="auto"/>
      </w:pPr>
      <w:r>
        <w:t xml:space="preserve">Install Node.js itself:</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sudo apt install -y nodejs</w:t>
      </w:r>
    </w:p>
    <w:p>
      <w:pPr>
        <w:pStyle w:val="ListParagraph"/>
        <w:numPr>
          <w:ilvl w:val="0"/>
          <w:numId w:val="18"/>
        </w:numPr>
        <w:spacing w:after="120" w:line="360" w:lineRule="auto"/>
      </w:pPr>
      <w:r>
        <w:t xml:space="preserve">Confirm it installed correctly — this should print a version number beginning with v20:</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node -v</w:t>
      </w:r>
    </w:p>
    <w:p>
      <w:pPr>
        <w:pStyle w:val="Heading2"/>
      </w:pPr>
      <w:r>
        <w:t xml:space="preserve">6.3 Install PostgreSQL</w:t>
      </w:r>
    </w:p>
    <w:p>
      <w:pPr>
        <w:pStyle w:val="ListParagraph"/>
        <w:numPr>
          <w:ilvl w:val="0"/>
          <w:numId w:val="19"/>
        </w:numPr>
        <w:spacing w:after="120" w:line="360" w:lineRule="auto"/>
      </w:pPr>
      <w:r>
        <w:t xml:space="preserve">Install the PostgreSQL database software: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sudo apt install -y postgresql postgresql-contrib</w:t>
      </w:r>
    </w:p>
    <w:p>
      <w:pPr>
        <w:pStyle w:val="ListParagraph"/>
        <w:numPr>
          <w:ilvl w:val="0"/>
          <w:numId w:val="19"/>
        </w:numPr>
        <w:spacing w:after="120" w:line="360" w:lineRule="auto"/>
      </w:pPr>
      <w:r>
        <w:t xml:space="preserve">Confirm PostgreSQL has started automatically:</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sudo systemctl status postgresql</w:t>
      </w:r>
    </w:p>
    <w:p>
      <w:pPr>
        <w:spacing w:after="120" w:line="360" w:lineRule="auto"/>
        <w:jc w:val="both"/>
      </w:pPr>
      <w:r>
        <w:t xml:space="preserve">This should show a line containing “active (exited)” or “active (running)” in green. Press the letter q to close this status screen and return to the command line.</w:t>
      </w:r>
    </w:p>
    <w:p>
      <w:pPr>
        <w:pStyle w:val="Heading2"/>
      </w:pPr>
      <w:r>
        <w:t xml:space="preserve">6.4 Install Supporting Utilities</w:t>
      </w:r>
    </w:p>
    <w:p>
      <w:pPr>
        <w:pStyle w:val="ListParagraph"/>
        <w:numPr>
          <w:ilvl w:val="0"/>
          <w:numId w:val="20"/>
        </w:numPr>
        <w:spacing w:after="120" w:line="360" w:lineRule="auto"/>
      </w:pPr>
      <w:r>
        <w:t xml:space="preserve">Install the ZIP-extraction tool and PM2, the utility that will keep the application running continuously:</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sudo apt install -y unzip</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sudo npm install -g pm2</w:t>
      </w:r>
    </w:p>
    <w:p>
      <w:r>
        <w:br w:type="page"/>
      </w:r>
    </w:p>
    <w:p>
      <w:pPr>
        <w:pStyle w:val="Heading1"/>
      </w:pPr>
      <w:r>
        <w:t xml:space="preserve">7. Uploading and Configuring the Application</w:t>
      </w:r>
    </w:p>
    <w:p>
      <w:pPr>
        <w:pStyle w:val="Heading2"/>
      </w:pPr>
      <w:r>
        <w:t xml:space="preserve">7.1 Create the Database</w:t>
      </w:r>
    </w:p>
    <w:p>
      <w:pPr>
        <w:pStyle w:val="ListParagraph"/>
        <w:numPr>
          <w:ilvl w:val="0"/>
          <w:numId w:val="21"/>
        </w:numPr>
        <w:spacing w:after="120" w:line="360" w:lineRule="auto"/>
      </w:pPr>
      <w:r>
        <w:t xml:space="preserve">Switch to the built-in postgres administrative account:</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sudo -u postgres psql</w:t>
      </w:r>
    </w:p>
    <w:p>
      <w:pPr>
        <w:pStyle w:val="ListParagraph"/>
        <w:numPr>
          <w:ilvl w:val="0"/>
          <w:numId w:val="21"/>
        </w:numPr>
        <w:spacing w:after="120" w:line="360" w:lineRule="auto"/>
      </w:pPr>
      <w:r>
        <w:t xml:space="preserve">At the prompt that appears (beginning postgres=#), create a database and a password-protected user for the application, replacing CHOOSE_A_STRONG_PASSWORD below with a password of the reader's own choosing (retain it, as it is needed again in Section 7.5):</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CREATE DATABASE odrpanel;</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CREATE USER odrpanel_app WITH ENCRYPTED PASSWORD 'CHOOSE_A_STRONG_PASSWORD';</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GRANT ALL PRIVILEGES ON DATABASE odrpanel TO odrpanel_app;</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ALTER DATABASE odrpanel OWNER TO odrpanel_app;</w:t>
      </w:r>
    </w:p>
    <w:p>
      <w:pPr>
        <w:pStyle w:val="ListParagraph"/>
        <w:numPr>
          <w:ilvl w:val="0"/>
          <w:numId w:val="21"/>
        </w:numPr>
        <w:spacing w:after="120" w:line="360" w:lineRule="auto"/>
      </w:pPr>
      <w:r>
        <w:t xml:space="preserve">Exit back to the ordinary command line: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\q</w:t>
      </w:r>
    </w:p>
    <w:p>
      <w:pPr>
        <w:pStyle w:val="Heading2"/>
      </w:pPr>
      <w:r>
        <w:t xml:space="preserve">7.2 Upload the Project Files</w:t>
      </w:r>
    </w:p>
    <w:p>
      <w:pPr>
        <w:spacing w:after="120" w:line="360" w:lineRule="auto"/>
        <w:jc w:val="both"/>
      </w:pPr>
      <w:r>
        <w:t xml:space="preserve">The project ZIP file already downloaded to the reader's own computer (see Section 2.2) is now transferred onto the server, using a small, free file-transfer program appropriate to the reader's own computer.</w:t>
      </w:r>
    </w:p>
    <w:p>
      <w:pPr>
        <w:pStyle w:val="Heading3"/>
      </w:pPr>
      <w:r>
        <w:t xml:space="preserve">On Windows — Using WinSCP</w:t>
      </w:r>
    </w:p>
    <w:p>
      <w:pPr>
        <w:pStyle w:val="ListParagraph"/>
        <w:numPr>
          <w:ilvl w:val="0"/>
          <w:numId w:val="22"/>
        </w:numPr>
        <w:spacing w:after="120" w:line="360" w:lineRule="auto"/>
      </w:pPr>
      <w:r>
        <w:t xml:space="preserve">On the reader's own computer (not the server terminal), open a browser and go to winscp.net, click “Download”, and install WinSCP, accepting the default options.</w:t>
      </w:r>
    </w:p>
    <w:p>
      <w:pPr>
        <w:pStyle w:val="ListParagraph"/>
        <w:numPr>
          <w:ilvl w:val="0"/>
          <w:numId w:val="22"/>
        </w:numPr>
        <w:spacing w:after="120" w:line="360" w:lineRule="auto"/>
      </w:pPr>
      <w:r>
        <w:t xml:space="preserve">Open WinSCP. In the “New Site” screen, set “File protocol” to “SFTP”, “Host name” to the Elastic IP address noted in Section 4.8, “Port number” to 22, and “User name” to ubuntu.</w:t>
      </w:r>
    </w:p>
    <w:p>
      <w:pPr>
        <w:pStyle w:val="ListParagraph"/>
        <w:numPr>
          <w:ilvl w:val="0"/>
          <w:numId w:val="22"/>
        </w:numPr>
        <w:spacing w:after="120" w:line="360" w:lineRule="auto"/>
      </w:pPr>
      <w:r>
        <w:t xml:space="preserve">Click “Advanced”, then under “SSH → Authentication”, click the “...” button beside “Private key file” and select the odr-panel-key.pem file downloaded in Section 4.3. Click “OK”, then “Save”, then “Login”.</w:t>
      </w:r>
    </w:p>
    <w:p>
      <w:pPr>
        <w:pStyle w:val="ListParagraph"/>
        <w:numPr>
          <w:ilvl w:val="0"/>
          <w:numId w:val="22"/>
        </w:numPr>
        <w:spacing w:after="120" w:line="360" w:lineRule="auto"/>
      </w:pPr>
      <w:r>
        <w:t xml:space="preserve">If a message appears asking to convert the key to WinSCP's own format, click “Yes” and save the converted file alongside the original.</w:t>
      </w:r>
    </w:p>
    <w:p>
      <w:pPr>
        <w:pStyle w:val="ListParagraph"/>
        <w:numPr>
          <w:ilvl w:val="0"/>
          <w:numId w:val="22"/>
        </w:numPr>
        <w:spacing w:after="120" w:line="360" w:lineRule="auto"/>
      </w:pPr>
      <w:r>
        <w:t xml:space="preserve">Once connected, the right-hand pane shows the server's own files. On the left-hand pane, browse to the folder containing the downloaded ODR Panel ZIP file, and drag it across into the right-hand pane (into the /home/ubuntu folder).</w:t>
      </w:r>
    </w:p>
    <w:p>
      <w:pPr>
        <w:pStyle w:val="Heading3"/>
      </w:pPr>
      <w:r>
        <w:t xml:space="preserve">On Mac — Using Cyberduck</w:t>
      </w:r>
    </w:p>
    <w:p>
      <w:pPr>
        <w:pStyle w:val="ListParagraph"/>
        <w:numPr>
          <w:ilvl w:val="0"/>
          <w:numId w:val="23"/>
        </w:numPr>
        <w:spacing w:after="120" w:line="360" w:lineRule="auto"/>
      </w:pPr>
      <w:r>
        <w:t xml:space="preserve">On the reader's own computer, open a browser and go to cyberduck.io, and install Cyberduck, accepting the default options.</w:t>
      </w:r>
    </w:p>
    <w:p>
      <w:pPr>
        <w:pStyle w:val="ListParagraph"/>
        <w:numPr>
          <w:ilvl w:val="0"/>
          <w:numId w:val="23"/>
        </w:numPr>
        <w:spacing w:after="120" w:line="360" w:lineRule="auto"/>
      </w:pPr>
      <w:r>
        <w:t xml:space="preserve">Open Cyberduck, click “Open Connection”, choose “SFTP (SSH File Transfer Protocol)” from the dropdown.</w:t>
      </w:r>
    </w:p>
    <w:p>
      <w:pPr>
        <w:pStyle w:val="ListParagraph"/>
        <w:numPr>
          <w:ilvl w:val="0"/>
          <w:numId w:val="23"/>
        </w:numPr>
        <w:spacing w:after="120" w:line="360" w:lineRule="auto"/>
      </w:pPr>
      <w:r>
        <w:t xml:space="preserve">Set “Server” to the Elastic IP address noted in Section 4.8, “Username” to ubuntu, expand “More Options”, tick “Use Public Key Authentication”, and select the odr-panel-key.pem file downloaded in Section 4.3. Click “Connect”.</w:t>
      </w:r>
    </w:p>
    <w:p>
      <w:pPr>
        <w:pStyle w:val="ListParagraph"/>
        <w:numPr>
          <w:ilvl w:val="0"/>
          <w:numId w:val="23"/>
        </w:numPr>
        <w:spacing w:after="120" w:line="360" w:lineRule="auto"/>
      </w:pPr>
      <w:r>
        <w:t xml:space="preserve">Once connected, drag the downloaded ODR Panel ZIP file from Finder into the Cyberduck window to upload it into the /home/ubuntu folder.</w:t>
      </w:r>
    </w:p>
    <w:p>
      <w:pPr>
        <w:pStyle w:val="Heading2"/>
      </w:pPr>
      <w:r>
        <w:t xml:space="preserve">7.3 Extract the Project Files</w:t>
      </w:r>
    </w:p>
    <w:p>
      <w:pPr>
        <w:spacing w:after="120" w:line="360" w:lineRule="auto"/>
        <w:jc w:val="both"/>
      </w:pPr>
      <w:r>
        <w:t xml:space="preserve">Returning to the server terminal window from Section 5:</w:t>
      </w:r>
    </w:p>
    <w:p>
      <w:pPr>
        <w:pStyle w:val="ListParagraph"/>
        <w:numPr>
          <w:ilvl w:val="0"/>
          <w:numId w:val="24"/>
        </w:numPr>
        <w:spacing w:after="120" w:line="360" w:lineRule="auto"/>
      </w:pPr>
      <w:r>
        <w:t xml:space="preserve">Confirm the uploaded file is present (its exact name may differ slightly — adjust the commands below to match):</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ls -la ~</w:t>
      </w:r>
    </w:p>
    <w:p>
      <w:pPr>
        <w:pStyle w:val="ListParagraph"/>
        <w:numPr>
          <w:ilvl w:val="0"/>
          <w:numId w:val="24"/>
        </w:numPr>
        <w:spacing w:after="120" w:line="360" w:lineRule="auto"/>
      </w:pPr>
      <w:r>
        <w:t xml:space="preserve">Extract it, replacing the file name below with the one shown by the previous command:</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unzip ODR-Panelver-v1.0-claude-portal-code-sow-ocwuf5.zip</w:t>
      </w:r>
    </w:p>
    <w:p>
      <w:pPr>
        <w:pStyle w:val="ListParagraph"/>
        <w:numPr>
          <w:ilvl w:val="0"/>
          <w:numId w:val="24"/>
        </w:numPr>
        <w:spacing w:after="120" w:line="360" w:lineRule="auto"/>
      </w:pPr>
      <w:r>
        <w:t xml:space="preserve">Rename the extracted folder to a short, consistent name, again adjusting the source name to match what was extracted:</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mv ODR-Panelver-v1.0-claude-portal-code-sow-ocwuf5 odr-panel</w:t>
      </w:r>
    </w:p>
    <w:p>
      <w:pPr>
        <w:pStyle w:val="ListParagraph"/>
        <w:numPr>
          <w:ilvl w:val="0"/>
          <w:numId w:val="24"/>
        </w:numPr>
        <w:spacing w:after="120" w:line="360" w:lineRule="auto"/>
      </w:pPr>
      <w:r>
        <w:t xml:space="preserve">Move into the project folder — every remaining command in this guide is run from inside it:</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cd odr-panel</w:t>
      </w:r>
    </w:p>
    <w:p>
      <w:pPr>
        <w:pStyle w:val="Heading2"/>
      </w:pPr>
      <w:r>
        <w:t xml:space="preserve">7.4 Install the Application's Building Blocks</w:t>
      </w:r>
    </w:p>
    <w:p>
      <w:pPr>
        <w:pStyle w:val="ListParagraph"/>
        <w:numPr>
          <w:ilvl w:val="0"/>
          <w:numId w:val="25"/>
        </w:numPr>
        <w:spacing w:after="120" w:line="360" w:lineRule="auto"/>
      </w:pPr>
      <w:r>
        <w:t xml:space="preserve">Install every package the application depends upon:</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install</w:t>
      </w:r>
    </w:p>
    <w:p>
      <w:pPr>
        <w:spacing w:after="120" w:line="360" w:lineRule="auto"/>
        <w:jc w:val="both"/>
      </w:pPr>
      <w:r>
        <w:t xml:space="preserve">This may take three to five minutes.</w:t>
      </w:r>
    </w:p>
    <w:p>
      <w:pPr>
        <w:pStyle w:val="Heading2"/>
      </w:pPr>
      <w:r>
        <w:t xml:space="preserve">7.5 Create the Configuration File</w:t>
      </w:r>
    </w:p>
    <w:p>
      <w:pPr>
        <w:pStyle w:val="ListParagraph"/>
        <w:numPr>
          <w:ilvl w:val="0"/>
          <w:numId w:val="26"/>
        </w:numPr>
        <w:spacing w:after="120" w:line="360" w:lineRule="auto"/>
      </w:pPr>
      <w:r>
        <w:t xml:space="preserve">Generate a random, secure session key, and copy the long string of characters it prints — it will be needed in the next step:</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openssl rand -base64 32</w:t>
      </w:r>
    </w:p>
    <w:p>
      <w:pPr>
        <w:pStyle w:val="ListParagraph"/>
        <w:numPr>
          <w:ilvl w:val="0"/>
          <w:numId w:val="26"/>
        </w:numPr>
        <w:spacing w:after="120" w:line="360" w:lineRule="auto"/>
      </w:pPr>
      <w:r>
        <w:t xml:space="preserve">Open a new configuration file in a simple text editor built into the server: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nano .env</w:t>
      </w:r>
    </w:p>
    <w:p>
      <w:pPr>
        <w:pStyle w:val="ListParagraph"/>
        <w:numPr>
          <w:ilvl w:val="0"/>
          <w:numId w:val="26"/>
        </w:numPr>
        <w:spacing w:after="120" w:line="360" w:lineRule="auto"/>
      </w:pPr>
      <w:r>
        <w:t xml:space="preserve">Type the following four lines into the editor exactly, substituting the database password chosen in Section 7.1 and the random key just generated:</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DATABASE_URL="postgresql://odrpanel_app:CHOOSE_A_STRONG_PASSWORD@localhost:5432/odrpanel"</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SESSION_SECRET="paste-the-random-string-generated-above-here"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NODE_ENV="production"</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PORT=3000</w:t>
      </w:r>
    </w:p>
    <w:p>
      <w:pPr>
        <w:pStyle w:val="ListParagraph"/>
        <w:numPr>
          <w:ilvl w:val="0"/>
          <w:numId w:val="26"/>
        </w:numPr>
        <w:spacing w:after="120" w:line="360" w:lineRule="auto"/>
      </w:pPr>
      <w:r>
        <w:t xml:space="preserve">Save and close the file by pressing Ctrl+O, then Enter, then Ctrl+X.</w:t>
      </w:r>
    </w:p>
    <w:p>
      <w:pPr>
        <w:pStyle w:val="Heading2"/>
      </w:pPr>
      <w:r>
        <w:t xml:space="preserve">7.6 Prepare the Database Structure and Demonstration Data</w:t>
      </w:r>
    </w:p>
    <w:p>
      <w:pPr>
        <w:pStyle w:val="ListParagraph"/>
        <w:numPr>
          <w:ilvl w:val="0"/>
          <w:numId w:val="27"/>
        </w:numPr>
        <w:spacing w:after="120" w:line="360" w:lineRule="auto"/>
      </w:pPr>
      <w:r>
        <w:t xml:space="preserve">Create every table the application requires:</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npx prisma migrate deploy</w:t>
      </w:r>
    </w:p>
    <w:p>
      <w:pPr>
        <w:pStyle w:val="ListParagraph"/>
        <w:numPr>
          <w:ilvl w:val="0"/>
          <w:numId w:val="27"/>
        </w:numPr>
        <w:spacing w:after="120" w:line="360" w:lineRule="auto"/>
      </w:pPr>
      <w:r>
        <w:t xml:space="preserve">Load the demonstration accounts and sample case referred to in Section 9:</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db:seed</w:t>
      </w:r>
    </w:p>
    <w:p>
      <w:pPr>
        <w:pStyle w:val="Heading2"/>
      </w:pPr>
      <w:r>
        <w:t xml:space="preserve">7.7 Build the Application</w:t>
      </w:r>
    </w:p>
    <w:p>
      <w:pPr>
        <w:pStyle w:val="ListParagraph"/>
        <w:numPr>
          <w:ilvl w:val="0"/>
          <w:numId w:val="28"/>
        </w:numPr>
        <w:spacing w:after="120" w:line="360" w:lineRule="auto"/>
      </w:pPr>
      <w:r>
        <w:t xml:space="preserve">Prepare the optimised, production-ready version of the application:</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build</w:t>
      </w:r>
    </w:p>
    <w:p>
      <w:pPr>
        <w:spacing w:after="120" w:line="360" w:lineRule="auto"/>
        <w:jc w:val="both"/>
      </w:pPr>
      <w:r>
        <w:t xml:space="preserve">This is the most time-consuming single step in this guide, and may take three to six minutes. It should end with a summary of the pages generated, and no red “Error” text.</w:t>
      </w:r>
    </w:p>
    <w:p>
      <w:pPr>
        <w:pStyle w:val="Heading2"/>
      </w:pPr>
      <w:r>
        <w:t xml:space="preserve">7.8 First Test Start</w:t>
      </w:r>
    </w:p>
    <w:p>
      <w:pPr>
        <w:pStyle w:val="ListParagraph"/>
        <w:numPr>
          <w:ilvl w:val="0"/>
          <w:numId w:val="29"/>
        </w:numPr>
        <w:spacing w:after="120" w:line="360" w:lineRule="auto"/>
      </w:pPr>
      <w:r>
        <w:t xml:space="preserve">Start the application directly, as a first check that it runs correctly:</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start</w:t>
      </w:r>
    </w:p>
    <w:p>
      <w:pPr>
        <w:pStyle w:val="ListParagraph"/>
        <w:numPr>
          <w:ilvl w:val="0"/>
          <w:numId w:val="29"/>
        </w:numPr>
        <w:spacing w:after="120" w:line="360" w:lineRule="auto"/>
      </w:pPr>
      <w:r>
        <w:t xml:space="preserve">Wait for a line reading “Ready” or showing the port number 3000.</w:t>
      </w:r>
    </w:p>
    <w:p>
      <w:pPr>
        <w:pStyle w:val="ListParagraph"/>
        <w:numPr>
          <w:ilvl w:val="0"/>
          <w:numId w:val="29"/>
        </w:numPr>
        <w:spacing w:after="120" w:line="360" w:lineRule="auto"/>
      </w:pPr>
      <w:r>
        <w:t xml:space="preserve">On any computer with a web browser, visit http://[Elastic IP address]:3000 (substituting the address noted in Section 4.8) — the ODR Panel sign-in page should appear.</w:t>
      </w:r>
    </w:p>
    <w:p>
      <w:pPr>
        <w:pStyle w:val="ListParagraph"/>
        <w:numPr>
          <w:ilvl w:val="0"/>
          <w:numId w:val="29"/>
        </w:numPr>
        <w:spacing w:after="120" w:line="360" w:lineRule="auto"/>
      </w:pPr>
      <w:r>
        <w:t xml:space="preserve">Return to the server terminal window and press Ctrl+C once, to stop this test run before continuing to the next step.</w:t>
      </w:r>
    </w:p>
    <w:p>
      <w:pPr>
        <w:pStyle w:val="Heading2"/>
      </w:pPr>
      <w:r>
        <w:t xml:space="preserve">7.9 Start the Application Permanently, Using PM2</w:t>
      </w:r>
    </w:p>
    <w:p>
      <w:pPr>
        <w:spacing w:after="120" w:line="360" w:lineRule="auto"/>
        <w:jc w:val="both"/>
      </w:pPr>
      <w:r>
        <w:t xml:space="preserve">The test in Section 7.8 only runs for as long as that terminal window remains open. The following steps use PM2 to keep the application running at all times, including after the terminal window is closed or the server is restarted.</w:t>
      </w:r>
    </w:p>
    <w:p>
      <w:pPr>
        <w:pStyle w:val="ListParagraph"/>
        <w:numPr>
          <w:ilvl w:val="0"/>
          <w:numId w:val="30"/>
        </w:numPr>
        <w:spacing w:after="120" w:line="360" w:lineRule="auto"/>
      </w:pPr>
      <w:r>
        <w:t xml:space="preserve">Start the application under PM2's management, giving it a recognisable name: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pm2 start npm --name odr-panel -- run start</w:t>
      </w:r>
    </w:p>
    <w:p>
      <w:pPr>
        <w:pStyle w:val="ListParagraph"/>
        <w:numPr>
          <w:ilvl w:val="0"/>
          <w:numId w:val="30"/>
        </w:numPr>
        <w:spacing w:after="120" w:line="360" w:lineRule="auto"/>
      </w:pPr>
      <w:r>
        <w:t xml:space="preserve">Confirm it shows a status of “online”: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pm2 status</w:t>
      </w:r>
    </w:p>
    <w:p>
      <w:pPr>
        <w:pStyle w:val="ListParagraph"/>
        <w:numPr>
          <w:ilvl w:val="0"/>
          <w:numId w:val="30"/>
        </w:numPr>
        <w:spacing w:after="120" w:line="360" w:lineRule="auto"/>
      </w:pPr>
      <w:r>
        <w:t xml:space="preserve">Instruct PM2 to remember this configuration and restart it automatically whenever the server itself restarts:</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pm2 save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pm2 startup</w:t>
      </w:r>
    </w:p>
    <w:p>
      <w:pPr>
        <w:spacing w:after="120" w:line="360" w:lineRule="auto"/>
        <w:jc w:val="both"/>
      </w:pPr>
      <w:r>
        <w:t xml:space="preserve">The command above will print one further command, beginning with sudo env PATH=. Copy that entire line exactly as printed, paste it into the terminal, and press Enter, to complete this step.</w:t>
      </w:r>
    </w:p>
    <w:p>
      <w:pPr>
        <w:pBdr>
          <w:left w:val="single" w:color="8A6D3B" w:sz="12"/>
        </w:pBdr>
        <w:shd w:fill="F5F0E6" w:val="clear"/>
        <w:spacing w:after="160" w:before="80" w:line="360" w:lineRule="auto"/>
        <w:ind w:left="200" w:right="200"/>
      </w:pPr>
      <w:r>
        <w:rPr>
          <w:b/>
          <w:bCs/>
        </w:rPr>
        <w:t xml:space="preserve">Note: </w:t>
      </w:r>
      <w:r>
        <w:t xml:space="preserve">From this point on, the terminal window (Section 5) may be closed at any time without stopping the application — PM2 continues running it in the background. The window need only be reopened for future maintenance, such as the update procedure in Section 10.4.</w:t>
      </w:r>
    </w:p>
    <w:p>
      <w:r>
        <w:br w:type="page"/>
      </w:r>
    </w:p>
    <w:p>
      <w:pPr>
        <w:pStyle w:val="Heading1"/>
      </w:pPr>
      <w:r>
        <w:t xml:space="preserve">8. Verifying the Deployment</w:t>
      </w:r>
    </w:p>
    <w:p>
      <w:pPr>
        <w:pStyle w:val="ListParagraph"/>
        <w:numPr>
          <w:ilvl w:val="0"/>
          <w:numId w:val="31"/>
        </w:numPr>
        <w:spacing w:after="120" w:line="360" w:lineRule="auto"/>
      </w:pPr>
      <w:r>
        <w:t xml:space="preserve">On any computer, tablet or phone with a web browser and an internet connection, visit: http://[Elastic IP address]:3000 (substituting the address noted in Section 4.8).</w:t>
      </w:r>
    </w:p>
    <w:p>
      <w:pPr>
        <w:pStyle w:val="ListParagraph"/>
        <w:numPr>
          <w:ilvl w:val="0"/>
          <w:numId w:val="31"/>
        </w:numPr>
        <w:spacing w:after="120" w:line="360" w:lineRule="auto"/>
      </w:pPr>
      <w:r>
        <w:t xml:space="preserve">The ODR Panel sign-in page should appear within a few seconds.</w:t>
      </w:r>
    </w:p>
    <w:p>
      <w:pPr>
        <w:pStyle w:val="ListParagraph"/>
        <w:numPr>
          <w:ilvl w:val="0"/>
          <w:numId w:val="31"/>
        </w:numPr>
        <w:spacing w:after="120" w:line="360" w:lineRule="auto"/>
      </w:pPr>
      <w:r>
        <w:t xml:space="preserve">Sign in using any of the demonstration accounts listed in Section 9, to confirm the platform is functioning correctly.</w:t>
      </w:r>
    </w:p>
    <w:p>
      <w:pPr>
        <w:pBdr>
          <w:left w:val="single" w:color="8A6D3B" w:sz="12"/>
        </w:pBdr>
        <w:shd w:fill="F5F0E6" w:val="clear"/>
        <w:spacing w:after="160" w:before="80" w:line="360" w:lineRule="auto"/>
        <w:ind w:left="200" w:right="200"/>
      </w:pPr>
      <w:r>
        <w:rPr>
          <w:b/>
          <w:bCs/>
        </w:rPr>
        <w:t xml:space="preserve">Note: </w:t>
      </w:r>
      <w:r>
        <w:t xml:space="preserve">If the page does not load, the most common cause is that the security group rule for port 3000 (Section 4.5) was not saved correctly, or that the server has not finished starting. See Section 12 (Troubleshooting).</w:t>
      </w:r>
    </w:p>
    <w:p>
      <w:r>
        <w:br w:type="page"/>
      </w:r>
    </w:p>
    <w:p>
      <w:pPr>
        <w:pStyle w:val="Heading1"/>
      </w:pPr>
      <w:r>
        <w:t xml:space="preserve">9. Signing In and Demonstration Accounts</w:t>
      </w:r>
    </w:p>
    <w:p>
      <w:pPr>
        <w:spacing w:after="120" w:line="360" w:lineRule="auto"/>
        <w:jc w:val="both"/>
      </w:pPr>
      <w:r>
        <w:t xml:space="preserve">Every demonstration account listed below shares the single password Passw0rd!1, and is pre-loaded with a fully populated sample case, ODR-DEMO-0001, so that every reviewer may immediately explore the platform's functionality relevant to their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rPr>
          <w:tblHeader/>
        </w:trPr>
        <w:tc>
          <w:tcPr>
            <w:tcW w:type="dxa" w:w="32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Role</w:t>
            </w:r>
          </w:p>
        </w:tc>
        <w:tc>
          <w:tcPr>
            <w:tcW w:type="dxa" w:w="38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Sign-in Email</w:t>
            </w:r>
          </w:p>
        </w:tc>
        <w:tc>
          <w:tcPr>
            <w:tcW w:type="dxa" w:w="20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Password</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Super Admin</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superadmin@odrpanel.demo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Institution Admin</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instadmin@odrpanel.demo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Registrar</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registrar@odrpanel.demo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Presiding Arbitrator</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presiding.arbitrator@odrpanel.demo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Co-Arbitrator (Claimant)</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arbitrator.claimant@odrpanel.demo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Co-Arbitrator (Respondent)</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arbitrator.respondent@odrpanel.demo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Counsel (Claimant)</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counsel.claimant@odrpanel.demo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Counsel (Respondent)</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counsel.respondent@odrpanel.demo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Claimant (Party)</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claimant@odrpanel.demo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Respondent (Party)</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respondent@odrpanel.demo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Auditor</w:t>
            </w:r>
          </w:p>
        </w:tc>
        <w:tc>
          <w:tcPr>
            <w:tcW w:type="dxa" w:w="3800"/>
            <w:tcMar>
              <w:top w:type="dxa" w:w="80"/>
              <w:left w:type="dxa" w:w="100"/>
              <w:bottom w:type="dxa" w:w="80"/>
              <w:right w:type="dxa" w:w="100"/>
            </w:tcMar>
            <w:vAlign w:val="center"/>
          </w:tcPr>
          <w:p>
            <w:pPr>
              <w:spacing w:line="300" w:lineRule="auto"/>
            </w:pPr>
            <w:r>
              <w:rPr>
                <w:b w:val="false"/>
                <w:bCs w:val="false"/>
                <w:sz w:val="21"/>
                <w:szCs w:val="21"/>
              </w:rPr>
              <w:t xml:space="preserve">auditor@odrpanel.demo</w:t>
            </w:r>
          </w:p>
        </w:tc>
        <w:tc>
          <w:tcPr>
            <w:tcW w:type="dxa" w:w="2000"/>
            <w:tcMar>
              <w:top w:type="dxa" w:w="80"/>
              <w:left w:type="dxa" w:w="100"/>
              <w:bottom w:type="dxa" w:w="80"/>
              <w:right w:type="dxa" w:w="100"/>
            </w:tcMar>
            <w:vAlign w:val="center"/>
          </w:tcPr>
          <w:p>
            <w:pPr>
              <w:spacing w:line="300" w:lineRule="auto"/>
            </w:pPr>
            <w:r>
              <w:rPr>
                <w:b w:val="false"/>
                <w:bCs w:val="false"/>
                <w:sz w:val="21"/>
                <w:szCs w:val="21"/>
              </w:rPr>
              <w:t xml:space="preserve">Passw0rd!1</w:t>
            </w:r>
          </w:p>
        </w:tc>
      </w:tr>
    </w:tbl>
    <w:p>
      <w:pPr>
        <w:pBdr>
          <w:left w:val="single" w:color="8A6D3B" w:sz="12"/>
        </w:pBdr>
        <w:shd w:fill="F5F0E6" w:val="clear"/>
        <w:spacing w:after="160" w:before="80" w:line="360" w:lineRule="auto"/>
        <w:ind w:left="200" w:right="200"/>
      </w:pPr>
      <w:r>
        <w:rPr>
          <w:b/>
          <w:bCs/>
        </w:rPr>
        <w:t xml:space="preserve">Note: </w:t>
      </w:r>
      <w:r>
        <w:t xml:space="preserve">A complete list of all twenty demonstration accounts, including additional roles such as Compliance Officer, Grievance Officer and Finance, is set out in the project's own README file inside the odr-panel folder, and is identical to the list used in the local installation guide.</w:t>
      </w:r>
    </w:p>
    <w:p>
      <w:r>
        <w:br w:type="page"/>
      </w:r>
    </w:p>
    <w:p>
      <w:pPr>
        <w:pStyle w:val="Heading1"/>
      </w:pPr>
      <w:r>
        <w:t xml:space="preserve">10. Daily Use and Cost Control</w:t>
      </w:r>
    </w:p>
    <w:p>
      <w:pPr>
        <w:pStyle w:val="Heading2"/>
      </w:pPr>
      <w:r>
        <w:t xml:space="preserve">10.1 Reaching the Platform Day to Day</w:t>
      </w:r>
    </w:p>
    <w:p>
      <w:pPr>
        <w:spacing w:after="120" w:line="360" w:lineRule="auto"/>
        <w:jc w:val="both"/>
      </w:pPr>
      <w:r>
        <w:t xml:space="preserve">Once Section 7.9 (PM2) has been completed, the platform remains reachable at http://[Elastic IP address]:3000 at all times the server is running, with no further action required on the reader's part.</w:t>
      </w:r>
    </w:p>
    <w:p>
      <w:pPr>
        <w:pStyle w:val="Heading2"/>
      </w:pPr>
      <w:r>
        <w:t xml:space="preserve">10.2 Stopping the Server Between Review Sessions</w:t>
      </w:r>
    </w:p>
    <w:p>
      <w:pPr>
        <w:spacing w:after="120" w:line="360" w:lineRule="auto"/>
        <w:jc w:val="both"/>
      </w:pPr>
      <w:r>
        <w:t xml:space="preserve">Because AWS charges by the hour for as long as the server is running, the reader is strongly encouraged to stop the server whenever it is not actively being reviewed, and start it again shortly before the next review session. Stopping the server does not delete any case data, and — because an Elastic IP address was reserved in Section 4.8 — the same address will work again once the server is restarted.</w:t>
      </w:r>
    </w:p>
    <w:p>
      <w:pPr>
        <w:pStyle w:val="ListParagraph"/>
        <w:numPr>
          <w:ilvl w:val="0"/>
          <w:numId w:val="32"/>
        </w:numPr>
        <w:spacing w:after="120" w:line="360" w:lineRule="auto"/>
      </w:pPr>
      <w:r>
        <w:t xml:space="preserve">In the EC2 console, select the ODR-Panel-Evaluation server.</w:t>
      </w:r>
    </w:p>
    <w:p>
      <w:pPr>
        <w:pStyle w:val="ListParagraph"/>
        <w:numPr>
          <w:ilvl w:val="0"/>
          <w:numId w:val="32"/>
        </w:numPr>
        <w:spacing w:after="120" w:line="360" w:lineRule="auto"/>
      </w:pPr>
      <w:r>
        <w:t xml:space="preserve">Click “Instance state”, then “Stop instance”, and confirm.</w:t>
      </w:r>
    </w:p>
    <w:p>
      <w:pPr>
        <w:pStyle w:val="ListParagraph"/>
        <w:numPr>
          <w:ilvl w:val="0"/>
          <w:numId w:val="32"/>
        </w:numPr>
        <w:spacing w:after="120" w:line="360" w:lineRule="auto"/>
      </w:pPr>
      <w:r>
        <w:t xml:space="preserve">When ready to resume, select the server again, click “Instance state”, then “Start instance”.</w:t>
      </w:r>
    </w:p>
    <w:p>
      <w:pPr>
        <w:pStyle w:val="ListParagraph"/>
        <w:numPr>
          <w:ilvl w:val="0"/>
          <w:numId w:val="32"/>
        </w:numPr>
        <w:spacing w:after="120" w:line="360" w:lineRule="auto"/>
      </w:pPr>
      <w:r>
        <w:t xml:space="preserve">Allow one to two minutes for the server, PostgreSQL, and the application (restarted automatically by PM2) to become ready, before visiting the address again.</w:t>
      </w:r>
    </w:p>
    <w:p>
      <w:pPr>
        <w:pBdr>
          <w:left w:val="single" w:color="8A6D3B" w:sz="12"/>
        </w:pBdr>
        <w:shd w:fill="F5F0E6" w:val="clear"/>
        <w:spacing w:after="160" w:before="80" w:line="360" w:lineRule="auto"/>
        <w:ind w:left="200" w:right="200"/>
      </w:pPr>
      <w:r>
        <w:rPr>
          <w:b/>
          <w:bCs/>
        </w:rPr>
        <w:t xml:space="preserve">Note on cost while stopped: </w:t>
      </w:r>
      <w:r>
        <w:t xml:space="preserve">No charge is incurred for the server itself while it is stopped, only a small charge for the storage reserved in Section 4.6 (a fraction of a cent per day). The Elastic IP address remains free of charge for as long as it stays associated with this server, whether running or stopped.</w:t>
      </w:r>
    </w:p>
    <w:p>
      <w:pPr>
        <w:pStyle w:val="Heading2"/>
      </w:pPr>
      <w:r>
        <w:t xml:space="preserve">10.3 Ending the Evaluation Permanently</w:t>
      </w:r>
    </w:p>
    <w:p>
      <w:pPr>
        <w:spacing w:after="120" w:line="360" w:lineRule="auto"/>
        <w:jc w:val="both"/>
      </w:pPr>
      <w:r>
        <w:t xml:space="preserve">Once the evaluation is complete and the server is no longer required, the following steps remove it entirely and stop all further charges.</w:t>
      </w:r>
    </w:p>
    <w:p>
      <w:pPr>
        <w:pStyle w:val="ListParagraph"/>
        <w:numPr>
          <w:ilvl w:val="0"/>
          <w:numId w:val="33"/>
        </w:numPr>
        <w:spacing w:after="120" w:line="360" w:lineRule="auto"/>
      </w:pPr>
      <w:r>
        <w:t xml:space="preserve">In the EC2 console, select the ODR-Panel-Evaluation server, click “Instance state”, then “Terminate (delete) instance”, and confirm. This permanently deletes the server and all case data stored on it.</w:t>
      </w:r>
    </w:p>
    <w:p>
      <w:pPr>
        <w:pStyle w:val="ListParagraph"/>
        <w:numPr>
          <w:ilvl w:val="0"/>
          <w:numId w:val="33"/>
        </w:numPr>
        <w:spacing w:after="120" w:line="360" w:lineRule="auto"/>
      </w:pPr>
      <w:r>
        <w:t xml:space="preserve">In the left-hand menu, click “Elastic IPs”, select the address reserved in Section 4.8, click “Actions”, then “Release Elastic IP address”, and confirm — this avoids the small standing charge that applies to an unattached address.</w:t>
      </w:r>
    </w:p>
    <w:p>
      <w:pPr>
        <w:pBdr>
          <w:left w:val="single" w:color="8A3B3B" w:sz="12"/>
        </w:pBdr>
        <w:shd w:fill="F5E6E6" w:val="clear"/>
        <w:spacing w:after="160" w:before="80" w:line="360" w:lineRule="auto"/>
        <w:ind w:left="200" w:right="200"/>
      </w:pPr>
      <w:r>
        <w:rPr>
          <w:b/>
          <w:bCs/>
        </w:rPr>
        <w:t xml:space="preserve">Important: </w:t>
      </w:r>
      <w:r>
        <w:t xml:space="preserve">Terminating the server permanently deletes all case data stored on it. If any of the material entered during evaluation should be retained, it should be exported or otherwise copied out beforehand.</w:t>
      </w:r>
    </w:p>
    <w:p>
      <w:pPr>
        <w:pStyle w:val="Heading2"/>
      </w:pPr>
      <w:r>
        <w:t xml:space="preserve">10.4 Updating the Application</w:t>
      </w:r>
    </w:p>
    <w:p>
      <w:pPr>
        <w:spacing w:after="120" w:line="360" w:lineRule="auto"/>
        <w:jc w:val="both"/>
      </w:pPr>
      <w:r>
        <w:t xml:space="preserve">If a revised version of the project files is issued for evaluation, it may be installed over the existing server as follows, using the terminal window from Section 5:</w:t>
      </w:r>
    </w:p>
    <w:p>
      <w:pPr>
        <w:pStyle w:val="ListParagraph"/>
        <w:numPr>
          <w:ilvl w:val="0"/>
          <w:numId w:val="34"/>
        </w:numPr>
        <w:spacing w:after="120" w:line="360" w:lineRule="auto"/>
      </w:pPr>
      <w:r>
        <w:t xml:space="preserve">Upload the new ZIP file using WinSCP or Cyberduck (Section 7.2), then extract it into a new, separate folder (do not overwrite the existing odr-panel folder directly).</w:t>
      </w:r>
    </w:p>
    <w:p>
      <w:pPr>
        <w:pStyle w:val="ListParagraph"/>
        <w:numPr>
          <w:ilvl w:val="0"/>
          <w:numId w:val="34"/>
        </w:numPr>
        <w:spacing w:after="120" w:line="360" w:lineRule="auto"/>
      </w:pPr>
      <w:r>
        <w:t xml:space="preserve">Copy the existing .env configuration file into the new folder: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cp odr-panel/.env odr-panel-new/.env</w:t>
      </w:r>
    </w:p>
    <w:p>
      <w:pPr>
        <w:pStyle w:val="ListParagraph"/>
        <w:numPr>
          <w:ilvl w:val="0"/>
          <w:numId w:val="34"/>
        </w:numPr>
        <w:spacing w:after="120" w:line="360" w:lineRule="auto"/>
      </w:pPr>
      <w:r>
        <w:t xml:space="preserve">From inside the new folder, repeat Sections 7.4, 7.6, and 7.7 (install, migrate, build).</w:t>
      </w:r>
    </w:p>
    <w:p>
      <w:pPr>
        <w:pStyle w:val="ListParagraph"/>
        <w:numPr>
          <w:ilvl w:val="0"/>
          <w:numId w:val="34"/>
        </w:numPr>
        <w:spacing w:after="120" w:line="360" w:lineRule="auto"/>
      </w:pPr>
      <w:r>
        <w:t xml:space="preserve">Stop the previous version and start the new one under PM2:</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pm2 delete odr-panel</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cd ~/odr-panel-new &amp;&amp; pm2 start npm --name odr-panel -- run start &amp;&amp; pm2 save</w:t>
      </w:r>
    </w:p>
    <w:p>
      <w:r>
        <w:br w:type="page"/>
      </w:r>
    </w:p>
    <w:p>
      <w:pPr>
        <w:pStyle w:val="Heading1"/>
      </w:pPr>
      <w:r>
        <w:t xml:space="preserve">11. Important Notes on Security and the Scope of This Build</w:t>
      </w:r>
    </w:p>
    <w:p>
      <w:pPr>
        <w:spacing w:after="120" w:line="360" w:lineRule="auto"/>
        <w:jc w:val="both"/>
      </w:pPr>
      <w:r>
        <w:t xml:space="preserve">This deployment is provided strictly for short-term evaluation and internal review by a limited, known group of reviewers, and must not be treated as a permanent installation or used to hold genuine, live case data of any real dispute.</w:t>
      </w:r>
    </w:p>
    <w:p>
      <w:pPr>
        <w:pStyle w:val="ListParagraph"/>
        <w:numPr>
          <w:ilvl w:val="0"/>
          <w:numId w:val="2"/>
        </w:numPr>
        <w:spacing w:after="100" w:line="360" w:lineRule="auto"/>
      </w:pPr>
      <w:r>
        <w:t xml:space="preserve">The connection between a reviewer's browser and the server is not encrypted (there is no https, and no padlock icon), because no domain name and certificate were arranged for this deployment. Anyone able to observe network traffic between a reviewer and the server — for instance, on a shared or public Wi-Fi network — could potentially intercept sign-in credentials or data in transit. Reviewers should avoid using this deployment over public Wi-Fi where practicable, and this limitation should be resolved (Section 11.1) before any wider or longer use.</w:t>
      </w:r>
    </w:p>
    <w:p>
      <w:pPr>
        <w:pStyle w:val="ListParagraph"/>
        <w:numPr>
          <w:ilvl w:val="0"/>
          <w:numId w:val="2"/>
        </w:numPr>
        <w:spacing w:after="100" w:line="360" w:lineRule="auto"/>
      </w:pPr>
      <w:r>
        <w:t xml:space="preserve">Port 3000 was opened to the entire internet (Section 4.5) so that reviewers may reach the platform from any location; only a person who has been given, or who correctly guesses, both the server address and a valid demonstration sign-in may access the platform — the sign-in page itself is not otherwise protected.</w:t>
      </w:r>
    </w:p>
    <w:p>
      <w:pPr>
        <w:pStyle w:val="ListParagraph"/>
        <w:numPr>
          <w:ilvl w:val="0"/>
          <w:numId w:val="2"/>
        </w:numPr>
        <w:spacing w:after="100" w:line="360" w:lineRule="auto"/>
      </w:pPr>
      <w:r>
        <w:t xml:space="preserve">Sign-in is by email and password, with an optional authenticator-app second factor, rather than the Enterprise single sign-on called for in the underlying specification for a production deployment.</w:t>
      </w:r>
    </w:p>
    <w:p>
      <w:pPr>
        <w:pStyle w:val="ListParagraph"/>
        <w:numPr>
          <w:ilvl w:val="0"/>
          <w:numId w:val="2"/>
        </w:numPr>
        <w:spacing w:after="100" w:line="360" w:lineRule="auto"/>
      </w:pPr>
      <w:r>
        <w:t xml:space="preserve">Third-party services referred to in the underlying specification — video-conferencing, e-signature, payment processing, SMS/WhatsApp messaging, document translation/OCR, LiquidText, and the AI analysis layer — are represented in this build by clearly-labelled simulated substitutes, so that every workflow may be reviewed without a paid subscription to any of them.</w:t>
      </w:r>
    </w:p>
    <w:p>
      <w:pPr>
        <w:pStyle w:val="ListParagraph"/>
        <w:numPr>
          <w:ilvl w:val="0"/>
          <w:numId w:val="2"/>
        </w:numPr>
        <w:spacing w:after="100" w:line="360" w:lineRule="auto"/>
      </w:pPr>
      <w:r>
        <w:t xml:space="preserve">All data is held on this single rented server only, is not backed up automatically, and will be lost if the server is terminated (Section 10.3) or its storage is otherwise removed.</w:t>
      </w:r>
    </w:p>
    <w:p>
      <w:pPr>
        <w:pStyle w:val="ListParagraph"/>
        <w:numPr>
          <w:ilvl w:val="0"/>
          <w:numId w:val="2"/>
        </w:numPr>
        <w:spacing w:after="100" w:line="360" w:lineRule="auto"/>
      </w:pPr>
      <w:r>
        <w:t xml:space="preserve">The database (PostgreSQL) runs on the same server as the application itself, rather than on a separately managed, automatically backed-up database service, consistent with the simpler, lower-cost approach chosen for this evaluation stage.</w:t>
      </w:r>
    </w:p>
    <w:p>
      <w:pPr>
        <w:pStyle w:val="Heading2"/>
      </w:pPr>
      <w:r>
        <w:t xml:space="preserve">11.1 Before Any Wider or Longer Use</w:t>
      </w:r>
    </w:p>
    <w:p>
      <w:pPr>
        <w:spacing w:after="120" w:line="360" w:lineRule="auto"/>
        <w:jc w:val="both"/>
      </w:pPr>
      <w:r>
        <w:t xml:space="preserve">Before this platform is used with real parties, real case data, or over any extended period, the reader is advised to have a suitably qualified technical team arrange the following, in consultation with the development team:</w:t>
      </w:r>
    </w:p>
    <w:p>
      <w:pPr>
        <w:pStyle w:val="ListParagraph"/>
        <w:numPr>
          <w:ilvl w:val="0"/>
          <w:numId w:val="2"/>
        </w:numPr>
        <w:spacing w:after="100" w:line="360" w:lineRule="auto"/>
      </w:pPr>
      <w:r>
        <w:t xml:space="preserve">A registered domain name, pointed at the server, with a properly issued encryption certificate (so the connection shows a padlock icon and reads https rather than http).</w:t>
      </w:r>
    </w:p>
    <w:p>
      <w:pPr>
        <w:pStyle w:val="ListParagraph"/>
        <w:numPr>
          <w:ilvl w:val="0"/>
          <w:numId w:val="2"/>
        </w:numPr>
        <w:spacing w:after="100" w:line="360" w:lineRule="auto"/>
      </w:pPr>
      <w:r>
        <w:t xml:space="preserve">Restriction of the firewall rule for port 3000 (Section 4.5) to known office or reviewer addresses, or the introduction of a further access-control layer, rather than leaving it open to the entire internet.</w:t>
      </w:r>
    </w:p>
    <w:p>
      <w:pPr>
        <w:pStyle w:val="ListParagraph"/>
        <w:numPr>
          <w:ilvl w:val="0"/>
          <w:numId w:val="2"/>
        </w:numPr>
        <w:spacing w:after="100" w:line="360" w:lineRule="auto"/>
      </w:pPr>
      <w:r>
        <w:t xml:space="preserve">Migration of the database to a separately managed, automatically backed-up service (Amazon RDS), rather than sharing the application server.</w:t>
      </w:r>
    </w:p>
    <w:p>
      <w:pPr>
        <w:pStyle w:val="ListParagraph"/>
        <w:numPr>
          <w:ilvl w:val="0"/>
          <w:numId w:val="2"/>
        </w:numPr>
        <w:spacing w:after="100" w:line="360" w:lineRule="auto"/>
      </w:pPr>
      <w:r>
        <w:t xml:space="preserve">Enterprise single sign-on, in place of the built-in email-and-password sign-in used for evaluation.</w:t>
      </w:r>
    </w:p>
    <w:p>
      <w:pPr>
        <w:pStyle w:val="ListParagraph"/>
        <w:numPr>
          <w:ilvl w:val="0"/>
          <w:numId w:val="2"/>
        </w:numPr>
        <w:spacing w:after="100" w:line="360" w:lineRule="auto"/>
      </w:pPr>
      <w:r>
        <w:t xml:space="preserve">Genuine, paid integrations with the third-party services listed above, in place of the simulated substitutes.</w:t>
      </w:r>
    </w:p>
    <w:p>
      <w:pPr>
        <w:pStyle w:val="ListParagraph"/>
        <w:numPr>
          <w:ilvl w:val="0"/>
          <w:numId w:val="2"/>
        </w:numPr>
        <w:spacing w:after="100" w:line="360" w:lineRule="auto"/>
      </w:pPr>
      <w:r>
        <w:t xml:space="preserve">A defined backup and disaster-recovery procedure for case data.</w:t>
      </w:r>
    </w:p>
    <w:p>
      <w:r>
        <w:br w:type="page"/>
      </w:r>
    </w:p>
    <w:p>
      <w:pPr>
        <w:pStyle w:val="Heading1"/>
      </w:pPr>
      <w:r>
        <w:t xml:space="preserve">12.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Symptom</w:t>
            </w:r>
          </w:p>
        </w:tc>
        <w:tc>
          <w:tcPr>
            <w:tcW w:type="dxa" w:w="58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Likely Cause and Remedy</w:t>
            </w:r>
          </w:p>
        </w:tc>
      </w:tr>
      <w:tr>
        <w:tc>
          <w:tcPr>
            <w:tcW w:type="dxa" w:w="3400"/>
            <w:tcMar>
              <w:top w:type="dxa" w:w="80"/>
              <w:left w:type="dxa" w:w="100"/>
              <w:bottom w:type="dxa" w:w="80"/>
              <w:right w:type="dxa" w:w="100"/>
            </w:tcMar>
            <w:vAlign w:val="center"/>
          </w:tcPr>
          <w:p>
            <w:pPr>
              <w:spacing w:line="300" w:lineRule="auto"/>
            </w:pPr>
            <w:r>
              <w:rPr>
                <w:b w:val="false"/>
                <w:bCs w:val="false"/>
                <w:sz w:val="21"/>
                <w:szCs w:val="21"/>
              </w:rPr>
              <w:t xml:space="preserve">The “Connect” button in Section 5.1 fails, or the terminal window will not open</w:t>
            </w:r>
          </w:p>
        </w:tc>
        <w:tc>
          <w:tcPr>
            <w:tcW w:type="dxa" w:w="5800"/>
            <w:tcMar>
              <w:top w:type="dxa" w:w="80"/>
              <w:left w:type="dxa" w:w="100"/>
              <w:bottom w:type="dxa" w:w="80"/>
              <w:right w:type="dxa" w:w="100"/>
            </w:tcMar>
            <w:vAlign w:val="center"/>
          </w:tcPr>
          <w:p>
            <w:pPr>
              <w:spacing w:line="300" w:lineRule="auto"/>
            </w:pPr>
            <w:r>
              <w:rPr>
                <w:b w:val="false"/>
                <w:bCs w:val="false"/>
                <w:sz w:val="21"/>
                <w:szCs w:val="21"/>
              </w:rPr>
              <w:t xml:space="preserve">The reader's internet address has changed since the security group rule was set to “My IP” (Section 4.5). In the EC2 console, open “Security Groups”, select odr-panel-sg, edit the inbound SSH rule, and choose “My IP” again to refresh it to the current address.</w:t>
            </w:r>
          </w:p>
        </w:tc>
      </w:tr>
      <w:tr>
        <w:tc>
          <w:tcPr>
            <w:tcW w:type="dxa" w:w="3400"/>
            <w:tcMar>
              <w:top w:type="dxa" w:w="80"/>
              <w:left w:type="dxa" w:w="100"/>
              <w:bottom w:type="dxa" w:w="80"/>
              <w:right w:type="dxa" w:w="100"/>
            </w:tcMar>
            <w:vAlign w:val="center"/>
          </w:tcPr>
          <w:p>
            <w:pPr>
              <w:spacing w:line="300" w:lineRule="auto"/>
            </w:pPr>
            <w:r>
              <w:rPr>
                <w:b w:val="false"/>
                <w:bCs w:val="false"/>
                <w:sz w:val="21"/>
                <w:szCs w:val="21"/>
              </w:rPr>
              <w:t xml:space="preserve">The browser shows “This site can't be reached” at the server's address</w:t>
            </w:r>
          </w:p>
        </w:tc>
        <w:tc>
          <w:tcPr>
            <w:tcW w:type="dxa" w:w="5800"/>
            <w:tcMar>
              <w:top w:type="dxa" w:w="80"/>
              <w:left w:type="dxa" w:w="100"/>
              <w:bottom w:type="dxa" w:w="80"/>
              <w:right w:type="dxa" w:w="100"/>
            </w:tcMar>
            <w:vAlign w:val="center"/>
          </w:tcPr>
          <w:p>
            <w:pPr>
              <w:spacing w:line="300" w:lineRule="auto"/>
            </w:pPr>
            <w:r>
              <w:rPr>
                <w:b w:val="false"/>
                <w:bCs w:val="false"/>
                <w:sz w:val="21"/>
                <w:szCs w:val="21"/>
              </w:rPr>
              <w:t xml:space="preserve">Either the server has not finished starting after Section 10.2 (allow a further minute), the application is not running under PM2 (reconnect via Section 5 and run pm2 status), or the port 3000 firewall rule (Section 4.5) was not saved correctly.</w:t>
            </w:r>
          </w:p>
        </w:tc>
      </w:tr>
      <w:tr>
        <w:tc>
          <w:tcPr>
            <w:tcW w:type="dxa" w:w="3400"/>
            <w:tcMar>
              <w:top w:type="dxa" w:w="80"/>
              <w:left w:type="dxa" w:w="100"/>
              <w:bottom w:type="dxa" w:w="80"/>
              <w:right w:type="dxa" w:w="100"/>
            </w:tcMar>
            <w:vAlign w:val="center"/>
          </w:tcPr>
          <w:p>
            <w:pPr>
              <w:spacing w:line="300" w:lineRule="auto"/>
            </w:pPr>
            <w:r>
              <w:rPr>
                <w:b w:val="false"/>
                <w:bCs w:val="false"/>
                <w:sz w:val="21"/>
                <w:szCs w:val="21"/>
              </w:rPr>
              <w:t xml:space="preserve">pm2 status shows the odr-panel process as “errored” or repeatedly restarting</w:t>
            </w:r>
          </w:p>
        </w:tc>
        <w:tc>
          <w:tcPr>
            <w:tcW w:type="dxa" w:w="5800"/>
            <w:tcMar>
              <w:top w:type="dxa" w:w="80"/>
              <w:left w:type="dxa" w:w="100"/>
              <w:bottom w:type="dxa" w:w="80"/>
              <w:right w:type="dxa" w:w="100"/>
            </w:tcMar>
            <w:vAlign w:val="center"/>
          </w:tcPr>
          <w:p>
            <w:pPr>
              <w:spacing w:line="300" w:lineRule="auto"/>
            </w:pPr>
            <w:r>
              <w:rPr>
                <w:b w:val="false"/>
                <w:bCs w:val="false"/>
                <w:sz w:val="21"/>
                <w:szCs w:val="21"/>
              </w:rPr>
              <w:t xml:space="preserve">Reconnect via Section 5 and run pm2 logs odr-panel to see the specific error. The most common cause is an incorrect DATABASE_URL or SESSION_SECRET value in the .env file (Section 7.5) — reopen it with nano .env, check it against Section 7.5 exactly, save, then run pm2 restart odr-panel.</w:t>
            </w:r>
          </w:p>
        </w:tc>
      </w:tr>
      <w:tr>
        <w:tc>
          <w:tcPr>
            <w:tcW w:type="dxa" w:w="3400"/>
            <w:tcMar>
              <w:top w:type="dxa" w:w="80"/>
              <w:left w:type="dxa" w:w="100"/>
              <w:bottom w:type="dxa" w:w="80"/>
              <w:right w:type="dxa" w:w="100"/>
            </w:tcMar>
            <w:vAlign w:val="center"/>
          </w:tcPr>
          <w:p>
            <w:pPr>
              <w:spacing w:line="300" w:lineRule="auto"/>
            </w:pPr>
            <w:r>
              <w:rPr>
                <w:b w:val="false"/>
                <w:bCs w:val="false"/>
                <w:sz w:val="21"/>
                <w:szCs w:val="21"/>
              </w:rPr>
              <w:t xml:space="preserve">“Can't reach database server” during Section 7.6</w:t>
            </w:r>
          </w:p>
        </w:tc>
        <w:tc>
          <w:tcPr>
            <w:tcW w:type="dxa" w:w="5800"/>
            <w:tcMar>
              <w:top w:type="dxa" w:w="80"/>
              <w:left w:type="dxa" w:w="100"/>
              <w:bottom w:type="dxa" w:w="80"/>
              <w:right w:type="dxa" w:w="100"/>
            </w:tcMar>
            <w:vAlign w:val="center"/>
          </w:tcPr>
          <w:p>
            <w:pPr>
              <w:spacing w:line="300" w:lineRule="auto"/>
            </w:pPr>
            <w:r>
              <w:rPr>
                <w:b w:val="false"/>
                <w:bCs w:val="false"/>
                <w:sz w:val="21"/>
                <w:szCs w:val="21"/>
              </w:rPr>
              <w:t xml:space="preserve">Confirm PostgreSQL is running with sudo systemctl status postgresql, and that the password inside .env matches the one set in Section 7.1 exactly.</w:t>
            </w:r>
          </w:p>
        </w:tc>
      </w:tr>
      <w:tr>
        <w:tc>
          <w:tcPr>
            <w:tcW w:type="dxa" w:w="3400"/>
            <w:tcMar>
              <w:top w:type="dxa" w:w="80"/>
              <w:left w:type="dxa" w:w="100"/>
              <w:bottom w:type="dxa" w:w="80"/>
              <w:right w:type="dxa" w:w="100"/>
            </w:tcMar>
            <w:vAlign w:val="center"/>
          </w:tcPr>
          <w:p>
            <w:pPr>
              <w:spacing w:line="300" w:lineRule="auto"/>
            </w:pPr>
            <w:r>
              <w:rPr>
                <w:b w:val="false"/>
                <w:bCs w:val="false"/>
                <w:sz w:val="21"/>
                <w:szCs w:val="21"/>
              </w:rPr>
              <w:t xml:space="preserve">npm run build (Section 7.7) fails or the terminal appears to freeze</w:t>
            </w:r>
          </w:p>
        </w:tc>
        <w:tc>
          <w:tcPr>
            <w:tcW w:type="dxa" w:w="5800"/>
            <w:tcMar>
              <w:top w:type="dxa" w:w="80"/>
              <w:left w:type="dxa" w:w="100"/>
              <w:bottom w:type="dxa" w:w="80"/>
              <w:right w:type="dxa" w:w="100"/>
            </w:tcMar>
            <w:vAlign w:val="center"/>
          </w:tcPr>
          <w:p>
            <w:pPr>
              <w:spacing w:line="300" w:lineRule="auto"/>
            </w:pPr>
            <w:r>
              <w:rPr>
                <w:b w:val="false"/>
                <w:bCs w:val="false"/>
                <w:sz w:val="21"/>
                <w:szCs w:val="21"/>
              </w:rPr>
              <w:t xml:space="preserve">This is most often caused by insufficient memory on a server smaller than t3.medium (Section 4.4). Confirm the instance type chosen, and if necessary, stop the server, change its instance type to t3.medium under “Actions → Instance settings → Change instance type”, and restart it before retrying.</w:t>
            </w:r>
          </w:p>
        </w:tc>
      </w:tr>
      <w:tr>
        <w:tc>
          <w:tcPr>
            <w:tcW w:type="dxa" w:w="3400"/>
            <w:tcMar>
              <w:top w:type="dxa" w:w="80"/>
              <w:left w:type="dxa" w:w="100"/>
              <w:bottom w:type="dxa" w:w="80"/>
              <w:right w:type="dxa" w:w="100"/>
            </w:tcMar>
            <w:vAlign w:val="center"/>
          </w:tcPr>
          <w:p>
            <w:pPr>
              <w:spacing w:line="300" w:lineRule="auto"/>
            </w:pPr>
            <w:r>
              <w:rPr>
                <w:b w:val="false"/>
                <w:bCs w:val="false"/>
                <w:sz w:val="21"/>
                <w:szCs w:val="21"/>
              </w:rPr>
              <w:t xml:space="preserve">The server's address changed after stopping and starting it</w:t>
            </w:r>
          </w:p>
        </w:tc>
        <w:tc>
          <w:tcPr>
            <w:tcW w:type="dxa" w:w="5800"/>
            <w:tcMar>
              <w:top w:type="dxa" w:w="80"/>
              <w:left w:type="dxa" w:w="100"/>
              <w:bottom w:type="dxa" w:w="80"/>
              <w:right w:type="dxa" w:w="100"/>
            </w:tcMar>
            <w:vAlign w:val="center"/>
          </w:tcPr>
          <w:p>
            <w:pPr>
              <w:spacing w:line="300" w:lineRule="auto"/>
            </w:pPr>
            <w:r>
              <w:rPr>
                <w:b w:val="false"/>
                <w:bCs w:val="false"/>
                <w:sz w:val="21"/>
                <w:szCs w:val="21"/>
              </w:rPr>
              <w:t xml:space="preserve">This occurs only if an Elastic IP address was not reserved in Section 4.8. Follow Section 4.8 now to fix the address permanently going forward.</w:t>
            </w:r>
          </w:p>
        </w:tc>
      </w:tr>
      <w:tr>
        <w:tc>
          <w:tcPr>
            <w:tcW w:type="dxa" w:w="3400"/>
            <w:tcMar>
              <w:top w:type="dxa" w:w="80"/>
              <w:left w:type="dxa" w:w="100"/>
              <w:bottom w:type="dxa" w:w="80"/>
              <w:right w:type="dxa" w:w="100"/>
            </w:tcMar>
            <w:vAlign w:val="center"/>
          </w:tcPr>
          <w:p>
            <w:pPr>
              <w:spacing w:line="300" w:lineRule="auto"/>
            </w:pPr>
            <w:r>
              <w:rPr>
                <w:b w:val="false"/>
                <w:bCs w:val="false"/>
                <w:sz w:val="21"/>
                <w:szCs w:val="21"/>
              </w:rPr>
              <w:t xml:space="preserve">Forgotten demonstration password</w:t>
            </w:r>
          </w:p>
        </w:tc>
        <w:tc>
          <w:tcPr>
            <w:tcW w:type="dxa" w:w="5800"/>
            <w:tcMar>
              <w:top w:type="dxa" w:w="80"/>
              <w:left w:type="dxa" w:w="100"/>
              <w:bottom w:type="dxa" w:w="80"/>
              <w:right w:type="dxa" w:w="100"/>
            </w:tcMar>
            <w:vAlign w:val="center"/>
          </w:tcPr>
          <w:p>
            <w:pPr>
              <w:spacing w:line="300" w:lineRule="auto"/>
            </w:pPr>
            <w:r>
              <w:rPr>
                <w:b w:val="false"/>
                <w:bCs w:val="false"/>
                <w:sz w:val="21"/>
                <w:szCs w:val="21"/>
              </w:rPr>
              <w:t xml:space="preserve">All demonstration accounts share the single password given at Section 9: Passw0rd!1.</w:t>
            </w:r>
          </w:p>
        </w:tc>
      </w:tr>
    </w:tbl>
    <w:p>
      <w:r>
        <w:br w:type="page"/>
      </w:r>
    </w:p>
    <w:p>
      <w:pPr>
        <w:pStyle w:val="Heading1"/>
      </w:pPr>
      <w:r>
        <w:t xml:space="preserve">13. Where to Go From Here</w:t>
      </w:r>
    </w:p>
    <w:p>
      <w:pPr>
        <w:spacing w:after="120" w:line="360" w:lineRule="auto"/>
        <w:jc w:val="both"/>
      </w:pPr>
      <w:r>
        <w:t xml:space="preserve">Having completed this deployment and shared the server's address with the intended reviewers, the reader is invited to record any observations, comments or requested changes for consideration by the development team. The project's own README file, held inside the odr-panel folder on the server, sets out further technical detail for any reader who wishes to go further. Section 11.1 above sets out what should be arranged before this deployment is relied upon for anything beyond short-term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decimal"/>
      <w:lvlText w:val="%1."/>
      <w:lvlJc w:val="start"/>
      <w:pPr>
        <w:ind w:left="720" w:hanging="360"/>
      </w:pPr>
    </w:lvl>
  </w:abstractNum>
  <w:abstractNum w:abstractNumId="16" w15:restartNumberingAfterBreak="0">
    <w:multiLevelType w:val="hybridMultilevel"/>
    <w:lvl w:ilvl="0" w15:tentative="1">
      <w:start w:val="1"/>
      <w:numFmt w:val="decimal"/>
      <w:lvlText w:val="%1."/>
      <w:lvlJc w:val="start"/>
      <w:pPr>
        <w:ind w:left="720" w:hanging="360"/>
      </w:pPr>
    </w:lvl>
  </w:abstractNum>
  <w:abstractNum w:abstractNumId="17" w15:restartNumberingAfterBreak="0">
    <w:multiLevelType w:val="hybridMultilevel"/>
    <w:lvl w:ilvl="0" w15:tentative="1">
      <w:start w:val="1"/>
      <w:numFmt w:val="decimal"/>
      <w:lvlText w:val="%1."/>
      <w:lvlJc w:val="start"/>
      <w:pPr>
        <w:ind w:left="720" w:hanging="360"/>
      </w:pPr>
    </w:lvl>
  </w:abstractNum>
  <w:abstractNum w:abstractNumId="18" w15:restartNumberingAfterBreak="0">
    <w:multiLevelType w:val="hybridMultilevel"/>
    <w:lvl w:ilvl="0" w15:tentative="1">
      <w:start w:val="1"/>
      <w:numFmt w:val="decimal"/>
      <w:lvlText w:val="%1."/>
      <w:lvlJc w:val="start"/>
      <w:pPr>
        <w:ind w:left="720" w:hanging="360"/>
      </w:pPr>
    </w:lvl>
  </w:abstractNum>
  <w:abstractNum w:abstractNumId="19" w15:restartNumberingAfterBreak="0">
    <w:multiLevelType w:val="hybridMultilevel"/>
    <w:lvl w:ilvl="0" w15:tentative="1">
      <w:start w:val="1"/>
      <w:numFmt w:val="decimal"/>
      <w:lvlText w:val="%1."/>
      <w:lvlJc w:val="start"/>
      <w:pPr>
        <w:ind w:left="720" w:hanging="360"/>
      </w:pPr>
    </w:lvl>
  </w:abstractNum>
  <w:abstractNum w:abstractNumId="20" w15:restartNumberingAfterBreak="0">
    <w:multiLevelType w:val="hybridMultilevel"/>
    <w:lvl w:ilvl="0" w15:tentative="1">
      <w:start w:val="1"/>
      <w:numFmt w:val="decimal"/>
      <w:lvlText w:val="%1."/>
      <w:lvlJc w:val="start"/>
      <w:pPr>
        <w:ind w:left="720" w:hanging="360"/>
      </w:pPr>
    </w:lvl>
  </w:abstractNum>
  <w:abstractNum w:abstractNumId="21" w15:restartNumberingAfterBreak="0">
    <w:multiLevelType w:val="hybridMultilevel"/>
    <w:lvl w:ilvl="0" w15:tentative="1">
      <w:start w:val="1"/>
      <w:numFmt w:val="decimal"/>
      <w:lvlText w:val="%1."/>
      <w:lvlJc w:val="start"/>
      <w:pPr>
        <w:ind w:left="720" w:hanging="360"/>
      </w:pPr>
    </w:lvl>
  </w:abstractNum>
  <w:abstractNum w:abstractNumId="22" w15:restartNumberingAfterBreak="0">
    <w:multiLevelType w:val="hybridMultilevel"/>
    <w:lvl w:ilvl="0" w15:tentative="1">
      <w:start w:val="1"/>
      <w:numFmt w:val="decimal"/>
      <w:lvlText w:val="%1."/>
      <w:lvlJc w:val="start"/>
      <w:pPr>
        <w:ind w:left="720" w:hanging="360"/>
      </w:pPr>
    </w:lvl>
  </w:abstractNum>
  <w:abstractNum w:abstractNumId="23" w15:restartNumberingAfterBreak="0">
    <w:multiLevelType w:val="hybridMultilevel"/>
    <w:lvl w:ilvl="0" w15:tentative="1">
      <w:start w:val="1"/>
      <w:numFmt w:val="decimal"/>
      <w:lvlText w:val="%1."/>
      <w:lvlJc w:val="start"/>
      <w:pPr>
        <w:ind w:left="720" w:hanging="360"/>
      </w:pPr>
    </w:lvl>
  </w:abstractNum>
  <w:abstractNum w:abstractNumId="24" w15:restartNumberingAfterBreak="0">
    <w:multiLevelType w:val="hybridMultilevel"/>
    <w:lvl w:ilvl="0" w15:tentative="1">
      <w:start w:val="1"/>
      <w:numFmt w:val="decimal"/>
      <w:lvlText w:val="%1."/>
      <w:lvlJc w:val="start"/>
      <w:pPr>
        <w:ind w:left="720" w:hanging="360"/>
      </w:pPr>
    </w:lvl>
  </w:abstractNum>
  <w:abstractNum w:abstractNumId="25" w15:restartNumberingAfterBreak="0">
    <w:multiLevelType w:val="hybridMultilevel"/>
    <w:lvl w:ilvl="0" w15:tentative="1">
      <w:start w:val="1"/>
      <w:numFmt w:val="decimal"/>
      <w:lvlText w:val="%1."/>
      <w:lvlJc w:val="start"/>
      <w:pPr>
        <w:ind w:left="720" w:hanging="360"/>
      </w:pPr>
    </w:lvl>
  </w:abstractNum>
  <w:abstractNum w:abstractNumId="26" w15:restartNumberingAfterBreak="0">
    <w:multiLevelType w:val="hybridMultilevel"/>
    <w:lvl w:ilvl="0" w15:tentative="1">
      <w:start w:val="1"/>
      <w:numFmt w:val="decimal"/>
      <w:lvlText w:val="%1."/>
      <w:lvlJc w:val="start"/>
      <w:pPr>
        <w:ind w:left="720" w:hanging="360"/>
      </w:pPr>
    </w:lvl>
  </w:abstractNum>
  <w:abstractNum w:abstractNumId="27" w15:restartNumberingAfterBreak="0">
    <w:multiLevelType w:val="hybridMultilevel"/>
    <w:lvl w:ilvl="0" w15:tentative="1">
      <w:start w:val="1"/>
      <w:numFmt w:val="decimal"/>
      <w:lvlText w:val="%1."/>
      <w:lvlJc w:val="start"/>
      <w:pPr>
        <w:ind w:left="720" w:hanging="360"/>
      </w:pPr>
    </w:lvl>
  </w:abstractNum>
  <w:abstractNum w:abstractNumId="28" w15:restartNumberingAfterBreak="0">
    <w:multiLevelType w:val="hybridMultilevel"/>
    <w:lvl w:ilvl="0" w15:tentative="1">
      <w:start w:val="1"/>
      <w:numFmt w:val="decimal"/>
      <w:lvlText w:val="%1."/>
      <w:lvlJc w:val="start"/>
      <w:pPr>
        <w:ind w:left="720" w:hanging="360"/>
      </w:pPr>
    </w:lvl>
  </w:abstractNum>
  <w:abstractNum w:abstractNumId="29" w15:restartNumberingAfterBreak="0">
    <w:multiLevelType w:val="hybridMultilevel"/>
    <w:lvl w:ilvl="0" w15:tentative="1">
      <w:start w:val="1"/>
      <w:numFmt w:val="decimal"/>
      <w:lvlText w:val="%1."/>
      <w:lvlJc w:val="start"/>
      <w:pPr>
        <w:ind w:left="720" w:hanging="360"/>
      </w:pPr>
    </w:lvl>
  </w:abstractNum>
  <w:abstractNum w:abstractNumId="30" w15:restartNumberingAfterBreak="0">
    <w:multiLevelType w:val="hybridMultilevel"/>
    <w:lvl w:ilvl="0" w15:tentative="1">
      <w:start w:val="1"/>
      <w:numFmt w:val="decimal"/>
      <w:lvlText w:val="%1."/>
      <w:lvlJc w:val="start"/>
      <w:pPr>
        <w:ind w:left="720" w:hanging="360"/>
      </w:pPr>
    </w:lvl>
  </w:abstractNum>
  <w:abstractNum w:abstractNumId="31" w15:restartNumberingAfterBreak="0">
    <w:multiLevelType w:val="hybridMultilevel"/>
    <w:lvl w:ilvl="0" w15:tentative="1">
      <w:start w:val="1"/>
      <w:numFmt w:val="decimal"/>
      <w:lvlText w:val="%1."/>
      <w:lvlJc w:val="start"/>
      <w:pPr>
        <w:ind w:left="720" w:hanging="360"/>
      </w:pPr>
    </w:lvl>
  </w:abstractNum>
  <w:abstractNum w:abstractNumId="32" w15:restartNumberingAfterBreak="0">
    <w:multiLevelType w:val="hybridMultilevel"/>
    <w:lvl w:ilvl="0" w15:tentative="1">
      <w:start w:val="1"/>
      <w:numFmt w:val="decimal"/>
      <w:lvlText w:val="%1."/>
      <w:lvlJc w:val="start"/>
      <w:pPr>
        <w:ind w:left="720" w:hanging="360"/>
      </w:pPr>
    </w:lvl>
  </w:abstractNum>
  <w:abstractNum w:abstractNumId="33" w15:restartNumberingAfterBreak="0">
    <w:multiLevelType w:val="hybridMultilevel"/>
    <w:lvl w:ilvl="0" w15:tentative="1">
      <w:start w:val="1"/>
      <w:numFmt w:val="decimal"/>
      <w:lvlText w:val="%1."/>
      <w:lvlJc w:val="start"/>
      <w:pPr>
        <w:ind w:left="720" w:hanging="360"/>
      </w:pPr>
    </w:lvl>
  </w:abstractNum>
  <w:abstractNum w:abstractNumId="34" w15:restartNumberingAfterBreak="0">
    <w:multiLevelType w:val="hybridMultilevel"/>
    <w:lvl w:ilvl="0" w15:tentative="1">
      <w:start w:val="1"/>
      <w:numFmt w:val="decimal"/>
      <w:lvlText w:val="%1."/>
      <w:lvlJc w:val="start"/>
      <w:pPr>
        <w:ind w:left="720" w:hanging="360"/>
      </w:pPr>
    </w:lvl>
  </w:abstractNum>
  <w:abstractNum w:abstractNumId="35" w15:restartNumberingAfterBreak="0">
    <w:multiLevelType w:val="hybridMultilevel"/>
    <w:lvl w:ilvl="0" w15:tentative="1">
      <w:start w:val="1"/>
      <w:numFmt w:val="decimal"/>
      <w:lvlText w:val="%1."/>
      <w:lvlJc w:val="start"/>
      <w:pPr>
        <w:ind w:left="720" w:hanging="360"/>
      </w:pPr>
    </w:lvl>
  </w:abstractNum>
  <w:abstractNum w:abstractNumId="36" w15:restartNumberingAfterBreak="0">
    <w:multiLevelType w:val="hybridMultilevel"/>
    <w:lvl w:ilvl="0" w15:tentative="1">
      <w:start w:val="1"/>
      <w:numFmt w:val="decimal"/>
      <w:lvlText w:val="%1."/>
      <w:lvlJc w:val="start"/>
      <w:pPr>
        <w:ind w:left="720" w:hanging="360"/>
      </w:pPr>
    </w:lvl>
  </w:abstractNum>
  <w:abstractNum w:abstractNumId="37" w15:restartNumberingAfterBreak="0">
    <w:multiLevelType w:val="hybridMultilevel"/>
    <w:lvl w:ilvl="0" w15:tentative="1">
      <w:start w:val="1"/>
      <w:numFmt w:val="decimal"/>
      <w:lvlText w:val="%1."/>
      <w:lvlJc w:val="start"/>
      <w:pPr>
        <w:ind w:left="720" w:hanging="360"/>
      </w:pPr>
    </w:lvl>
  </w:abstractNum>
  <w:abstractNum w:abstractNumId="38" w15:restartNumberingAfterBreak="0">
    <w:multiLevelType w:val="hybridMultilevel"/>
    <w:lvl w:ilvl="0" w15:tentative="1">
      <w:start w:val="1"/>
      <w:numFmt w:val="decimal"/>
      <w:lvlText w:val="%1."/>
      <w:lvlJc w:val="start"/>
      <w:pPr>
        <w:ind w:left="720" w:hanging="360"/>
      </w:pPr>
    </w:lvl>
  </w:abstractNum>
  <w:abstractNum w:abstractNumId="39" w15:restartNumberingAfterBreak="0">
    <w:multiLevelType w:val="hybridMultilevel"/>
    <w:lvl w:ilvl="0" w15:tentative="1">
      <w:start w:val="1"/>
      <w:numFmt w:val="decimal"/>
      <w:lvlText w:val="%1."/>
      <w:lvlJc w:val="start"/>
      <w:pPr>
        <w:ind w:left="720" w:hanging="360"/>
      </w:pPr>
    </w:lvl>
  </w:abstractNum>
  <w:abstractNum w:abstractNumId="40" w15:restartNumberingAfterBreak="0">
    <w:multiLevelType w:val="hybridMultilevel"/>
    <w:lvl w:ilvl="0" w15:tentative="1">
      <w:start w:val="1"/>
      <w:numFmt w:val="decimal"/>
      <w:lvlText w:val="%1."/>
      <w:lvlJc w:val="start"/>
      <w:pPr>
        <w:ind w:left="720" w:hanging="360"/>
      </w:pPr>
    </w:lvl>
  </w:abstractNum>
  <w:abstractNum w:abstractNumId="41" w15:restartNumberingAfterBreak="0">
    <w:multiLevelType w:val="hybridMultilevel"/>
    <w:lvl w:ilvl="0" w15:tentative="1">
      <w:start w:val="1"/>
      <w:numFmt w:val="decimal"/>
      <w:lvlText w:val="%1."/>
      <w:lvlJc w:val="start"/>
      <w:pPr>
        <w:ind w:left="720" w:hanging="360"/>
      </w:pPr>
    </w:lvl>
  </w:abstractNum>
  <w:abstractNum w:abstractNumId="42" w15:restartNumberingAfterBreak="0">
    <w:multiLevelType w:val="hybridMultilevel"/>
    <w:lvl w:ilvl="0" w15:tentative="1">
      <w:start w:val="1"/>
      <w:numFmt w:val="decimal"/>
      <w:lvlText w:val="%1."/>
      <w:lvlJc w:val="start"/>
      <w:pPr>
        <w:ind w:left="720" w:hanging="360"/>
      </w:pPr>
    </w:lvl>
  </w:abstractNum>
  <w:abstractNum w:abstractNumId="43" w15:restartNumberingAfterBreak="0">
    <w:multiLevelType w:val="hybridMultilevel"/>
    <w:lvl w:ilvl="0" w15:tentative="1">
      <w:start w:val="1"/>
      <w:numFmt w:val="decimal"/>
      <w:lvlText w:val="%1."/>
      <w:lvlJc w:val="start"/>
      <w:pPr>
        <w:ind w:left="720" w:hanging="360"/>
      </w:pPr>
    </w:lvl>
  </w:abstractNum>
  <w:abstractNum w:abstractNumId="44" w15:restartNumberingAfterBreak="0">
    <w:multiLevelType w:val="hybridMultilevel"/>
    <w:lvl w:ilvl="0" w15:tentative="1">
      <w:start w:val="1"/>
      <w:numFmt w:val="decimal"/>
      <w:lvlText w:val="%1."/>
      <w:lvlJc w:val="start"/>
      <w:pPr>
        <w:ind w:left="720" w:hanging="360"/>
      </w:pPr>
    </w:lvl>
  </w:abstractNum>
  <w:abstractNum w:abstractNumId="45" w15:restartNumberingAfterBreak="0">
    <w:multiLevelType w:val="hybridMultilevel"/>
    <w:lvl w:ilvl="0" w15:tentative="1">
      <w:start w:val="1"/>
      <w:numFmt w:val="decimal"/>
      <w:lvlText w:val="%1."/>
      <w:lvlJc w:val="start"/>
      <w:pPr>
        <w:ind w:left="720" w:hanging="360"/>
      </w:pPr>
    </w:lvl>
  </w:abstractNum>
  <w:abstractNum w:abstractNumId="46" w15:restartNumberingAfterBreak="0">
    <w:multiLevelType w:val="hybridMultilevel"/>
    <w:lvl w:ilvl="0" w15:tentative="1">
      <w:start w:val="1"/>
      <w:numFmt w:val="decimal"/>
      <w:lvlText w:val="%1."/>
      <w:lvlJc w:val="start"/>
      <w:pPr>
        <w:ind w:left="720" w:hanging="360"/>
      </w:pPr>
    </w:lvl>
  </w:abstractNum>
  <w:abstractNum w:abstractNumId="47" w15:restartNumberingAfterBreak="0">
    <w:multiLevelType w:val="hybridMultilevel"/>
    <w:lvl w:ilvl="0" w15:tentative="1">
      <w:start w:val="1"/>
      <w:numFmt w:val="decimal"/>
      <w:lvlText w:val="%1."/>
      <w:lvlJc w:val="start"/>
      <w:pPr>
        <w:ind w:left="720" w:hanging="360"/>
      </w:pPr>
    </w:lvl>
  </w:abstractNum>
  <w:abstractNum w:abstractNumId="48" w15:restartNumberingAfterBreak="0">
    <w:multiLevelType w:val="hybridMultilevel"/>
    <w:lvl w:ilvl="0" w15:tentative="1">
      <w:start w:val="1"/>
      <w:numFmt w:val="decimal"/>
      <w:lvlText w:val="%1."/>
      <w:lvlJc w:val="start"/>
      <w:pPr>
        <w:ind w:left="720" w:hanging="360"/>
      </w:pPr>
    </w:lvl>
  </w:abstractNum>
  <w:abstractNum w:abstractNumId="49" w15:restartNumberingAfterBreak="0">
    <w:multiLevelType w:val="hybridMultilevel"/>
    <w:lvl w:ilvl="0" w15:tentative="1">
      <w:start w:val="1"/>
      <w:numFmt w:val="decimal"/>
      <w:lvlText w:val="%1."/>
      <w:lvlJc w:val="start"/>
      <w:pPr>
        <w:ind w:left="720" w:hanging="360"/>
      </w:pPr>
    </w:lvl>
  </w:abstractNum>
  <w:abstractNum w:abstractNumId="50" w15:restartNumberingAfterBreak="0">
    <w:multiLevelType w:val="hybridMultilevel"/>
    <w:lvl w:ilvl="0" w15:tentative="1">
      <w:start w:val="1"/>
      <w:numFmt w:val="decimal"/>
      <w:lvlText w:val="%1."/>
      <w:lvlJc w:val="start"/>
      <w:pPr>
        <w:ind w:left="720" w:hanging="360"/>
      </w:pPr>
    </w:lvl>
  </w:abstractNum>
  <w:abstractNum w:abstractNumId="51" w15:restartNumberingAfterBreak="0">
    <w:multiLevelType w:val="hybridMultilevel"/>
    <w:lvl w:ilvl="0" w15:tentative="1">
      <w:start w:val="1"/>
      <w:numFmt w:val="decimal"/>
      <w:lvlText w:val="%1."/>
      <w:lvlJc w:val="start"/>
      <w:pPr>
        <w:ind w:left="720" w:hanging="360"/>
      </w:pPr>
    </w:lvl>
  </w:abstractNum>
  <w:abstractNum w:abstractNumId="52" w15:restartNumberingAfterBreak="0">
    <w:multiLevelType w:val="hybridMultilevel"/>
    <w:lvl w:ilvl="0" w15:tentative="1">
      <w:start w:val="1"/>
      <w:numFmt w:val="decimal"/>
      <w:lvlText w:val="%1."/>
      <w:lvlJc w:val="start"/>
      <w:pPr>
        <w:ind w:left="720" w:hanging="360"/>
      </w:pPr>
    </w:lvl>
  </w:abstractNum>
  <w:abstractNum w:abstractNumId="53" w15:restartNumberingAfterBreak="0">
    <w:multiLevelType w:val="hybridMultilevel"/>
    <w:lvl w:ilvl="0" w15:tentative="1">
      <w:start w:val="1"/>
      <w:numFmt w:val="decimal"/>
      <w:lvlText w:val="%1."/>
      <w:lvlJc w:val="start"/>
      <w:pPr>
        <w:ind w:left="720" w:hanging="360"/>
      </w:pPr>
    </w:lvl>
  </w:abstractNum>
  <w:abstractNum w:abstractNumId="54" w15:restartNumberingAfterBreak="0">
    <w:multiLevelType w:val="hybridMultilevel"/>
    <w:lvl w:ilvl="0" w15:tentative="1">
      <w:start w:val="1"/>
      <w:numFmt w:val="decimal"/>
      <w:lvlText w:val="%1."/>
      <w:lvlJc w:val="start"/>
      <w:pPr>
        <w:ind w:left="720" w:hanging="360"/>
      </w:pPr>
    </w:lvl>
  </w:abstractNum>
  <w:abstractNum w:abstractNumId="5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16"/>
    <w:lvlOverride w:ilvl="0">
      <w:startOverride w:val="1"/>
    </w:lvlOverride>
  </w:num>
  <w:num w:numId="9">
    <w:abstractNumId w:val="17"/>
    <w:lvlOverride w:ilvl="0">
      <w:startOverride w:val="1"/>
    </w:lvlOverride>
  </w:num>
  <w:num w:numId="10">
    <w:abstractNumId w:val="18"/>
    <w:lvlOverride w:ilvl="0">
      <w:startOverride w:val="1"/>
    </w:lvlOverride>
  </w:num>
  <w:num w:numId="11">
    <w:abstractNumId w:val="19"/>
    <w:lvlOverride w:ilvl="0">
      <w:startOverride w:val="1"/>
    </w:lvlOverride>
  </w:num>
  <w:num w:numId="12">
    <w:abstractNumId w:val="20"/>
    <w:lvlOverride w:ilvl="0">
      <w:startOverride w:val="1"/>
    </w:lvlOverride>
  </w:num>
  <w:num w:numId="13">
    <w:abstractNumId w:val="21"/>
    <w:lvlOverride w:ilvl="0">
      <w:startOverride w:val="1"/>
    </w:lvlOverride>
  </w:num>
  <w:num w:numId="14">
    <w:abstractNumId w:val="22"/>
    <w:lvlOverride w:ilvl="0">
      <w:startOverride w:val="1"/>
    </w:lvlOverride>
  </w:num>
  <w:num w:numId="15">
    <w:abstractNumId w:val="23"/>
    <w:lvlOverride w:ilvl="0">
      <w:startOverride w:val="1"/>
    </w:lvlOverride>
  </w:num>
  <w:num w:numId="16">
    <w:abstractNumId w:val="25"/>
    <w:lvlOverride w:ilvl="0">
      <w:startOverride w:val="1"/>
    </w:lvlOverride>
  </w:num>
  <w:num w:numId="17">
    <w:abstractNumId w:val="28"/>
    <w:lvlOverride w:ilvl="0">
      <w:startOverride w:val="1"/>
    </w:lvlOverride>
  </w:num>
  <w:num w:numId="18">
    <w:abstractNumId w:val="29"/>
    <w:lvlOverride w:ilvl="0">
      <w:startOverride w:val="1"/>
    </w:lvlOverride>
  </w:num>
  <w:num w:numId="19">
    <w:abstractNumId w:val="30"/>
    <w:lvlOverride w:ilvl="0">
      <w:startOverride w:val="1"/>
    </w:lvlOverride>
  </w:num>
  <w:num w:numId="20">
    <w:abstractNumId w:val="31"/>
    <w:lvlOverride w:ilvl="0">
      <w:startOverride w:val="1"/>
    </w:lvlOverride>
  </w:num>
  <w:num w:numId="21">
    <w:abstractNumId w:val="33"/>
    <w:lvlOverride w:ilvl="0">
      <w:startOverride w:val="1"/>
    </w:lvlOverride>
  </w:num>
  <w:num w:numId="22">
    <w:abstractNumId w:val="35"/>
    <w:lvlOverride w:ilvl="0">
      <w:startOverride w:val="1"/>
    </w:lvlOverride>
  </w:num>
  <w:num w:numId="23">
    <w:abstractNumId w:val="36"/>
    <w:lvlOverride w:ilvl="0">
      <w:startOverride w:val="1"/>
    </w:lvlOverride>
  </w:num>
  <w:num w:numId="24">
    <w:abstractNumId w:val="37"/>
    <w:lvlOverride w:ilvl="0">
      <w:startOverride w:val="1"/>
    </w:lvlOverride>
  </w:num>
  <w:num w:numId="25">
    <w:abstractNumId w:val="38"/>
    <w:lvlOverride w:ilvl="0">
      <w:startOverride w:val="1"/>
    </w:lvlOverride>
  </w:num>
  <w:num w:numId="26">
    <w:abstractNumId w:val="39"/>
    <w:lvlOverride w:ilvl="0">
      <w:startOverride w:val="1"/>
    </w:lvlOverride>
  </w:num>
  <w:num w:numId="27">
    <w:abstractNumId w:val="40"/>
    <w:lvlOverride w:ilvl="0">
      <w:startOverride w:val="1"/>
    </w:lvlOverride>
  </w:num>
  <w:num w:numId="28">
    <w:abstractNumId w:val="41"/>
    <w:lvlOverride w:ilvl="0">
      <w:startOverride w:val="1"/>
    </w:lvlOverride>
  </w:num>
  <w:num w:numId="29">
    <w:abstractNumId w:val="42"/>
    <w:lvlOverride w:ilvl="0">
      <w:startOverride w:val="1"/>
    </w:lvlOverride>
  </w:num>
  <w:num w:numId="30">
    <w:abstractNumId w:val="43"/>
    <w:lvlOverride w:ilvl="0">
      <w:startOverride w:val="1"/>
    </w:lvlOverride>
  </w:num>
  <w:num w:numId="31">
    <w:abstractNumId w:val="44"/>
    <w:lvlOverride w:ilvl="0">
      <w:startOverride w:val="1"/>
    </w:lvlOverride>
  </w:num>
  <w:num w:numId="32">
    <w:abstractNumId w:val="49"/>
    <w:lvlOverride w:ilvl="0">
      <w:startOverride w:val="1"/>
    </w:lvlOverride>
  </w:num>
  <w:num w:numId="33">
    <w:abstractNumId w:val="50"/>
    <w:lvlOverride w:ilvl="0">
      <w:startOverride w:val="1"/>
    </w:lvlOverride>
  </w:num>
  <w:num w:numId="34">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00" w:before="360"/>
    </w:pPr>
    <w:rPr>
      <w:rFonts w:ascii="Times New Roman" w:cs="Times New Roman" w:eastAsia="Times New Roman" w:hAnsi="Times New Roman"/>
      <w:b/>
      <w:bCs/>
      <w:caps/>
      <w:color w:val="1F3651"/>
      <w:sz w:val="28"/>
      <w:szCs w:val="28"/>
    </w:rPr>
  </w:style>
  <w:style w:type="paragraph" w:styleId="Heading2">
    <w:name w:val="Heading 2"/>
    <w:basedOn w:val="Normal"/>
    <w:next w:val="Normal"/>
    <w:qFormat/>
    <w:pPr>
      <w:keepNext/>
      <w:spacing w:after="140" w:before="280"/>
    </w:pPr>
    <w:rPr>
      <w:rFonts w:ascii="Times New Roman" w:cs="Times New Roman" w:eastAsia="Times New Roman" w:hAnsi="Times New Roman"/>
      <w:b/>
      <w:bCs/>
      <w:smallCaps/>
      <w:color w:val="1F3651"/>
      <w:sz w:val="26"/>
      <w:szCs w:val="26"/>
    </w:rPr>
  </w:style>
  <w:style w:type="paragraph" w:styleId="Heading3">
    <w:name w:val="Heading 3"/>
    <w:basedOn w:val="Normal"/>
    <w:next w:val="Normal"/>
    <w:qFormat/>
    <w:pPr>
      <w:keepNext/>
      <w:spacing w:after="120" w:before="200"/>
    </w:pPr>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2026-09-25T14:30:24.935Z</dcterms:created>
  <dcterms:modified xsi:type="dcterms:W3CDTF">2026-09-25T14:30:24.939Z</dcterms:modified>
</cp:coreProperties>
</file>

<file path=docProps/custom.xml><?xml version="1.0" encoding="utf-8"?>
<Properties xmlns="http://schemas.openxmlformats.org/officeDocument/2006/custom-properties" xmlns:vt="http://schemas.openxmlformats.org/officeDocument/2006/docPropsVTypes"/>
</file>