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5EB9" w:rsidRPr="004A0DD4" w:rsidRDefault="00AF5EB9">
      <w:pPr>
        <w:rPr>
          <w:rFonts w:cstheme="minorHAnsi"/>
          <w:b/>
        </w:rPr>
      </w:pPr>
      <w:r>
        <w:rPr>
          <w:b/>
        </w:rPr>
        <w:t xml:space="preserve">PAESI EUROPEI: </w:t>
      </w:r>
      <w:r w:rsidR="004A0DD4" w:rsidRPr="004A0DD4">
        <w:rPr>
          <w:rFonts w:cstheme="minorHAnsi"/>
          <w:color w:val="222222"/>
          <w:shd w:val="clear" w:color="auto" w:fill="FFFFFF"/>
        </w:rPr>
        <w:t>Austria, Belgio, Bulgaria, Cipro, Croazia, Danimarca, Estonia, Finlandia, </w:t>
      </w:r>
      <w:r w:rsidR="004A0DD4" w:rsidRPr="004A0DD4">
        <w:rPr>
          <w:rFonts w:cstheme="minorHAnsi"/>
          <w:bCs/>
          <w:color w:val="222222"/>
          <w:shd w:val="clear" w:color="auto" w:fill="FFFFFF"/>
        </w:rPr>
        <w:t>Francia</w:t>
      </w:r>
      <w:r w:rsidR="004A0DD4" w:rsidRPr="004A0DD4">
        <w:rPr>
          <w:rFonts w:cstheme="minorHAnsi"/>
          <w:color w:val="222222"/>
          <w:shd w:val="clear" w:color="auto" w:fill="FFFFFF"/>
        </w:rPr>
        <w:t>, </w:t>
      </w:r>
      <w:r w:rsidR="004A0DD4" w:rsidRPr="004A0DD4">
        <w:rPr>
          <w:rFonts w:cstheme="minorHAnsi"/>
          <w:bCs/>
          <w:color w:val="222222"/>
          <w:shd w:val="clear" w:color="auto" w:fill="FFFFFF"/>
        </w:rPr>
        <w:t>Germania</w:t>
      </w:r>
      <w:r w:rsidR="004A0DD4" w:rsidRPr="004A0DD4">
        <w:rPr>
          <w:rFonts w:cstheme="minorHAnsi"/>
          <w:color w:val="222222"/>
          <w:shd w:val="clear" w:color="auto" w:fill="FFFFFF"/>
        </w:rPr>
        <w:t>, Grecia, Irlanda, Italia, Lettonia, Lituania, Lussemburgo, Malta, Paesi Bassi, Polonia, Portogallo, Repubblica Ceca, Romania, Slovacchia, Slovenia, </w:t>
      </w:r>
      <w:r w:rsidR="004A0DD4" w:rsidRPr="004A0DD4">
        <w:rPr>
          <w:rFonts w:cstheme="minorHAnsi"/>
          <w:bCs/>
          <w:color w:val="222222"/>
          <w:shd w:val="clear" w:color="auto" w:fill="FFFFFF"/>
        </w:rPr>
        <w:t>Spagna</w:t>
      </w:r>
      <w:r w:rsidR="004A0DD4" w:rsidRPr="004A0DD4">
        <w:rPr>
          <w:rFonts w:cstheme="minorHAnsi"/>
          <w:color w:val="222222"/>
          <w:shd w:val="clear" w:color="auto" w:fill="FFFFFF"/>
        </w:rPr>
        <w:t>, Svezia e Ungheria</w:t>
      </w:r>
      <w:r w:rsidR="004A0DD4">
        <w:rPr>
          <w:rFonts w:cstheme="minorHAnsi"/>
          <w:color w:val="222222"/>
          <w:shd w:val="clear" w:color="auto" w:fill="FFFFFF"/>
        </w:rPr>
        <w:t>.</w:t>
      </w:r>
    </w:p>
    <w:p w:rsidR="00184B26" w:rsidRPr="00AF5EB9" w:rsidRDefault="003B4199">
      <w:pPr>
        <w:rPr>
          <w:b/>
        </w:rPr>
      </w:pPr>
      <w:r w:rsidRPr="00AF5EB9">
        <w:rPr>
          <w:b/>
        </w:rPr>
        <w:t>DATI GENERALI PER OGNI PAESE EUROPEO:</w:t>
      </w:r>
    </w:p>
    <w:p w:rsidR="003B4199" w:rsidRDefault="00FC473B" w:rsidP="003B4199">
      <w:pPr>
        <w:pStyle w:val="Paragrafoelenco"/>
        <w:numPr>
          <w:ilvl w:val="0"/>
          <w:numId w:val="1"/>
        </w:numPr>
      </w:pPr>
      <w:r>
        <w:t>Tasso di corruzione (CIA)</w:t>
      </w:r>
    </w:p>
    <w:p w:rsidR="00FC473B" w:rsidRDefault="00FC473B" w:rsidP="003B4199">
      <w:pPr>
        <w:pStyle w:val="Paragrafoelenco"/>
        <w:numPr>
          <w:ilvl w:val="0"/>
          <w:numId w:val="1"/>
        </w:numPr>
      </w:pPr>
      <w:r>
        <w:t>Pil Pro Capite (CIA)</w:t>
      </w:r>
    </w:p>
    <w:p w:rsidR="00FC473B" w:rsidRDefault="00FC473B" w:rsidP="003B4199">
      <w:pPr>
        <w:pStyle w:val="Paragrafoelenco"/>
        <w:numPr>
          <w:ilvl w:val="0"/>
          <w:numId w:val="1"/>
        </w:numPr>
      </w:pPr>
      <w:r>
        <w:t xml:space="preserve">Debito pubblico </w:t>
      </w:r>
      <w:r w:rsidR="00A11A41">
        <w:t xml:space="preserve">% </w:t>
      </w:r>
      <w:r>
        <w:t>(CIA)</w:t>
      </w:r>
    </w:p>
    <w:p w:rsidR="00FC473B" w:rsidRDefault="00C22D3C" w:rsidP="003B4199">
      <w:pPr>
        <w:pStyle w:val="Paragrafoelenco"/>
        <w:numPr>
          <w:ilvl w:val="0"/>
          <w:numId w:val="1"/>
        </w:numPr>
      </w:pPr>
      <w:r>
        <w:t>Esportazione di beni e servizi in % (EUROSTAT)</w:t>
      </w:r>
    </w:p>
    <w:p w:rsidR="00C22D3C" w:rsidRDefault="00C22D3C" w:rsidP="003B4199">
      <w:pPr>
        <w:pStyle w:val="Paragrafoelenco"/>
        <w:numPr>
          <w:ilvl w:val="0"/>
          <w:numId w:val="1"/>
        </w:numPr>
      </w:pPr>
      <w:r>
        <w:t>Importazione di beni e servizi in % (EUROSTAT)</w:t>
      </w:r>
    </w:p>
    <w:p w:rsidR="00C22D3C" w:rsidRDefault="001B7257" w:rsidP="003B4199">
      <w:pPr>
        <w:pStyle w:val="Paragrafoelenco"/>
        <w:numPr>
          <w:ilvl w:val="0"/>
          <w:numId w:val="1"/>
        </w:numPr>
      </w:pPr>
      <w:r>
        <w:t>Costo per avviare un’attività in %</w:t>
      </w:r>
      <w:r w:rsidR="003438C2">
        <w:t xml:space="preserve"> (WEFORUM)</w:t>
      </w:r>
    </w:p>
    <w:p w:rsidR="001B7257" w:rsidRDefault="001B7257" w:rsidP="003B4199">
      <w:pPr>
        <w:pStyle w:val="Paragrafoelenco"/>
        <w:numPr>
          <w:ilvl w:val="0"/>
          <w:numId w:val="1"/>
        </w:numPr>
      </w:pPr>
      <w:r>
        <w:t>Tempo per avviare un’attività in giorni</w:t>
      </w:r>
      <w:r w:rsidR="003438C2">
        <w:t xml:space="preserve"> (WEFORUM</w:t>
      </w:r>
      <w:r w:rsidR="008E6C47">
        <w:t xml:space="preserve"> o THEWORLDBANK</w:t>
      </w:r>
      <w:r w:rsidR="003438C2">
        <w:t>)</w:t>
      </w:r>
    </w:p>
    <w:p w:rsidR="003438C2" w:rsidRDefault="000F1AB3" w:rsidP="003B4199">
      <w:pPr>
        <w:pStyle w:val="Paragrafoelenco"/>
        <w:numPr>
          <w:ilvl w:val="0"/>
          <w:numId w:val="1"/>
        </w:numPr>
      </w:pPr>
      <w:r>
        <w:t>Tempo per preparare e pagare le tasse in ore (THEWORLDBANK)</w:t>
      </w:r>
    </w:p>
    <w:p w:rsidR="001B7257" w:rsidRDefault="002B5E0E" w:rsidP="002B5E0E">
      <w:pPr>
        <w:pStyle w:val="Paragrafoelenco"/>
        <w:numPr>
          <w:ilvl w:val="0"/>
          <w:numId w:val="1"/>
        </w:numPr>
      </w:pPr>
      <w:r>
        <w:t>Aliquota fiscale totale e contributiva in % sul profitto (THEWORLDBANK)</w:t>
      </w:r>
    </w:p>
    <w:p w:rsidR="008A6933" w:rsidRDefault="008A6933" w:rsidP="008A6933"/>
    <w:p w:rsidR="001234C6" w:rsidRPr="001234C6" w:rsidRDefault="001234C6" w:rsidP="008A6933">
      <w:pPr>
        <w:rPr>
          <w:b/>
        </w:rPr>
      </w:pPr>
      <w:r w:rsidRPr="001234C6">
        <w:rPr>
          <w:b/>
        </w:rPr>
        <w:t>SETTORE AGRICOLTURA:</w:t>
      </w:r>
    </w:p>
    <w:p w:rsidR="001234C6" w:rsidRDefault="001234C6" w:rsidP="001234C6">
      <w:pPr>
        <w:pStyle w:val="Paragrafoelenco"/>
        <w:numPr>
          <w:ilvl w:val="0"/>
          <w:numId w:val="1"/>
        </w:numPr>
      </w:pPr>
      <w:r>
        <w:t>Numero di aziende agricole e percentuale di fatturato (ISTAT)</w:t>
      </w:r>
    </w:p>
    <w:p w:rsidR="001234C6" w:rsidRDefault="001234C6" w:rsidP="001234C6">
      <w:pPr>
        <w:pStyle w:val="Paragrafoelenco"/>
        <w:numPr>
          <w:ilvl w:val="0"/>
          <w:numId w:val="1"/>
        </w:numPr>
      </w:pPr>
      <w:r>
        <w:t>Fatturato totale del settore agricolo (ISTAT)</w:t>
      </w:r>
    </w:p>
    <w:p w:rsidR="001234C6" w:rsidRDefault="001234C6" w:rsidP="001234C6">
      <w:pPr>
        <w:pStyle w:val="Paragrafoelenco"/>
        <w:numPr>
          <w:ilvl w:val="0"/>
          <w:numId w:val="1"/>
        </w:numPr>
      </w:pPr>
      <w:r>
        <w:t>Produzione totale (OECD)</w:t>
      </w:r>
    </w:p>
    <w:p w:rsidR="001234C6" w:rsidRDefault="001234C6" w:rsidP="001234C6">
      <w:pPr>
        <w:pStyle w:val="Paragrafoelenco"/>
        <w:numPr>
          <w:ilvl w:val="0"/>
          <w:numId w:val="1"/>
        </w:numPr>
      </w:pPr>
      <w:r>
        <w:t>Consumazione totale (OECD)</w:t>
      </w:r>
    </w:p>
    <w:p w:rsidR="001234C6" w:rsidRDefault="001234C6" w:rsidP="001234C6">
      <w:pPr>
        <w:pStyle w:val="Paragrafoelenco"/>
        <w:numPr>
          <w:ilvl w:val="0"/>
          <w:numId w:val="1"/>
        </w:numPr>
      </w:pPr>
      <w:r>
        <w:t>Quantità di territorio occupata dal settore agricolo in ettari (FAOSTAT, EUROSTAT)</w:t>
      </w:r>
    </w:p>
    <w:p w:rsidR="001234C6" w:rsidRDefault="001234C6" w:rsidP="001234C6">
      <w:pPr>
        <w:pStyle w:val="Paragrafoelenco"/>
        <w:numPr>
          <w:ilvl w:val="0"/>
          <w:numId w:val="1"/>
        </w:numPr>
      </w:pPr>
      <w:r>
        <w:t>Costi totali (ISTAT, OECD)</w:t>
      </w:r>
    </w:p>
    <w:p w:rsidR="001234C6" w:rsidRDefault="001C7D44" w:rsidP="001234C6">
      <w:pPr>
        <w:pStyle w:val="Paragrafoelenco"/>
        <w:numPr>
          <w:ilvl w:val="0"/>
          <w:numId w:val="1"/>
        </w:numPr>
      </w:pPr>
      <w:r>
        <w:t>Importazione e esportazione (EUROSTAT, FAOSTAT)</w:t>
      </w:r>
    </w:p>
    <w:p w:rsidR="001C7D44" w:rsidRDefault="002C40A0" w:rsidP="001234C6">
      <w:pPr>
        <w:pStyle w:val="Paragrafoelenco"/>
        <w:numPr>
          <w:ilvl w:val="0"/>
          <w:numId w:val="1"/>
        </w:numPr>
      </w:pPr>
      <w:r>
        <w:t>Superficie coltivata biologicamente (EUROSTAT)</w:t>
      </w:r>
    </w:p>
    <w:p w:rsidR="002C40A0" w:rsidRDefault="0024798C" w:rsidP="002C40A0">
      <w:pPr>
        <w:rPr>
          <w:b/>
        </w:rPr>
      </w:pPr>
      <w:r w:rsidRPr="00392226">
        <w:rPr>
          <w:b/>
        </w:rPr>
        <w:t>SETTORE TRASPORTI:</w:t>
      </w:r>
    </w:p>
    <w:p w:rsidR="00392226" w:rsidRDefault="00392226" w:rsidP="00392226">
      <w:pPr>
        <w:pStyle w:val="Paragrafoelenco"/>
        <w:numPr>
          <w:ilvl w:val="0"/>
          <w:numId w:val="1"/>
        </w:numPr>
      </w:pPr>
      <w:r>
        <w:t>Numero aeroporti (CIA</w:t>
      </w:r>
      <w:r w:rsidR="00AF1F05">
        <w:t>, EUROSTAT, WEFORUM</w:t>
      </w:r>
      <w:r>
        <w:t>)</w:t>
      </w:r>
    </w:p>
    <w:p w:rsidR="00392226" w:rsidRDefault="00392226" w:rsidP="00392226">
      <w:pPr>
        <w:pStyle w:val="Paragrafoelenco"/>
        <w:numPr>
          <w:ilvl w:val="0"/>
          <w:numId w:val="1"/>
        </w:numPr>
      </w:pPr>
      <w:r>
        <w:t>Strade in km (CIA</w:t>
      </w:r>
      <w:r w:rsidR="00AF1F05">
        <w:t>, EUROSTAT, WEFORUM</w:t>
      </w:r>
      <w:r>
        <w:t>)</w:t>
      </w:r>
    </w:p>
    <w:p w:rsidR="00392226" w:rsidRDefault="00392226" w:rsidP="00392226">
      <w:pPr>
        <w:pStyle w:val="Paragrafoelenco"/>
        <w:numPr>
          <w:ilvl w:val="0"/>
          <w:numId w:val="1"/>
        </w:numPr>
      </w:pPr>
      <w:r>
        <w:t>Linee ferroviarie (CIA</w:t>
      </w:r>
      <w:r w:rsidR="00AF1F05">
        <w:t>, EUROSTAT, WEFORUM</w:t>
      </w:r>
      <w:r>
        <w:t>)</w:t>
      </w:r>
    </w:p>
    <w:p w:rsidR="00392226" w:rsidRDefault="00392226" w:rsidP="00392226">
      <w:pPr>
        <w:pStyle w:val="Paragrafoelenco"/>
        <w:numPr>
          <w:ilvl w:val="0"/>
          <w:numId w:val="1"/>
        </w:numPr>
      </w:pPr>
      <w:r>
        <w:t>Numero navi mercantili (CIA</w:t>
      </w:r>
      <w:r w:rsidR="00AF1F05">
        <w:t>, EUROSTAT, WEFORUM</w:t>
      </w:r>
      <w:r>
        <w:t>)</w:t>
      </w:r>
    </w:p>
    <w:p w:rsidR="00392226" w:rsidRDefault="00392226" w:rsidP="00392226">
      <w:pPr>
        <w:pStyle w:val="Paragrafoelenco"/>
        <w:numPr>
          <w:ilvl w:val="0"/>
          <w:numId w:val="1"/>
        </w:numPr>
      </w:pPr>
      <w:r>
        <w:t>Spese per investimenti nel settore trasporti (OECD)</w:t>
      </w:r>
    </w:p>
    <w:p w:rsidR="00392226" w:rsidRDefault="00392226" w:rsidP="00392226">
      <w:pPr>
        <w:pStyle w:val="Paragrafoelenco"/>
        <w:numPr>
          <w:ilvl w:val="0"/>
          <w:numId w:val="1"/>
        </w:numPr>
      </w:pPr>
      <w:r>
        <w:t>Spese per mantenimento nel settore trasporti (OECD)</w:t>
      </w:r>
    </w:p>
    <w:p w:rsidR="00392226" w:rsidRDefault="00595E5F" w:rsidP="00392226">
      <w:pPr>
        <w:pStyle w:val="Paragrafoelenco"/>
        <w:numPr>
          <w:ilvl w:val="0"/>
          <w:numId w:val="1"/>
        </w:numPr>
      </w:pPr>
      <w:r>
        <w:t>Numero di imprese del settore (EUROSTAT)</w:t>
      </w:r>
    </w:p>
    <w:p w:rsidR="00595E5F" w:rsidRDefault="00000F12" w:rsidP="00392226">
      <w:pPr>
        <w:pStyle w:val="Paragrafoelenco"/>
        <w:numPr>
          <w:ilvl w:val="0"/>
          <w:numId w:val="1"/>
        </w:numPr>
      </w:pPr>
      <w:r>
        <w:t>Qualità delle strade (WEFORUM)</w:t>
      </w:r>
    </w:p>
    <w:p w:rsidR="00000F12" w:rsidRDefault="000C66F8" w:rsidP="00392226">
      <w:pPr>
        <w:pStyle w:val="Paragrafoelenco"/>
        <w:numPr>
          <w:ilvl w:val="0"/>
          <w:numId w:val="1"/>
        </w:numPr>
      </w:pPr>
      <w:r>
        <w:t>Efficienza dei servizi ferroviari (WEFORUM)</w:t>
      </w:r>
    </w:p>
    <w:p w:rsidR="000C66F8" w:rsidRDefault="00815CFA" w:rsidP="00392226">
      <w:pPr>
        <w:pStyle w:val="Paragrafoelenco"/>
        <w:numPr>
          <w:ilvl w:val="0"/>
          <w:numId w:val="1"/>
        </w:numPr>
      </w:pPr>
      <w:r>
        <w:t>Efficienza dei servizi aerei (WEFORUM)</w:t>
      </w:r>
    </w:p>
    <w:p w:rsidR="00815CFA" w:rsidRPr="00392226" w:rsidRDefault="008C060B" w:rsidP="00392226">
      <w:pPr>
        <w:pStyle w:val="Paragrafoelenco"/>
        <w:numPr>
          <w:ilvl w:val="0"/>
          <w:numId w:val="1"/>
        </w:numPr>
      </w:pPr>
      <w:r>
        <w:t>Efficienza dei servizi marini (WEFORUM)</w:t>
      </w:r>
    </w:p>
    <w:p w:rsidR="0024798C" w:rsidRPr="00E00797" w:rsidRDefault="00E00797" w:rsidP="002C40A0">
      <w:pPr>
        <w:rPr>
          <w:b/>
        </w:rPr>
      </w:pPr>
      <w:r w:rsidRPr="00E00797">
        <w:rPr>
          <w:b/>
        </w:rPr>
        <w:t>SETTORE AUTOMOTIVE:</w:t>
      </w:r>
    </w:p>
    <w:p w:rsidR="00E00797" w:rsidRDefault="00E00797" w:rsidP="00E00797">
      <w:pPr>
        <w:pStyle w:val="Paragrafoelenco"/>
        <w:numPr>
          <w:ilvl w:val="0"/>
          <w:numId w:val="1"/>
        </w:numPr>
      </w:pPr>
      <w:r>
        <w:t>Produzione di tutti i veicoli (OICA)</w:t>
      </w:r>
    </w:p>
    <w:p w:rsidR="00E00797" w:rsidRDefault="00E00797" w:rsidP="00E00797">
      <w:pPr>
        <w:pStyle w:val="Paragrafoelenco"/>
        <w:numPr>
          <w:ilvl w:val="0"/>
          <w:numId w:val="1"/>
        </w:numPr>
      </w:pPr>
      <w:r>
        <w:t>Vendita di tutti i veicoli (OICA)</w:t>
      </w:r>
    </w:p>
    <w:p w:rsidR="00E00797" w:rsidRDefault="00E00797" w:rsidP="00E00797">
      <w:pPr>
        <w:pStyle w:val="Paragrafoelenco"/>
        <w:numPr>
          <w:ilvl w:val="0"/>
          <w:numId w:val="1"/>
        </w:numPr>
      </w:pPr>
      <w:r>
        <w:t>Esportazione in € (EUROSTAT)</w:t>
      </w:r>
    </w:p>
    <w:p w:rsidR="00E00797" w:rsidRDefault="00E00797" w:rsidP="00E00797">
      <w:pPr>
        <w:pStyle w:val="Paragrafoelenco"/>
        <w:numPr>
          <w:ilvl w:val="0"/>
          <w:numId w:val="1"/>
        </w:numPr>
      </w:pPr>
      <w:r>
        <w:t>Importazione in € (EUROSTAT)</w:t>
      </w:r>
    </w:p>
    <w:p w:rsidR="00E00797" w:rsidRDefault="00716288" w:rsidP="00E00797">
      <w:pPr>
        <w:pStyle w:val="Paragrafoelenco"/>
        <w:numPr>
          <w:ilvl w:val="0"/>
          <w:numId w:val="1"/>
        </w:numPr>
      </w:pPr>
      <w:r>
        <w:t>Numero di imprese (EUROSTAT)</w:t>
      </w:r>
    </w:p>
    <w:p w:rsidR="00596A89" w:rsidRDefault="00596A89" w:rsidP="00596A89"/>
    <w:p w:rsidR="00596A89" w:rsidRDefault="00596A89" w:rsidP="00596A89"/>
    <w:p w:rsidR="00716288" w:rsidRPr="00F837D2" w:rsidRDefault="006542F2" w:rsidP="006542F2">
      <w:pPr>
        <w:rPr>
          <w:b/>
        </w:rPr>
      </w:pPr>
      <w:r w:rsidRPr="00F837D2">
        <w:rPr>
          <w:b/>
        </w:rPr>
        <w:lastRenderedPageBreak/>
        <w:t>SETTORE SOSTENIBILITA’:</w:t>
      </w:r>
    </w:p>
    <w:p w:rsidR="006542F2" w:rsidRDefault="00F837D2" w:rsidP="00F837D2">
      <w:pPr>
        <w:pStyle w:val="Paragrafoelenco"/>
        <w:numPr>
          <w:ilvl w:val="0"/>
          <w:numId w:val="1"/>
        </w:numPr>
      </w:pPr>
      <w:r>
        <w:t>Esposizione all’inquinamento (EUROSTAT)</w:t>
      </w:r>
    </w:p>
    <w:p w:rsidR="00F837D2" w:rsidRDefault="00F837D2" w:rsidP="00F837D2">
      <w:pPr>
        <w:pStyle w:val="Paragrafoelenco"/>
        <w:numPr>
          <w:ilvl w:val="0"/>
          <w:numId w:val="1"/>
        </w:numPr>
      </w:pPr>
      <w:r>
        <w:t>Consumo energetico finale (EUROSTAT)</w:t>
      </w:r>
    </w:p>
    <w:p w:rsidR="00F837D2" w:rsidRDefault="00F837D2" w:rsidP="00F837D2">
      <w:pPr>
        <w:pStyle w:val="Paragrafoelenco"/>
        <w:numPr>
          <w:ilvl w:val="0"/>
          <w:numId w:val="1"/>
        </w:numPr>
      </w:pPr>
      <w:r>
        <w:t>Quota di energia rinnovabile (EUROSTAT)</w:t>
      </w:r>
    </w:p>
    <w:p w:rsidR="00F837D2" w:rsidRDefault="00F837D2" w:rsidP="00F837D2">
      <w:pPr>
        <w:pStyle w:val="Paragrafoelenco"/>
        <w:numPr>
          <w:ilvl w:val="0"/>
          <w:numId w:val="1"/>
        </w:numPr>
      </w:pPr>
      <w:r>
        <w:t>Tasso di riciclaggio di rifiuti urbani (EUROSTAT)</w:t>
      </w:r>
    </w:p>
    <w:p w:rsidR="00F837D2" w:rsidRDefault="00F837D2" w:rsidP="00F837D2">
      <w:pPr>
        <w:pStyle w:val="Paragrafoelenco"/>
        <w:numPr>
          <w:ilvl w:val="0"/>
          <w:numId w:val="1"/>
        </w:numPr>
      </w:pPr>
      <w:r>
        <w:t>Tasso di utilizzo del materiale circolante (EUROSTAT)</w:t>
      </w:r>
    </w:p>
    <w:p w:rsidR="00F837D2" w:rsidRDefault="00F837D2" w:rsidP="00F837D2">
      <w:pPr>
        <w:pStyle w:val="Paragrafoelenco"/>
        <w:numPr>
          <w:ilvl w:val="0"/>
          <w:numId w:val="1"/>
        </w:numPr>
      </w:pPr>
      <w:r>
        <w:t>Emissione di gas a effetto serra (EUROSTAT)</w:t>
      </w:r>
    </w:p>
    <w:p w:rsidR="0077583B" w:rsidRDefault="0077583B" w:rsidP="0077583B">
      <w:pPr>
        <w:pStyle w:val="Paragrafoelenco"/>
        <w:numPr>
          <w:ilvl w:val="0"/>
          <w:numId w:val="1"/>
        </w:numPr>
      </w:pPr>
      <w:r>
        <w:t>Indice di eco-innovazione (EUROSTAT)</w:t>
      </w:r>
    </w:p>
    <w:p w:rsidR="0077583B" w:rsidRDefault="0077583B" w:rsidP="0077583B">
      <w:pPr>
        <w:pStyle w:val="Paragrafoelenco"/>
        <w:numPr>
          <w:ilvl w:val="0"/>
          <w:numId w:val="1"/>
        </w:numPr>
      </w:pPr>
      <w:r>
        <w:t xml:space="preserve">Spese nazionali per la tutela dell’ambiente per caratteristiche economiche </w:t>
      </w:r>
      <w:r w:rsidR="00D62C2F">
        <w:t>(EUROSTAT)</w:t>
      </w:r>
    </w:p>
    <w:p w:rsidR="00392226" w:rsidRPr="005B3657" w:rsidRDefault="00BB060F" w:rsidP="002C40A0">
      <w:pPr>
        <w:rPr>
          <w:b/>
        </w:rPr>
      </w:pPr>
      <w:r w:rsidRPr="005B3657">
        <w:rPr>
          <w:b/>
        </w:rPr>
        <w:t>SETTORE TECNOLOGIA:</w:t>
      </w:r>
      <w:r w:rsidR="00833FB7">
        <w:rPr>
          <w:b/>
        </w:rPr>
        <w:t xml:space="preserve"> </w:t>
      </w:r>
      <w:r w:rsidR="00833FB7" w:rsidRPr="00833FB7">
        <w:t>(OECD E EUROSTAT)</w:t>
      </w:r>
    </w:p>
    <w:p w:rsidR="00BB060F" w:rsidRDefault="00C86F51" w:rsidP="005B3657">
      <w:pPr>
        <w:pStyle w:val="Paragrafoelenco"/>
        <w:numPr>
          <w:ilvl w:val="0"/>
          <w:numId w:val="1"/>
        </w:numPr>
      </w:pPr>
      <w:r>
        <w:t>Persone impiegate nel lavoro con computer</w:t>
      </w:r>
    </w:p>
    <w:p w:rsidR="00C86F51" w:rsidRDefault="00C86F51" w:rsidP="005B3657">
      <w:pPr>
        <w:pStyle w:val="Paragrafoelenco"/>
        <w:numPr>
          <w:ilvl w:val="0"/>
          <w:numId w:val="1"/>
        </w:numPr>
      </w:pPr>
      <w:r>
        <w:t>Aziende con connessione a banda larga</w:t>
      </w:r>
    </w:p>
    <w:p w:rsidR="00C86F51" w:rsidRDefault="00C86F51" w:rsidP="005B3657">
      <w:pPr>
        <w:pStyle w:val="Paragrafoelenco"/>
        <w:numPr>
          <w:ilvl w:val="0"/>
          <w:numId w:val="1"/>
        </w:numPr>
      </w:pPr>
      <w:r>
        <w:t>Acquisti su internet da parte di pr</w:t>
      </w:r>
      <w:r w:rsidR="00754FD0">
        <w:t>ivati</w:t>
      </w:r>
    </w:p>
    <w:p w:rsidR="00171292" w:rsidRDefault="004231E0" w:rsidP="005B3657">
      <w:pPr>
        <w:pStyle w:val="Paragrafoelenco"/>
        <w:numPr>
          <w:ilvl w:val="0"/>
          <w:numId w:val="1"/>
        </w:numPr>
      </w:pPr>
      <w:r>
        <w:t>Imprese che hanno ricevuto ordini online</w:t>
      </w:r>
    </w:p>
    <w:p w:rsidR="004231E0" w:rsidRDefault="003C450C" w:rsidP="005B3657">
      <w:pPr>
        <w:pStyle w:val="Paragrafoelenco"/>
        <w:numPr>
          <w:ilvl w:val="0"/>
          <w:numId w:val="1"/>
        </w:numPr>
      </w:pPr>
      <w:r>
        <w:t>Quota del fatturato delle imprese sul commercio elettronico</w:t>
      </w:r>
    </w:p>
    <w:p w:rsidR="003C450C" w:rsidRDefault="00833FB7" w:rsidP="005B3657">
      <w:pPr>
        <w:pStyle w:val="Paragrafoelenco"/>
        <w:numPr>
          <w:ilvl w:val="0"/>
          <w:numId w:val="1"/>
        </w:numPr>
      </w:pPr>
      <w:r>
        <w:t>Livello di competenze digitali</w:t>
      </w:r>
    </w:p>
    <w:p w:rsidR="00833FB7" w:rsidRDefault="00833FB7" w:rsidP="00833FB7">
      <w:pPr>
        <w:pStyle w:val="Paragrafoelenco"/>
        <w:numPr>
          <w:ilvl w:val="0"/>
          <w:numId w:val="1"/>
        </w:numPr>
      </w:pPr>
      <w:r>
        <w:t>Imprese che impiegano specialisti in ICT</w:t>
      </w:r>
    </w:p>
    <w:p w:rsidR="00833FB7" w:rsidRDefault="00833FB7" w:rsidP="00833FB7">
      <w:pPr>
        <w:pStyle w:val="Paragrafoelenco"/>
        <w:numPr>
          <w:ilvl w:val="0"/>
          <w:numId w:val="1"/>
        </w:numPr>
      </w:pPr>
      <w:r>
        <w:t>Percentuale del settore ICT in PIL</w:t>
      </w:r>
    </w:p>
    <w:p w:rsidR="00833FB7" w:rsidRDefault="00833FB7" w:rsidP="00833FB7">
      <w:pPr>
        <w:pStyle w:val="Paragrafoelenco"/>
        <w:numPr>
          <w:ilvl w:val="0"/>
          <w:numId w:val="1"/>
        </w:numPr>
      </w:pPr>
      <w:r>
        <w:t>Demografia delle imprese per forme giuridiche</w:t>
      </w:r>
    </w:p>
    <w:p w:rsidR="00833FB7" w:rsidRDefault="00833FB7" w:rsidP="00833FB7">
      <w:pPr>
        <w:pStyle w:val="Paragrafoelenco"/>
        <w:numPr>
          <w:ilvl w:val="0"/>
          <w:numId w:val="1"/>
        </w:numPr>
      </w:pPr>
      <w:r>
        <w:t>Demografia aziendale per classe di dimensione</w:t>
      </w:r>
    </w:p>
    <w:p w:rsidR="00437EFE" w:rsidRDefault="00437EFE" w:rsidP="00437EFE">
      <w:r w:rsidRPr="00437EFE">
        <w:rPr>
          <w:b/>
        </w:rPr>
        <w:t>SETTORE RICERCA E SVILUPPO:</w:t>
      </w:r>
      <w:r>
        <w:t xml:space="preserve"> (EUROSTAT E OECD)</w:t>
      </w:r>
    </w:p>
    <w:p w:rsidR="002E00D4" w:rsidRDefault="002E00D4" w:rsidP="005C7AE3">
      <w:pPr>
        <w:pStyle w:val="Titolo2"/>
        <w:numPr>
          <w:ilvl w:val="0"/>
          <w:numId w:val="1"/>
        </w:numPr>
        <w:rPr>
          <w:rFonts w:asciiTheme="minorHAnsi" w:hAnsiTheme="minorHAnsi" w:cstheme="minorHAnsi"/>
          <w:color w:val="000000"/>
          <w:sz w:val="22"/>
          <w:szCs w:val="22"/>
        </w:rPr>
      </w:pPr>
      <w:r w:rsidRPr="005C7AE3">
        <w:rPr>
          <w:rFonts w:asciiTheme="minorHAnsi" w:hAnsiTheme="minorHAnsi" w:cstheme="minorHAnsi"/>
          <w:color w:val="000000"/>
          <w:sz w:val="22"/>
          <w:szCs w:val="22"/>
        </w:rPr>
        <w:t>Stanziamenti del bilancio pubblico per ricerca e sviluppo</w:t>
      </w:r>
    </w:p>
    <w:p w:rsidR="005C7AE3" w:rsidRPr="005C7AE3" w:rsidRDefault="005C7AE3" w:rsidP="005C7AE3">
      <w:pPr>
        <w:pStyle w:val="Paragrafoelenco"/>
        <w:spacing w:after="0" w:line="240" w:lineRule="auto"/>
        <w:rPr>
          <w:rFonts w:ascii="Times New Roman" w:eastAsia="Times New Roman" w:hAnsi="Times New Roman" w:cs="Times New Roman"/>
          <w:sz w:val="24"/>
          <w:szCs w:val="24"/>
          <w:lang w:eastAsia="it-IT"/>
        </w:rPr>
      </w:pPr>
      <w:r w:rsidRPr="005C7AE3">
        <w:rPr>
          <w:rFonts w:ascii="Arial" w:eastAsia="Times New Roman" w:hAnsi="Arial" w:cs="Arial"/>
          <w:color w:val="495D8E"/>
          <w:sz w:val="16"/>
          <w:szCs w:val="16"/>
          <w:shd w:val="clear" w:color="auto" w:fill="FFFFFF"/>
          <w:lang w:eastAsia="it-IT"/>
        </w:rPr>
        <w:t xml:space="preserve">Questa tabella presenta i dati sugli stanziamenti del bilancio del governo per la RD (GBARD) per obiettivo socio-economico (SEO), utilizzando la classificazione NABS 2007, ovvero: esplorazione e sfruttamento della Terra, ambiente, esplorazione e sfruttamento dello spazio, trasporti, telecomunicazioni e altre infrastrutture , Energia, Produzione e tecnologia industriale, Salute, Agricoltura, Istruzione, Cultura, ricreazione, religione e mass media, Sistemi, strutture e processi politici e sociali, Avanzamento generale delle conoscenze: RD finanziato da General </w:t>
      </w:r>
      <w:proofErr w:type="spellStart"/>
      <w:r w:rsidRPr="005C7AE3">
        <w:rPr>
          <w:rFonts w:ascii="Arial" w:eastAsia="Times New Roman" w:hAnsi="Arial" w:cs="Arial"/>
          <w:color w:val="495D8E"/>
          <w:sz w:val="16"/>
          <w:szCs w:val="16"/>
          <w:shd w:val="clear" w:color="auto" w:fill="FFFFFF"/>
          <w:lang w:eastAsia="it-IT"/>
        </w:rPr>
        <w:t>University</w:t>
      </w:r>
      <w:proofErr w:type="spellEnd"/>
      <w:r w:rsidRPr="005C7AE3">
        <w:rPr>
          <w:rFonts w:ascii="Arial" w:eastAsia="Times New Roman" w:hAnsi="Arial" w:cs="Arial"/>
          <w:color w:val="495D8E"/>
          <w:sz w:val="16"/>
          <w:szCs w:val="16"/>
          <w:shd w:val="clear" w:color="auto" w:fill="FFFFFF"/>
          <w:lang w:eastAsia="it-IT"/>
        </w:rPr>
        <w:t xml:space="preserve"> Funds (GUF), Avanzamento generale di conoscenza: RD finanziato da fonti diverse dalla GUF, Difesa. Si noti che in questa nuova classificazione NABS 2007, i tre obiettivi socioeconomici: istruzione, cultura, ricreazione, religione e mass media e sistemi politici e sociali, strutture e processi - erano precedentemente raggruppati sotto un unico obiettivo: strutture e relazioni sociali. Al momento di questa pubblicazione non vi è alcuna suddivisione dei dati storici nei tre nuovi SEO. Un altro problema relativo alla transizione da NABS 1993 a NABS 2007 è che ciò che precedentemente era Altre ricerche civili deve ora essere distribuito tra gli altri capitoli. Questa distribuzione non è stata ancora eseguita in questo database. Pertanto, fino a quando i paesi non saranno in grado di fornire una ripartizione secondo la classificazione NABS 2007, in alcuni casi GBAORD per SEO è maggiore della somma dei suoi capitoli. Un altro problema relativo alla transizione da NABS 1993 a NABS 2007 è che ciò che precedentemente era Altre ricerche civili deve ora essere distribuito tra gli altri capitoli. Questa distribuzione non è stata ancora eseguita in questo database. Pertanto, fino a quando i paesi non saranno in grado di fornire una ripartizione secondo la classificazione NABS 2007, in alcuni casi GBAORD per SEO è maggiore della somma dei suoi capitoli. Un altro problema relativo alla transizione da NABS 1993 a NABS 2007 è che ciò che precedentemente era Altre ricerche civili deve ora essere distribuito tra gli altri capitoli. Questa distribuzione non è stata ancora eseguita in questo database. Pertanto, fino a quando i paesi non saranno in grado di fornire una ripartizione secondo la classificazione NABS 2007, in alcuni casi GBAORD per SEO è maggiore della somma dei suoi capitoli.</w:t>
      </w:r>
    </w:p>
    <w:p w:rsidR="005C7AE3" w:rsidRDefault="00437EFE" w:rsidP="005C7AE3">
      <w:pPr>
        <w:pStyle w:val="Paragrafoelenco"/>
        <w:numPr>
          <w:ilvl w:val="0"/>
          <w:numId w:val="1"/>
        </w:numPr>
      </w:pPr>
      <w:r>
        <w:t>Spese</w:t>
      </w:r>
      <w:r w:rsidR="005C7AE3">
        <w:t xml:space="preserve"> aziendal</w:t>
      </w:r>
      <w:r w:rsidR="005C7AE3" w:rsidRPr="005C7AE3">
        <w:t>i per R&amp;S (BERD) per attività della NACE Rev. 2</w:t>
      </w:r>
    </w:p>
    <w:p w:rsidR="005C7AE3" w:rsidRPr="005C7AE3" w:rsidRDefault="005C7AE3" w:rsidP="005C7AE3">
      <w:pPr>
        <w:pStyle w:val="Paragrafoelenco"/>
        <w:numPr>
          <w:ilvl w:val="0"/>
          <w:numId w:val="1"/>
        </w:numPr>
        <w:rPr>
          <w:color w:val="4472C4" w:themeColor="accent1"/>
          <w:sz w:val="16"/>
          <w:szCs w:val="16"/>
        </w:rPr>
      </w:pPr>
      <w:proofErr w:type="spellStart"/>
      <w:r w:rsidRPr="005C7AE3">
        <w:rPr>
          <w:color w:val="4472C4" w:themeColor="accent1"/>
          <w:sz w:val="16"/>
          <w:szCs w:val="16"/>
        </w:rPr>
        <w:t>Eurostat</w:t>
      </w:r>
      <w:proofErr w:type="spellEnd"/>
      <w:r w:rsidRPr="005C7AE3">
        <w:rPr>
          <w:color w:val="4472C4" w:themeColor="accent1"/>
          <w:sz w:val="16"/>
          <w:szCs w:val="16"/>
        </w:rPr>
        <w:t xml:space="preserve"> non mette spiegazioni.</w:t>
      </w:r>
      <w:r>
        <w:rPr>
          <w:color w:val="4472C4" w:themeColor="accent1"/>
          <w:sz w:val="16"/>
          <w:szCs w:val="16"/>
        </w:rPr>
        <w:t xml:space="preserve"> </w:t>
      </w:r>
      <w:proofErr w:type="spellStart"/>
      <w:r w:rsidR="007A7CDE">
        <w:rPr>
          <w:color w:val="4472C4" w:themeColor="accent1"/>
          <w:sz w:val="16"/>
          <w:szCs w:val="16"/>
        </w:rPr>
        <w:t>C</w:t>
      </w:r>
      <w:r>
        <w:rPr>
          <w:color w:val="4472C4" w:themeColor="accent1"/>
          <w:sz w:val="16"/>
          <w:szCs w:val="16"/>
        </w:rPr>
        <w:t>m</w:t>
      </w:r>
      <w:r w:rsidR="007A7CDE">
        <w:rPr>
          <w:color w:val="4472C4" w:themeColor="accent1"/>
          <w:sz w:val="16"/>
          <w:szCs w:val="16"/>
        </w:rPr>
        <w:t>q</w:t>
      </w:r>
      <w:proofErr w:type="spellEnd"/>
      <w:r w:rsidR="007A7CDE">
        <w:rPr>
          <w:color w:val="4472C4" w:themeColor="accent1"/>
          <w:sz w:val="16"/>
          <w:szCs w:val="16"/>
        </w:rPr>
        <w:t xml:space="preserve"> sono milioni di euro spesi da parte delle imprese calcolati sulle attività NACE Rev.2 (</w:t>
      </w:r>
      <w:proofErr w:type="spellStart"/>
      <w:r w:rsidR="007A7CDE">
        <w:rPr>
          <w:color w:val="4472C4" w:themeColor="accent1"/>
          <w:sz w:val="16"/>
          <w:szCs w:val="16"/>
        </w:rPr>
        <w:t>na</w:t>
      </w:r>
      <w:proofErr w:type="spellEnd"/>
      <w:r w:rsidR="007A7CDE">
        <w:rPr>
          <w:color w:val="4472C4" w:themeColor="accent1"/>
          <w:sz w:val="16"/>
          <w:szCs w:val="16"/>
        </w:rPr>
        <w:t xml:space="preserve"> serie di categorie che includono un po’ tutto)</w:t>
      </w:r>
    </w:p>
    <w:p w:rsidR="003E1BA1" w:rsidRDefault="00437EFE" w:rsidP="003E1BA1">
      <w:pPr>
        <w:pStyle w:val="Paragrafoelenco"/>
        <w:numPr>
          <w:ilvl w:val="0"/>
          <w:numId w:val="1"/>
        </w:numPr>
      </w:pPr>
      <w:r>
        <w:t>Spese pubbliche di R&amp;S finanziate dall’industria</w:t>
      </w:r>
    </w:p>
    <w:p w:rsidR="003E1BA1" w:rsidRDefault="003E1BA1" w:rsidP="003E1BA1">
      <w:pPr>
        <w:pStyle w:val="Paragrafoelenco"/>
        <w:rPr>
          <w:rFonts w:ascii="Arial" w:hAnsi="Arial" w:cs="Arial"/>
          <w:color w:val="495D8E"/>
          <w:sz w:val="16"/>
          <w:szCs w:val="16"/>
        </w:rPr>
      </w:pPr>
      <w:r w:rsidRPr="003E1BA1">
        <w:rPr>
          <w:rFonts w:ascii="Arial" w:hAnsi="Arial" w:cs="Arial"/>
          <w:color w:val="495D8E"/>
          <w:sz w:val="16"/>
          <w:szCs w:val="16"/>
        </w:rPr>
        <w:t xml:space="preserve">Questa tabella presenta le statistiche sulle spese di ricerca e sviluppo (R&amp;S) eseguite nel settore delle imprese per settore industriale secondo la revisione ISIC (International Standard Industrial </w:t>
      </w:r>
      <w:proofErr w:type="spellStart"/>
      <w:r w:rsidRPr="003E1BA1">
        <w:rPr>
          <w:rFonts w:ascii="Arial" w:hAnsi="Arial" w:cs="Arial"/>
          <w:color w:val="495D8E"/>
          <w:sz w:val="16"/>
          <w:szCs w:val="16"/>
        </w:rPr>
        <w:t>Classification</w:t>
      </w:r>
      <w:proofErr w:type="spellEnd"/>
      <w:r w:rsidRPr="003E1BA1">
        <w:rPr>
          <w:rFonts w:ascii="Arial" w:hAnsi="Arial" w:cs="Arial"/>
          <w:color w:val="495D8E"/>
          <w:sz w:val="16"/>
          <w:szCs w:val="16"/>
        </w:rPr>
        <w:t>) 4.</w:t>
      </w:r>
    </w:p>
    <w:p w:rsidR="003E1BA1" w:rsidRDefault="003E1BA1" w:rsidP="003E1BA1">
      <w:pPr>
        <w:pStyle w:val="Paragrafoelenco"/>
        <w:rPr>
          <w:rFonts w:ascii="Arial" w:hAnsi="Arial" w:cs="Arial"/>
          <w:color w:val="495D8E"/>
          <w:sz w:val="16"/>
          <w:szCs w:val="16"/>
        </w:rPr>
      </w:pPr>
      <w:r>
        <w:rPr>
          <w:rFonts w:ascii="Arial" w:hAnsi="Arial" w:cs="Arial"/>
          <w:color w:val="495D8E"/>
          <w:sz w:val="16"/>
          <w:szCs w:val="16"/>
        </w:rPr>
        <w:t>Dati in ISIC rev. 4 sono presentati dal 2005, primo anno fa, in cui alcuni paesi hanno convertito i loro dati da ISIC rev.3.1 alla classificazione attuale. Alcuni paesi non appaiono ancora in questo set di dati, ma verranno inclusi gradualmente man mano che i dati vengono inviati ed elaborati nella nuova classificazione.</w:t>
      </w:r>
    </w:p>
    <w:p w:rsidR="003E1BA1" w:rsidRDefault="003E1BA1" w:rsidP="003E1BA1">
      <w:pPr>
        <w:pStyle w:val="Paragrafoelenco"/>
        <w:rPr>
          <w:rFonts w:ascii="Arial" w:hAnsi="Arial" w:cs="Arial"/>
          <w:color w:val="495D8E"/>
          <w:sz w:val="16"/>
          <w:szCs w:val="16"/>
        </w:rPr>
      </w:pPr>
      <w:r>
        <w:rPr>
          <w:rFonts w:ascii="Arial" w:hAnsi="Arial" w:cs="Arial"/>
          <w:color w:val="495D8E"/>
          <w:sz w:val="16"/>
          <w:szCs w:val="16"/>
        </w:rPr>
        <w:t xml:space="preserve">Questa suddivisione tra settori è, in linea di principio, effettuata a livello aziendale, sebbene alcuni paesi siano in grado di suddividere i dati di ricerca e sviluppo per le imprese multi-prodotto tra le loro principali linee di business. I regolamenti statistici nazionali impediscono la pubblicazione dei risultati in cui vi sono pochissime aziende in una determinata categoria, quindi le numerose lacune nelle tabelle. A seconda del paese, gli istituti di ricerca e sviluppo al servizio delle imprese sono classificati nell'industria interessata o raggruppati in "Ricerca e sviluppo" (ISIC rev.4, </w:t>
      </w:r>
      <w:proofErr w:type="spellStart"/>
      <w:r>
        <w:rPr>
          <w:rFonts w:ascii="Arial" w:hAnsi="Arial" w:cs="Arial"/>
          <w:color w:val="495D8E"/>
          <w:sz w:val="16"/>
          <w:szCs w:val="16"/>
        </w:rPr>
        <w:t>Division</w:t>
      </w:r>
      <w:proofErr w:type="spellEnd"/>
      <w:r>
        <w:rPr>
          <w:rFonts w:ascii="Arial" w:hAnsi="Arial" w:cs="Arial"/>
          <w:color w:val="495D8E"/>
          <w:sz w:val="16"/>
          <w:szCs w:val="16"/>
        </w:rPr>
        <w:t xml:space="preserve"> 72). Quando questi istituti di ricerca e sviluppo sono classificati in base al settore servito, la valutazione della ricerca e sviluppo in questi settori è più accurata e più comparabile tra i paesi per i settori interessati. Questo risulta, tuttavia,</w:t>
      </w:r>
    </w:p>
    <w:p w:rsidR="003E1BA1" w:rsidRDefault="003E1BA1" w:rsidP="003E1BA1">
      <w:pPr>
        <w:pStyle w:val="Paragrafoelenco"/>
        <w:rPr>
          <w:rFonts w:ascii="Arial" w:hAnsi="Arial" w:cs="Arial"/>
          <w:color w:val="495D8E"/>
          <w:sz w:val="16"/>
          <w:szCs w:val="16"/>
        </w:rPr>
      </w:pPr>
      <w:r>
        <w:rPr>
          <w:rFonts w:ascii="Arial" w:hAnsi="Arial" w:cs="Arial"/>
          <w:color w:val="495D8E"/>
          <w:sz w:val="16"/>
          <w:szCs w:val="16"/>
        </w:rPr>
        <w:lastRenderedPageBreak/>
        <w:t>La raccomandazione del Manuale Frascati relativa ai dati sulla R&amp;S per settore è di riferire BERD su base aziendale (vedere FM2015 sezione 7.49). Se interpretato in modo rigoroso, tutto il BERD di un'impresa diversificata verrà assegnato alla classe industriale della sua attività principale. Nei casi in cui alcune grandi aziende dominano la spesa in R&amp;S in diverse aree, ciò può e porta a sottovalutare le attività di R&amp;S associate alle attività secondarie delle imprese. Nel complesso, la R&amp;S è pertanto sopravvalutata per alcuni settori e sottovalutata per altri.</w:t>
      </w:r>
    </w:p>
    <w:p w:rsidR="003E1BA1" w:rsidRPr="003E1BA1" w:rsidRDefault="003E1BA1" w:rsidP="003E1BA1">
      <w:pPr>
        <w:pStyle w:val="Paragrafoelenco"/>
      </w:pPr>
      <w:r>
        <w:rPr>
          <w:rFonts w:ascii="Arial" w:hAnsi="Arial" w:cs="Arial"/>
          <w:color w:val="495D8E"/>
          <w:sz w:val="16"/>
          <w:szCs w:val="16"/>
        </w:rPr>
        <w:t xml:space="preserve">Tuttavia, non tutti i paesi seguono una base aziendale rigorosa per allocare le spese di R&amp;S alle classi industriali. Alcuni paesi disaggregano la R&amp;S delle loro aziende più grandi e diversificate in una serie di attività diverse. In altri paesi, l'approccio aziendale è stato abbandonato e i dati sono riportati su base industriale. Questo è il motivo per cui due criteri di classificazione per BERD per settore sono inclusi in questa visione di “BERD per settore” (vedi i CRITERI DI CLASSIFICAZIONE variabili: attività principale o settore servito) a seconda di quale approccio è seguito più da vicino da ciascun paese (solo </w:t>
      </w:r>
      <w:proofErr w:type="gramStart"/>
      <w:r>
        <w:rPr>
          <w:rFonts w:ascii="Arial" w:hAnsi="Arial" w:cs="Arial"/>
          <w:color w:val="495D8E"/>
          <w:sz w:val="16"/>
          <w:szCs w:val="16"/>
        </w:rPr>
        <w:t>un pochi</w:t>
      </w:r>
      <w:proofErr w:type="gramEnd"/>
      <w:r>
        <w:rPr>
          <w:rFonts w:ascii="Arial" w:hAnsi="Arial" w:cs="Arial"/>
          <w:color w:val="495D8E"/>
          <w:sz w:val="16"/>
          <w:szCs w:val="16"/>
        </w:rPr>
        <w:t xml:space="preserve"> paesi attualmente raccolgono questi dati in entrambi i modi e sono quindi inclusi secondo entrambi i criteri).</w:t>
      </w:r>
    </w:p>
    <w:p w:rsidR="003E1BA1" w:rsidRDefault="003E1BA1" w:rsidP="003E1BA1">
      <w:pPr>
        <w:pStyle w:val="Paragrafoelenco"/>
      </w:pPr>
    </w:p>
    <w:p w:rsidR="00437EFE" w:rsidRDefault="00437EFE" w:rsidP="00437EFE">
      <w:pPr>
        <w:pStyle w:val="Paragrafoelenco"/>
        <w:numPr>
          <w:ilvl w:val="0"/>
          <w:numId w:val="1"/>
        </w:numPr>
      </w:pPr>
      <w:r>
        <w:t>Sostegno pubblico a R&amp;S e all’innovazione delle imprese</w:t>
      </w:r>
    </w:p>
    <w:p w:rsidR="006161E2" w:rsidRPr="006161E2" w:rsidRDefault="006161E2" w:rsidP="006161E2">
      <w:pPr>
        <w:pStyle w:val="Paragrafoelenco"/>
        <w:spacing w:after="0" w:line="240" w:lineRule="auto"/>
        <w:rPr>
          <w:rFonts w:ascii="Times New Roman" w:eastAsia="Times New Roman" w:hAnsi="Times New Roman" w:cs="Times New Roman"/>
          <w:sz w:val="24"/>
          <w:szCs w:val="24"/>
          <w:lang w:eastAsia="it-IT"/>
        </w:rPr>
      </w:pPr>
      <w:r w:rsidRPr="006161E2">
        <w:rPr>
          <w:rFonts w:ascii="Arial" w:eastAsia="Times New Roman" w:hAnsi="Arial" w:cs="Arial"/>
          <w:color w:val="495D8E"/>
          <w:sz w:val="16"/>
          <w:szCs w:val="16"/>
          <w:shd w:val="clear" w:color="auto" w:fill="FFFFFF"/>
          <w:lang w:eastAsia="it-IT"/>
        </w:rPr>
        <w:t>Le prospettive 2012 dell'OCSE in materia di scienza, tecnologia e industria presentano, in una serie di profili per paese, le principali caratteristiche, i punti di forza e di debolezza dei sistemi STI nazionali e i principali cambiamenti recenti nella politica nazionale sulle STI. La dimensione statistica dei profili dei paesi ha attinto al lavoro e alla ricerca empirica condotti dall'OCSE sulla misurazione dell'innovazione e sullo sviluppo di indicatori STI comparabili a livello internazionale per l'analisi delle politiche.</w:t>
      </w:r>
    </w:p>
    <w:p w:rsidR="006161E2" w:rsidRPr="006161E2" w:rsidRDefault="006161E2" w:rsidP="006161E2">
      <w:pPr>
        <w:pStyle w:val="Paragrafoelenco"/>
        <w:rPr>
          <w:sz w:val="16"/>
          <w:szCs w:val="16"/>
        </w:rPr>
      </w:pPr>
    </w:p>
    <w:p w:rsidR="002E00D4" w:rsidRPr="002E00D4" w:rsidRDefault="00437EFE" w:rsidP="002E00D4">
      <w:pPr>
        <w:pStyle w:val="Paragrafoelenco"/>
        <w:numPr>
          <w:ilvl w:val="0"/>
          <w:numId w:val="1"/>
        </w:numPr>
      </w:pPr>
      <w:r>
        <w:t>Totale personale R&amp;S</w:t>
      </w:r>
      <w:r w:rsidR="002E00D4">
        <w:t xml:space="preserve"> </w:t>
      </w:r>
      <w:r w:rsidR="002E00D4" w:rsidRPr="002E00D4">
        <w:t xml:space="preserve">Innovazione </w:t>
      </w:r>
      <w:proofErr w:type="gramStart"/>
      <w:r w:rsidR="002E00D4" w:rsidRPr="002E00D4">
        <w:t>regionale :</w:t>
      </w:r>
      <w:proofErr w:type="gramEnd"/>
      <w:r w:rsidR="002E00D4" w:rsidRPr="002E00D4">
        <w:t xml:space="preserve"> personale R&amp;S per settore</w:t>
      </w:r>
      <w:r w:rsidR="002E00D4" w:rsidRPr="002E00D4">
        <w:rPr>
          <w:rFonts w:ascii="Times New Roman" w:eastAsia="Times New Roman" w:hAnsi="Times New Roman" w:cs="Times New Roman"/>
          <w:sz w:val="24"/>
          <w:szCs w:val="24"/>
          <w:lang w:eastAsia="it-IT"/>
        </w:rPr>
        <w:t xml:space="preserve"> </w:t>
      </w:r>
    </w:p>
    <w:p w:rsidR="002E00D4" w:rsidRDefault="002E00D4" w:rsidP="002E00D4">
      <w:pPr>
        <w:pStyle w:val="Paragrafoelenco"/>
        <w:spacing w:after="0" w:line="240" w:lineRule="auto"/>
        <w:rPr>
          <w:rFonts w:ascii="Arial" w:eastAsia="Times New Roman" w:hAnsi="Arial" w:cs="Arial"/>
          <w:color w:val="495D8E"/>
          <w:sz w:val="16"/>
          <w:szCs w:val="16"/>
          <w:shd w:val="clear" w:color="auto" w:fill="FFFFFF"/>
          <w:lang w:eastAsia="it-IT"/>
        </w:rPr>
      </w:pPr>
      <w:r w:rsidRPr="002E00D4">
        <w:rPr>
          <w:rFonts w:ascii="Arial" w:eastAsia="Times New Roman" w:hAnsi="Arial" w:cs="Arial"/>
          <w:color w:val="495D8E"/>
          <w:sz w:val="16"/>
          <w:szCs w:val="16"/>
          <w:shd w:val="clear" w:color="auto" w:fill="FFFFFF"/>
          <w:lang w:eastAsia="it-IT"/>
        </w:rPr>
        <w:t xml:space="preserve">La raccolta dei dati è effettuata dal Centro per l'imprenditorialità, le PMI, le regioni e le città (CFE). Le statistiche sono raccolte attraverso un questionario annuale inviato ai delegati del gruppo di lavoro sugli indicatori territoriali (WPTI) e attraverso l'accesso ai siti web degli uffici statistici nazionali e di </w:t>
      </w:r>
      <w:proofErr w:type="spellStart"/>
      <w:r w:rsidRPr="002E00D4">
        <w:rPr>
          <w:rFonts w:ascii="Arial" w:eastAsia="Times New Roman" w:hAnsi="Arial" w:cs="Arial"/>
          <w:color w:val="495D8E"/>
          <w:sz w:val="16"/>
          <w:szCs w:val="16"/>
          <w:shd w:val="clear" w:color="auto" w:fill="FFFFFF"/>
          <w:lang w:eastAsia="it-IT"/>
        </w:rPr>
        <w:t>Eurostat</w:t>
      </w:r>
      <w:proofErr w:type="spellEnd"/>
      <w:r>
        <w:rPr>
          <w:rFonts w:ascii="Arial" w:eastAsia="Times New Roman" w:hAnsi="Arial" w:cs="Arial"/>
          <w:color w:val="495D8E"/>
          <w:sz w:val="16"/>
          <w:szCs w:val="16"/>
          <w:shd w:val="clear" w:color="auto" w:fill="FFFFFF"/>
          <w:lang w:eastAsia="it-IT"/>
        </w:rPr>
        <w:t>.</w:t>
      </w:r>
    </w:p>
    <w:p w:rsidR="002E00D4" w:rsidRPr="002E00D4" w:rsidRDefault="002E00D4" w:rsidP="002E00D4">
      <w:pPr>
        <w:pStyle w:val="Paragrafoelenco"/>
        <w:spacing w:after="0" w:line="240" w:lineRule="auto"/>
        <w:rPr>
          <w:rStyle w:val="Titolo1Carattere"/>
          <w:rFonts w:ascii="Times New Roman" w:eastAsia="Times New Roman" w:hAnsi="Times New Roman" w:cs="Times New Roman"/>
          <w:color w:val="auto"/>
          <w:sz w:val="24"/>
          <w:szCs w:val="24"/>
          <w:lang w:eastAsia="it-IT"/>
        </w:rPr>
      </w:pPr>
    </w:p>
    <w:p w:rsidR="003E1BA1" w:rsidRDefault="003E1BA1" w:rsidP="003E1BA1">
      <w:pPr>
        <w:pStyle w:val="Paragrafoelenco"/>
        <w:numPr>
          <w:ilvl w:val="0"/>
          <w:numId w:val="1"/>
        </w:numPr>
      </w:pPr>
      <w:r w:rsidRPr="003E1BA1">
        <w:rPr>
          <w:lang w:eastAsia="it-IT"/>
        </w:rPr>
        <w:t>Spesa interna lorda in R&amp;S per settore di prestazione e obiettivo socioeconomico</w:t>
      </w:r>
    </w:p>
    <w:p w:rsidR="002E00D4" w:rsidRDefault="002E00D4" w:rsidP="002E00D4">
      <w:pPr>
        <w:pStyle w:val="Paragrafoelenco"/>
        <w:spacing w:after="0" w:line="240" w:lineRule="auto"/>
        <w:rPr>
          <w:rFonts w:ascii="Arial" w:eastAsia="Times New Roman" w:hAnsi="Arial" w:cs="Arial"/>
          <w:color w:val="495D8E"/>
          <w:sz w:val="16"/>
          <w:szCs w:val="16"/>
          <w:shd w:val="clear" w:color="auto" w:fill="FFFFFF"/>
          <w:lang w:eastAsia="it-IT"/>
        </w:rPr>
      </w:pPr>
      <w:r w:rsidRPr="002E00D4">
        <w:rPr>
          <w:rFonts w:ascii="Arial" w:eastAsia="Times New Roman" w:hAnsi="Arial" w:cs="Arial"/>
          <w:color w:val="495D8E"/>
          <w:sz w:val="16"/>
          <w:szCs w:val="16"/>
          <w:shd w:val="clear" w:color="auto" w:fill="FFFFFF"/>
          <w:lang w:eastAsia="it-IT"/>
        </w:rPr>
        <w:t>Questa tabella presenta i dati sulla spesa interna lorda in R&amp;S (GERD) per obiettivo socio-economico (SEO), utilizzando la classificazione NABS 2007, ovvero: esplorazione e sfruttamento della Terra, ambiente, esplorazione e sfruttamento dello spazio, trasporti, telecomunicazioni e altre infrastrutture , Energia, produzione e tecnologia industriale, sanità, agricoltura, istruzione, cultura, tempo libero, religione e mass media, sistemi, strutture e processi politici e sociali, avanzamento generale della conoscenza e difesa.</w:t>
      </w:r>
    </w:p>
    <w:p w:rsidR="002E00D4" w:rsidRPr="002E00D4" w:rsidRDefault="002E00D4" w:rsidP="002E00D4">
      <w:pPr>
        <w:pStyle w:val="Paragrafoelenco"/>
        <w:spacing w:after="0" w:line="240" w:lineRule="auto"/>
        <w:rPr>
          <w:rFonts w:ascii="Times New Roman" w:eastAsia="Times New Roman" w:hAnsi="Times New Roman" w:cs="Times New Roman"/>
          <w:sz w:val="24"/>
          <w:szCs w:val="24"/>
          <w:lang w:eastAsia="it-IT"/>
        </w:rPr>
      </w:pPr>
    </w:p>
    <w:p w:rsidR="00437EFE" w:rsidRDefault="00437EFE" w:rsidP="003E1BA1">
      <w:pPr>
        <w:pStyle w:val="Paragrafoelenco"/>
        <w:numPr>
          <w:ilvl w:val="0"/>
          <w:numId w:val="1"/>
        </w:numPr>
        <w:rPr>
          <w:lang w:val="en-US"/>
        </w:rPr>
      </w:pPr>
      <w:proofErr w:type="spellStart"/>
      <w:r w:rsidRPr="003E1BA1">
        <w:rPr>
          <w:lang w:val="en-US"/>
        </w:rPr>
        <w:t>Costi</w:t>
      </w:r>
      <w:proofErr w:type="spellEnd"/>
      <w:r w:rsidRPr="003E1BA1">
        <w:rPr>
          <w:lang w:val="en-US"/>
        </w:rPr>
        <w:t xml:space="preserve"> </w:t>
      </w:r>
      <w:proofErr w:type="spellStart"/>
      <w:r w:rsidRPr="003E1BA1">
        <w:rPr>
          <w:lang w:val="en-US"/>
        </w:rPr>
        <w:t>istituzione</w:t>
      </w:r>
      <w:proofErr w:type="spellEnd"/>
      <w:r w:rsidRPr="003E1BA1">
        <w:rPr>
          <w:lang w:val="en-US"/>
        </w:rPr>
        <w:t xml:space="preserve"> </w:t>
      </w:r>
      <w:proofErr w:type="spellStart"/>
      <w:r w:rsidR="002E00D4">
        <w:rPr>
          <w:lang w:val="en-US"/>
        </w:rPr>
        <w:t>superiore</w:t>
      </w:r>
      <w:proofErr w:type="spellEnd"/>
    </w:p>
    <w:p w:rsidR="002E00D4" w:rsidRPr="002E00D4" w:rsidRDefault="002E00D4" w:rsidP="002E00D4">
      <w:pPr>
        <w:pStyle w:val="Paragrafoelenco"/>
        <w:spacing w:after="0" w:line="240" w:lineRule="auto"/>
        <w:rPr>
          <w:rFonts w:ascii="Times New Roman" w:eastAsia="Times New Roman" w:hAnsi="Times New Roman" w:cs="Times New Roman"/>
          <w:sz w:val="24"/>
          <w:szCs w:val="24"/>
          <w:lang w:eastAsia="it-IT"/>
        </w:rPr>
      </w:pPr>
      <w:r w:rsidRPr="002E00D4">
        <w:rPr>
          <w:rFonts w:ascii="Arial" w:eastAsia="Times New Roman" w:hAnsi="Arial" w:cs="Arial"/>
          <w:color w:val="495D8E"/>
          <w:sz w:val="16"/>
          <w:szCs w:val="16"/>
          <w:shd w:val="clear" w:color="auto" w:fill="FFFFFF"/>
          <w:lang w:eastAsia="it-IT"/>
        </w:rPr>
        <w:t>Questa tabella contiene statistiche sulle spese di ricerca e sviluppo (R&amp;S) eseguite nei settori dell'istruzione superiore e del privato senza scopo di lucro per settore scientifico (scienze naturali, ingegneria, scienze mediche, scienze agrarie, scienze sociali e scienze umane) e tipo di costi (spese correnti, spese in conto capitale).</w:t>
      </w:r>
    </w:p>
    <w:p w:rsidR="002E00D4" w:rsidRPr="002E00D4" w:rsidRDefault="002E00D4" w:rsidP="002E00D4">
      <w:pPr>
        <w:pStyle w:val="Paragrafoelenco"/>
      </w:pPr>
    </w:p>
    <w:sectPr w:rsidR="002E00D4" w:rsidRPr="002E00D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0F50" w:rsidRDefault="00B90F50" w:rsidP="00AF5EB9">
      <w:pPr>
        <w:spacing w:after="0" w:line="240" w:lineRule="auto"/>
      </w:pPr>
      <w:r>
        <w:separator/>
      </w:r>
    </w:p>
  </w:endnote>
  <w:endnote w:type="continuationSeparator" w:id="0">
    <w:p w:rsidR="00B90F50" w:rsidRDefault="00B90F50" w:rsidP="00AF5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0F50" w:rsidRDefault="00B90F50" w:rsidP="00AF5EB9">
      <w:pPr>
        <w:spacing w:after="0" w:line="240" w:lineRule="auto"/>
      </w:pPr>
      <w:r>
        <w:separator/>
      </w:r>
    </w:p>
  </w:footnote>
  <w:footnote w:type="continuationSeparator" w:id="0">
    <w:p w:rsidR="00B90F50" w:rsidRDefault="00B90F50" w:rsidP="00AF5E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BE690F"/>
    <w:multiLevelType w:val="hybridMultilevel"/>
    <w:tmpl w:val="A9EC61A2"/>
    <w:lvl w:ilvl="0" w:tplc="267E233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199"/>
    <w:rsid w:val="00000F12"/>
    <w:rsid w:val="000C66F8"/>
    <w:rsid w:val="000F1AB3"/>
    <w:rsid w:val="001009A9"/>
    <w:rsid w:val="001234C6"/>
    <w:rsid w:val="00171292"/>
    <w:rsid w:val="00184B26"/>
    <w:rsid w:val="001B7257"/>
    <w:rsid w:val="001C7D44"/>
    <w:rsid w:val="001E55B3"/>
    <w:rsid w:val="0024798C"/>
    <w:rsid w:val="00264E96"/>
    <w:rsid w:val="002B5E0E"/>
    <w:rsid w:val="002C40A0"/>
    <w:rsid w:val="002E00D4"/>
    <w:rsid w:val="003438C2"/>
    <w:rsid w:val="00373135"/>
    <w:rsid w:val="00392226"/>
    <w:rsid w:val="003B4199"/>
    <w:rsid w:val="003C450C"/>
    <w:rsid w:val="003E1BA1"/>
    <w:rsid w:val="00404B94"/>
    <w:rsid w:val="004231E0"/>
    <w:rsid w:val="00437EFE"/>
    <w:rsid w:val="004A0DD4"/>
    <w:rsid w:val="00595E5F"/>
    <w:rsid w:val="00596A89"/>
    <w:rsid w:val="005B3657"/>
    <w:rsid w:val="005C7AE3"/>
    <w:rsid w:val="006161E2"/>
    <w:rsid w:val="006542F2"/>
    <w:rsid w:val="00716288"/>
    <w:rsid w:val="00754FD0"/>
    <w:rsid w:val="0077583B"/>
    <w:rsid w:val="007A7CDE"/>
    <w:rsid w:val="00815CFA"/>
    <w:rsid w:val="00833FB7"/>
    <w:rsid w:val="008A6933"/>
    <w:rsid w:val="008C060B"/>
    <w:rsid w:val="008E6C47"/>
    <w:rsid w:val="00A11A41"/>
    <w:rsid w:val="00AF1F05"/>
    <w:rsid w:val="00AF5EB9"/>
    <w:rsid w:val="00B90F50"/>
    <w:rsid w:val="00BB060F"/>
    <w:rsid w:val="00C22D3C"/>
    <w:rsid w:val="00C86F51"/>
    <w:rsid w:val="00D62C2F"/>
    <w:rsid w:val="00DF77F4"/>
    <w:rsid w:val="00E00797"/>
    <w:rsid w:val="00F837D2"/>
    <w:rsid w:val="00FC473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27232"/>
  <w15:chartTrackingRefBased/>
  <w15:docId w15:val="{02F0B3A5-F75B-4BE7-AA99-607973A80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E1B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3E1B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B4199"/>
    <w:pPr>
      <w:ind w:left="720"/>
      <w:contextualSpacing/>
    </w:pPr>
  </w:style>
  <w:style w:type="paragraph" w:styleId="Intestazione">
    <w:name w:val="header"/>
    <w:basedOn w:val="Normale"/>
    <w:link w:val="IntestazioneCarattere"/>
    <w:uiPriority w:val="99"/>
    <w:unhideWhenUsed/>
    <w:rsid w:val="00AF5EB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F5EB9"/>
  </w:style>
  <w:style w:type="paragraph" w:styleId="Pidipagina">
    <w:name w:val="footer"/>
    <w:basedOn w:val="Normale"/>
    <w:link w:val="PidipaginaCarattere"/>
    <w:uiPriority w:val="99"/>
    <w:unhideWhenUsed/>
    <w:rsid w:val="00AF5EB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F5EB9"/>
  </w:style>
  <w:style w:type="character" w:customStyle="1" w:styleId="Titolo1Carattere">
    <w:name w:val="Titolo 1 Carattere"/>
    <w:basedOn w:val="Carpredefinitoparagrafo"/>
    <w:link w:val="Titolo1"/>
    <w:uiPriority w:val="9"/>
    <w:rsid w:val="003E1BA1"/>
    <w:rPr>
      <w:rFonts w:asciiTheme="majorHAnsi" w:eastAsiaTheme="majorEastAsia" w:hAnsiTheme="majorHAnsi" w:cstheme="majorBidi"/>
      <w:color w:val="2F5496" w:themeColor="accent1" w:themeShade="BF"/>
      <w:sz w:val="32"/>
      <w:szCs w:val="32"/>
    </w:rPr>
  </w:style>
  <w:style w:type="paragraph" w:styleId="NormaleWeb">
    <w:name w:val="Normal (Web)"/>
    <w:basedOn w:val="Normale"/>
    <w:uiPriority w:val="99"/>
    <w:semiHidden/>
    <w:unhideWhenUsed/>
    <w:rsid w:val="003E1BA1"/>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2Carattere">
    <w:name w:val="Titolo 2 Carattere"/>
    <w:basedOn w:val="Carpredefinitoparagrafo"/>
    <w:link w:val="Titolo2"/>
    <w:uiPriority w:val="9"/>
    <w:rsid w:val="003E1BA1"/>
    <w:rPr>
      <w:rFonts w:asciiTheme="majorHAnsi" w:eastAsiaTheme="majorEastAsia" w:hAnsiTheme="majorHAnsi" w:cstheme="majorBidi"/>
      <w:color w:val="2F5496" w:themeColor="accent1" w:themeShade="BF"/>
      <w:sz w:val="26"/>
      <w:szCs w:val="26"/>
    </w:rPr>
  </w:style>
  <w:style w:type="character" w:customStyle="1" w:styleId="dtitle">
    <w:name w:val="dtitle"/>
    <w:basedOn w:val="Carpredefinitoparagrafo"/>
    <w:rsid w:val="003E1BA1"/>
  </w:style>
  <w:style w:type="character" w:customStyle="1" w:styleId="qtitle">
    <w:name w:val="qtitle"/>
    <w:basedOn w:val="Carpredefinitoparagrafo"/>
    <w:rsid w:val="002E00D4"/>
  </w:style>
  <w:style w:type="character" w:styleId="Collegamentoipertestuale">
    <w:name w:val="Hyperlink"/>
    <w:basedOn w:val="Carpredefinitoparagrafo"/>
    <w:uiPriority w:val="99"/>
    <w:semiHidden/>
    <w:unhideWhenUsed/>
    <w:rsid w:val="002E00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22088">
      <w:bodyDiv w:val="1"/>
      <w:marLeft w:val="0"/>
      <w:marRight w:val="0"/>
      <w:marTop w:val="0"/>
      <w:marBottom w:val="0"/>
      <w:divBdr>
        <w:top w:val="none" w:sz="0" w:space="0" w:color="auto"/>
        <w:left w:val="none" w:sz="0" w:space="0" w:color="auto"/>
        <w:bottom w:val="none" w:sz="0" w:space="0" w:color="auto"/>
        <w:right w:val="none" w:sz="0" w:space="0" w:color="auto"/>
      </w:divBdr>
    </w:div>
    <w:div w:id="41682201">
      <w:bodyDiv w:val="1"/>
      <w:marLeft w:val="0"/>
      <w:marRight w:val="0"/>
      <w:marTop w:val="0"/>
      <w:marBottom w:val="0"/>
      <w:divBdr>
        <w:top w:val="none" w:sz="0" w:space="0" w:color="auto"/>
        <w:left w:val="none" w:sz="0" w:space="0" w:color="auto"/>
        <w:bottom w:val="none" w:sz="0" w:space="0" w:color="auto"/>
        <w:right w:val="none" w:sz="0" w:space="0" w:color="auto"/>
      </w:divBdr>
    </w:div>
    <w:div w:id="45490167">
      <w:bodyDiv w:val="1"/>
      <w:marLeft w:val="0"/>
      <w:marRight w:val="0"/>
      <w:marTop w:val="0"/>
      <w:marBottom w:val="0"/>
      <w:divBdr>
        <w:top w:val="none" w:sz="0" w:space="0" w:color="auto"/>
        <w:left w:val="none" w:sz="0" w:space="0" w:color="auto"/>
        <w:bottom w:val="none" w:sz="0" w:space="0" w:color="auto"/>
        <w:right w:val="none" w:sz="0" w:space="0" w:color="auto"/>
      </w:divBdr>
    </w:div>
    <w:div w:id="161700977">
      <w:bodyDiv w:val="1"/>
      <w:marLeft w:val="0"/>
      <w:marRight w:val="0"/>
      <w:marTop w:val="0"/>
      <w:marBottom w:val="0"/>
      <w:divBdr>
        <w:top w:val="none" w:sz="0" w:space="0" w:color="auto"/>
        <w:left w:val="none" w:sz="0" w:space="0" w:color="auto"/>
        <w:bottom w:val="none" w:sz="0" w:space="0" w:color="auto"/>
        <w:right w:val="none" w:sz="0" w:space="0" w:color="auto"/>
      </w:divBdr>
    </w:div>
    <w:div w:id="835343814">
      <w:bodyDiv w:val="1"/>
      <w:marLeft w:val="0"/>
      <w:marRight w:val="0"/>
      <w:marTop w:val="0"/>
      <w:marBottom w:val="0"/>
      <w:divBdr>
        <w:top w:val="none" w:sz="0" w:space="0" w:color="auto"/>
        <w:left w:val="none" w:sz="0" w:space="0" w:color="auto"/>
        <w:bottom w:val="none" w:sz="0" w:space="0" w:color="auto"/>
        <w:right w:val="none" w:sz="0" w:space="0" w:color="auto"/>
      </w:divBdr>
    </w:div>
    <w:div w:id="964239915">
      <w:bodyDiv w:val="1"/>
      <w:marLeft w:val="0"/>
      <w:marRight w:val="0"/>
      <w:marTop w:val="0"/>
      <w:marBottom w:val="0"/>
      <w:divBdr>
        <w:top w:val="none" w:sz="0" w:space="0" w:color="auto"/>
        <w:left w:val="none" w:sz="0" w:space="0" w:color="auto"/>
        <w:bottom w:val="none" w:sz="0" w:space="0" w:color="auto"/>
        <w:right w:val="none" w:sz="0" w:space="0" w:color="auto"/>
      </w:divBdr>
    </w:div>
    <w:div w:id="1052970727">
      <w:bodyDiv w:val="1"/>
      <w:marLeft w:val="0"/>
      <w:marRight w:val="0"/>
      <w:marTop w:val="0"/>
      <w:marBottom w:val="0"/>
      <w:divBdr>
        <w:top w:val="none" w:sz="0" w:space="0" w:color="auto"/>
        <w:left w:val="none" w:sz="0" w:space="0" w:color="auto"/>
        <w:bottom w:val="none" w:sz="0" w:space="0" w:color="auto"/>
        <w:right w:val="none" w:sz="0" w:space="0" w:color="auto"/>
      </w:divBdr>
    </w:div>
    <w:div w:id="1136487743">
      <w:bodyDiv w:val="1"/>
      <w:marLeft w:val="0"/>
      <w:marRight w:val="0"/>
      <w:marTop w:val="0"/>
      <w:marBottom w:val="0"/>
      <w:divBdr>
        <w:top w:val="none" w:sz="0" w:space="0" w:color="auto"/>
        <w:left w:val="none" w:sz="0" w:space="0" w:color="auto"/>
        <w:bottom w:val="none" w:sz="0" w:space="0" w:color="auto"/>
        <w:right w:val="none" w:sz="0" w:space="0" w:color="auto"/>
      </w:divBdr>
    </w:div>
    <w:div w:id="1198927202">
      <w:bodyDiv w:val="1"/>
      <w:marLeft w:val="0"/>
      <w:marRight w:val="0"/>
      <w:marTop w:val="0"/>
      <w:marBottom w:val="0"/>
      <w:divBdr>
        <w:top w:val="none" w:sz="0" w:space="0" w:color="auto"/>
        <w:left w:val="none" w:sz="0" w:space="0" w:color="auto"/>
        <w:bottom w:val="none" w:sz="0" w:space="0" w:color="auto"/>
        <w:right w:val="none" w:sz="0" w:space="0" w:color="auto"/>
      </w:divBdr>
    </w:div>
    <w:div w:id="1318413041">
      <w:bodyDiv w:val="1"/>
      <w:marLeft w:val="0"/>
      <w:marRight w:val="0"/>
      <w:marTop w:val="0"/>
      <w:marBottom w:val="0"/>
      <w:divBdr>
        <w:top w:val="none" w:sz="0" w:space="0" w:color="auto"/>
        <w:left w:val="none" w:sz="0" w:space="0" w:color="auto"/>
        <w:bottom w:val="none" w:sz="0" w:space="0" w:color="auto"/>
        <w:right w:val="none" w:sz="0" w:space="0" w:color="auto"/>
      </w:divBdr>
    </w:div>
    <w:div w:id="1345478352">
      <w:bodyDiv w:val="1"/>
      <w:marLeft w:val="0"/>
      <w:marRight w:val="0"/>
      <w:marTop w:val="0"/>
      <w:marBottom w:val="0"/>
      <w:divBdr>
        <w:top w:val="none" w:sz="0" w:space="0" w:color="auto"/>
        <w:left w:val="none" w:sz="0" w:space="0" w:color="auto"/>
        <w:bottom w:val="none" w:sz="0" w:space="0" w:color="auto"/>
        <w:right w:val="none" w:sz="0" w:space="0" w:color="auto"/>
      </w:divBdr>
    </w:div>
    <w:div w:id="1763182214">
      <w:bodyDiv w:val="1"/>
      <w:marLeft w:val="0"/>
      <w:marRight w:val="0"/>
      <w:marTop w:val="0"/>
      <w:marBottom w:val="0"/>
      <w:divBdr>
        <w:top w:val="none" w:sz="0" w:space="0" w:color="auto"/>
        <w:left w:val="none" w:sz="0" w:space="0" w:color="auto"/>
        <w:bottom w:val="none" w:sz="0" w:space="0" w:color="auto"/>
        <w:right w:val="none" w:sz="0" w:space="0" w:color="auto"/>
      </w:divBdr>
    </w:div>
    <w:div w:id="1877817559">
      <w:bodyDiv w:val="1"/>
      <w:marLeft w:val="0"/>
      <w:marRight w:val="0"/>
      <w:marTop w:val="0"/>
      <w:marBottom w:val="0"/>
      <w:divBdr>
        <w:top w:val="none" w:sz="0" w:space="0" w:color="auto"/>
        <w:left w:val="none" w:sz="0" w:space="0" w:color="auto"/>
        <w:bottom w:val="none" w:sz="0" w:space="0" w:color="auto"/>
        <w:right w:val="none" w:sz="0" w:space="0" w:color="auto"/>
      </w:divBdr>
    </w:div>
    <w:div w:id="1943299578">
      <w:bodyDiv w:val="1"/>
      <w:marLeft w:val="0"/>
      <w:marRight w:val="0"/>
      <w:marTop w:val="0"/>
      <w:marBottom w:val="0"/>
      <w:divBdr>
        <w:top w:val="none" w:sz="0" w:space="0" w:color="auto"/>
        <w:left w:val="none" w:sz="0" w:space="0" w:color="auto"/>
        <w:bottom w:val="none" w:sz="0" w:space="0" w:color="auto"/>
        <w:right w:val="none" w:sz="0" w:space="0" w:color="auto"/>
      </w:divBdr>
    </w:div>
    <w:div w:id="1955479061">
      <w:bodyDiv w:val="1"/>
      <w:marLeft w:val="0"/>
      <w:marRight w:val="0"/>
      <w:marTop w:val="0"/>
      <w:marBottom w:val="0"/>
      <w:divBdr>
        <w:top w:val="none" w:sz="0" w:space="0" w:color="auto"/>
        <w:left w:val="none" w:sz="0" w:space="0" w:color="auto"/>
        <w:bottom w:val="none" w:sz="0" w:space="0" w:color="auto"/>
        <w:right w:val="none" w:sz="0" w:space="0" w:color="auto"/>
      </w:divBdr>
    </w:div>
    <w:div w:id="2036227962">
      <w:bodyDiv w:val="1"/>
      <w:marLeft w:val="0"/>
      <w:marRight w:val="0"/>
      <w:marTop w:val="0"/>
      <w:marBottom w:val="0"/>
      <w:divBdr>
        <w:top w:val="none" w:sz="0" w:space="0" w:color="auto"/>
        <w:left w:val="none" w:sz="0" w:space="0" w:color="auto"/>
        <w:bottom w:val="none" w:sz="0" w:space="0" w:color="auto"/>
        <w:right w:val="none" w:sz="0" w:space="0" w:color="auto"/>
      </w:divBdr>
    </w:div>
    <w:div w:id="2047556420">
      <w:bodyDiv w:val="1"/>
      <w:marLeft w:val="0"/>
      <w:marRight w:val="0"/>
      <w:marTop w:val="0"/>
      <w:marBottom w:val="0"/>
      <w:divBdr>
        <w:top w:val="none" w:sz="0" w:space="0" w:color="auto"/>
        <w:left w:val="none" w:sz="0" w:space="0" w:color="auto"/>
        <w:bottom w:val="none" w:sz="0" w:space="0" w:color="auto"/>
        <w:right w:val="none" w:sz="0" w:space="0" w:color="auto"/>
      </w:divBdr>
    </w:div>
    <w:div w:id="2117214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1509</Words>
  <Characters>8603</Characters>
  <Application>Microsoft Office Word</Application>
  <DocSecurity>0</DocSecurity>
  <Lines>71</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Laraspata</dc:creator>
  <cp:keywords/>
  <dc:description/>
  <cp:lastModifiedBy>Simon Danny Pettinella</cp:lastModifiedBy>
  <cp:revision>40</cp:revision>
  <dcterms:created xsi:type="dcterms:W3CDTF">2020-04-18T10:04:00Z</dcterms:created>
  <dcterms:modified xsi:type="dcterms:W3CDTF">2020-04-19T15:37:00Z</dcterms:modified>
</cp:coreProperties>
</file>