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E2761" w:sz="6" w:space="4"/>
        </w:pBdr>
        <w:spacing w:after="240" w:before="60"/>
      </w:pPr>
      <w:r>
        <w:rPr>
          <w:rFonts w:ascii="Cambria" w:cs="Cambria" w:eastAsia="Cambria" w:hAnsi="Cambria"/>
          <w:b/>
          <w:bCs/>
          <w:color w:val="1E2761"/>
          <w:sz w:val="28"/>
          <w:szCs w:val="28"/>
        </w:rPr>
        <w:t xml:space="preserve">MANUAL DE MODELOS ODYRA</w:t>
      </w:r>
    </w:p>
    <w:p>
      <w:pPr>
        <w:spacing w:after="120" w:before="40"/>
        <w:jc w:val="center"/>
      </w:pPr>
      <w:r>
        <w:rPr>
          <w:rFonts w:ascii="Cambria" w:cs="Cambria" w:eastAsia="Cambria" w:hAnsi="Cambria"/>
          <w:i/>
          <w:iCs/>
          <w:color w:val="6B7280"/>
          <w:sz w:val="22"/>
          <w:szCs w:val="22"/>
        </w:rPr>
        <w:t xml:space="preserve">Sistema Oficial para el Diseño, Desarrollo y Evolución de Modelos</w:t>
      </w:r>
    </w:p>
    <w:p>
      <w:pPr>
        <w:pStyle w:val="Heading1"/>
        <w:pBdr>
          <w:bottom w:val="single" w:color="1E2761" w:sz="6" w:space="4"/>
        </w:pBdr>
        <w:spacing w:after="240" w:before="60"/>
      </w:pPr>
      <w:r>
        <w:rPr>
          <w:rFonts w:ascii="Cambria" w:cs="Cambria" w:eastAsia="Cambria" w:hAnsi="Cambria"/>
          <w:b/>
          <w:bCs/>
          <w:color w:val="1E2761"/>
          <w:sz w:val="28"/>
          <w:szCs w:val="28"/>
        </w:rPr>
        <w:t xml:space="preserve">PRÓLOGO</w:t>
      </w:r>
    </w:p>
    <w:p>
      <w:pPr>
        <w:pStyle w:val="Heading2"/>
        <w:spacing w:after="120" w:before="260"/>
      </w:pPr>
      <w:r>
        <w:rPr>
          <w:rFonts w:ascii="Cambria" w:cs="Cambria" w:eastAsia="Cambria" w:hAnsi="Cambria"/>
          <w:b/>
          <w:bCs/>
          <w:color w:val="1E2761"/>
          <w:sz w:val="26"/>
          <w:szCs w:val="26"/>
        </w:rPr>
        <w:t xml:space="preserve">Los modelos como patrimonio intelectual del Sistema ODYRA</w:t>
      </w:r>
    </w:p>
    <w:p>
      <w:pPr>
        <w:spacing w:after="160" w:line="300"/>
        <w:jc w:val="both"/>
      </w:pPr>
      <w:r>
        <w:rPr>
          <w:rFonts w:ascii="Cambria" w:cs="Cambria" w:eastAsia="Cambria" w:hAnsi="Cambria"/>
          <w:color w:val="000000"/>
          <w:sz w:val="24"/>
          <w:szCs w:val="24"/>
        </w:rPr>
        <w:t xml:space="preserve">Toda escuela de pensamiento necesita convertir sus principios en instrumentos capaces de explicar la realidad y orientar la acción. En el Sistema ODYRA, esa función corresponde a los </w:t>
      </w:r>
      <w:r>
        <w:rPr>
          <w:rFonts w:ascii="Cambria" w:cs="Cambria" w:eastAsia="Cambria" w:hAnsi="Cambria"/>
          <w:b/>
          <w:bCs/>
          <w:color w:val="000000"/>
          <w:sz w:val="24"/>
          <w:szCs w:val="24"/>
        </w:rPr>
        <w:t xml:space="preserve">modelos</w:t>
      </w:r>
      <w:r>
        <w:rPr>
          <w:rFonts w:ascii="Cambria" w:cs="Cambria" w:eastAsia="Cambria" w:hAnsi="Cambria"/>
          <w:color w:val="000000"/>
          <w:sz w:val="24"/>
          <w:szCs w:val="24"/>
        </w:rPr>
        <w:t xml:space="preserve">: representaciones conceptuales que traducen la filosofía de la Escuela en estructuras aplicables a la consultoría estratégica, la gestión organizacional y la inteligencia aplicada.</w:t>
      </w:r>
    </w:p>
    <w:p>
      <w:pPr>
        <w:spacing w:after="160" w:line="300"/>
        <w:jc w:val="both"/>
      </w:pPr>
      <w:r>
        <w:rPr>
          <w:rFonts w:ascii="Cambria" w:cs="Cambria" w:eastAsia="Cambria" w:hAnsi="Cambria"/>
          <w:color w:val="000000"/>
          <w:sz w:val="24"/>
          <w:szCs w:val="24"/>
        </w:rPr>
        <w:t xml:space="preserve">Un modelo no es un documento más entre otros. Es la forma en que ODYRA convierte conocimiento disperso en comprensión estructurada, y comprensión estructurada en decisiones. El </w:t>
      </w:r>
      <w:r>
        <w:rPr>
          <w:rFonts w:ascii="Cambria" w:cs="Cambria" w:eastAsia="Cambria" w:hAnsi="Cambria"/>
          <w:b/>
          <w:bCs/>
          <w:color w:val="000000"/>
          <w:sz w:val="24"/>
          <w:szCs w:val="24"/>
        </w:rPr>
        <w:t xml:space="preserve">Modelo CI–ODYRA</w:t>
      </w:r>
      <w:r>
        <w:rPr>
          <w:rFonts w:ascii="Cambria" w:cs="Cambria" w:eastAsia="Cambria" w:hAnsi="Cambria"/>
          <w:color w:val="000000"/>
          <w:sz w:val="24"/>
          <w:szCs w:val="24"/>
        </w:rPr>
        <w:t xml:space="preserve">, presentado en la Carta Magna y desarrollado en el Libro Cero, es el primer y más importante ejemplo de esta capacidad: explica cómo convergen el conocimiento experto, las metodologías y la inteligencia artificial para producir inteligencia aplicada. Pero no es, ni pretende ser, el único. El Sistema ODYRA está diseñado para que nuevos modelos —hoy apenas imaginados— se incorporen con el tiempo, siempre que respondan a un problema real y se construyan con el mismo rigor.</w:t>
      </w:r>
    </w:p>
    <w:p>
      <w:pPr>
        <w:spacing w:after="160" w:line="300"/>
        <w:jc w:val="both"/>
      </w:pPr>
      <w:r>
        <w:rPr>
          <w:rFonts w:ascii="Cambria" w:cs="Cambria" w:eastAsia="Cambria" w:hAnsi="Cambria"/>
          <w:color w:val="000000"/>
          <w:sz w:val="24"/>
          <w:szCs w:val="24"/>
        </w:rPr>
        <w:t xml:space="preserve">El presente Manual establece ese rigor. Su propósito es doble. Primero, definir con precisión qué es un modelo dentro del Sistema ODYRA, qué principios debe respetar y qué arquitectura debe tener toda representación conceptual que aspire a formar parte del patrimonio oficial de la Escuela. Segundo, establecer el proceso mediante el cual un modelo nace, se valida, se documenta, evoluciona y, cuando corresponde, se retira. Sin ese proceso, cualquier escuela de pensamiento corre el riesgo de acumular ideas sueltas en lugar de construir un cuerpo de conocimiento coherente.</w:t>
      </w:r>
    </w:p>
    <w:p>
      <w:pPr>
        <w:spacing w:after="160" w:line="300"/>
        <w:jc w:val="both"/>
      </w:pPr>
      <w:r>
        <w:rPr>
          <w:rFonts w:ascii="Cambria" w:cs="Cambria" w:eastAsia="Cambria" w:hAnsi="Cambria"/>
          <w:color w:val="000000"/>
          <w:sz w:val="24"/>
          <w:szCs w:val="24"/>
        </w:rPr>
        <w:t xml:space="preserve">Este Manual desarrolla, a nivel operativo, lo que la Arquitectura del Conocimiento ODYRA establece a nivel conceptual: que todo componente del Sistema debe ubicarse dentro de una arquitectura explícita, derivar del nivel que lo antecede y fortalecer el conjunto antes de ampliarlo. Los modelos ocupan el Nivel V de esa arquitectura —entre el Método, que los origina, y las metodologías, que los aplican— y este documento es su reglamento de construcción.</w:t>
      </w:r>
    </w:p>
    <w:p>
      <w:pPr>
        <w:spacing w:after="160" w:line="300"/>
        <w:jc w:val="both"/>
      </w:pPr>
      <w:r>
        <w:rPr>
          <w:rFonts w:ascii="Cambria" w:cs="Cambria" w:eastAsia="Cambria" w:hAnsi="Cambria"/>
          <w:color w:val="000000"/>
          <w:sz w:val="24"/>
          <w:szCs w:val="24"/>
        </w:rPr>
        <w:t xml:space="preserve">Por ello, el Manual de Modelos ODYRA no es un catálogo de técnicas. Es el sistema que garantiza que cada nuevo modelo, sin importar quién lo proponga ni cuándo se incorpore, hable el mismo lenguaje, responda a los mismos principios y contribuya al mismo propósito: ampliar la capacidad de las organizaciones y las personas para comprender su realidad y transformarla con criterio.</w:t>
      </w:r>
    </w:p>
    <w:p>
      <w:pPr>
        <w:pStyle w:val="Heading1"/>
        <w:pageBreakBefore/>
        <w:spacing w:after="60" w:before="200"/>
      </w:pPr>
      <w:r>
        <w:rPr>
          <w:rFonts w:ascii="Cambria" w:cs="Cambria" w:eastAsia="Cambria" w:hAnsi="Cambria"/>
          <w:b/>
          <w:bCs/>
          <w:color w:val="1E2761"/>
          <w:sz w:val="22"/>
          <w:szCs w:val="22"/>
        </w:rPr>
        <w:t xml:space="preserve">PARTE I</w:t>
      </w:r>
    </w:p>
    <w:p>
      <w:pPr>
        <w:pStyle w:val="Heading2"/>
        <w:spacing w:after="120" w:before="260"/>
      </w:pPr>
      <w:r>
        <w:rPr>
          <w:rFonts w:ascii="Cambria" w:cs="Cambria" w:eastAsia="Cambria" w:hAnsi="Cambria"/>
          <w:b/>
          <w:bCs/>
          <w:color w:val="1E2761"/>
          <w:sz w:val="26"/>
          <w:szCs w:val="26"/>
        </w:rPr>
        <w:t xml:space="preserve">LA NATURALEZA DE LOS MODELOS EN ODYRA</w:t>
      </w:r>
    </w:p>
    <w:p>
      <w:pPr>
        <w:pStyle w:val="Heading3"/>
        <w:spacing w:after="100" w:before="200"/>
      </w:pPr>
      <w:r>
        <w:rPr>
          <w:rFonts w:ascii="Cambria" w:cs="Cambria" w:eastAsia="Cambria" w:hAnsi="Cambria"/>
          <w:b/>
          <w:bCs/>
          <w:color w:val="1E2761"/>
          <w:sz w:val="23"/>
          <w:szCs w:val="23"/>
        </w:rPr>
        <w:t xml:space="preserve">Capítulo 1. ¿Qué es un modelo?</w:t>
      </w:r>
    </w:p>
    <w:p>
      <w:pPr>
        <w:spacing w:after="160" w:line="300"/>
        <w:jc w:val="both"/>
      </w:pPr>
      <w:r>
        <w:rPr>
          <w:rFonts w:ascii="Cambria" w:cs="Cambria" w:eastAsia="Cambria" w:hAnsi="Cambria"/>
          <w:color w:val="000000"/>
          <w:sz w:val="24"/>
          <w:szCs w:val="24"/>
        </w:rPr>
        <w:t xml:space="preserve">En el Sistema ODYRA, un </w:t>
      </w:r>
      <w:r>
        <w:rPr>
          <w:rFonts w:ascii="Cambria" w:cs="Cambria" w:eastAsia="Cambria" w:hAnsi="Cambria"/>
          <w:b/>
          <w:bCs/>
          <w:color w:val="000000"/>
          <w:sz w:val="24"/>
          <w:szCs w:val="24"/>
        </w:rPr>
        <w:t xml:space="preserve">modelo</w:t>
      </w:r>
      <w:r>
        <w:rPr>
          <w:rFonts w:ascii="Cambria" w:cs="Cambria" w:eastAsia="Cambria" w:hAnsi="Cambria"/>
          <w:color w:val="000000"/>
          <w:sz w:val="24"/>
          <w:szCs w:val="24"/>
        </w:rPr>
        <w:t xml:space="preserve"> es una representación conceptual que explica un fenómeno específico de la consultoría estratégica o la inteligencia aplicada, y que permite comprenderlo, analizarlo y actuar sobre él de manera estructurada. Un modelo no describe un procedimiento: describe una relación. Responde a la pregunta </w:t>
      </w:r>
      <w:r>
        <w:rPr>
          <w:rFonts w:ascii="Cambria" w:cs="Cambria" w:eastAsia="Cambria" w:hAnsi="Cambria"/>
          <w:b/>
          <w:bCs/>
          <w:color w:val="000000"/>
          <w:sz w:val="24"/>
          <w:szCs w:val="24"/>
        </w:rPr>
        <w:t xml:space="preserve">¿cómo funciona esto?</w:t>
      </w:r>
      <w:r>
        <w:rPr>
          <w:rFonts w:ascii="Cambria" w:cs="Cambria" w:eastAsia="Cambria" w:hAnsi="Cambria"/>
          <w:color w:val="000000"/>
          <w:sz w:val="24"/>
          <w:szCs w:val="24"/>
        </w:rPr>
        <w:t xml:space="preserve">, no a la pregunta </w:t>
      </w:r>
      <w:r>
        <w:rPr>
          <w:rFonts w:ascii="Cambria" w:cs="Cambria" w:eastAsia="Cambria" w:hAnsi="Cambria"/>
          <w:b/>
          <w:bCs/>
          <w:color w:val="000000"/>
          <w:sz w:val="24"/>
          <w:szCs w:val="24"/>
        </w:rPr>
        <w:t xml:space="preserve">¿qué pasos debo seguir?</w:t>
      </w:r>
    </w:p>
    <w:p>
      <w:pPr>
        <w:spacing w:after="160" w:line="300"/>
        <w:jc w:val="both"/>
      </w:pPr>
      <w:r>
        <w:rPr>
          <w:rFonts w:ascii="Cambria" w:cs="Cambria" w:eastAsia="Cambria" w:hAnsi="Cambria"/>
          <w:color w:val="000000"/>
          <w:sz w:val="24"/>
          <w:szCs w:val="24"/>
        </w:rPr>
        <w:t xml:space="preserve">Esta distinción es la que separa a un modelo de los demás componentes del Sistema:</w:t>
      </w:r>
    </w:p>
    <w:p>
      <w:pPr>
        <w:pStyle w:val="ListParagraph"/>
        <w:numPr>
          <w:ilvl w:val="0"/>
          <w:numId w:val="1"/>
        </w:numPr>
        <w:spacing w:after="80"/>
        <w:jc w:val="both"/>
      </w:pPr>
      <w:r>
        <w:rPr>
          <w:rFonts w:ascii="Cambria" w:cs="Cambria" w:eastAsia="Cambria" w:hAnsi="Cambria"/>
          <w:color w:val="000000"/>
          <w:sz w:val="23"/>
          <w:szCs w:val="23"/>
        </w:rPr>
        <w:t xml:space="preserve">Un </w:t>
      </w:r>
      <w:r>
        <w:rPr>
          <w:rFonts w:ascii="Cambria" w:cs="Cambria" w:eastAsia="Cambria" w:hAnsi="Cambria"/>
          <w:b/>
          <w:bCs/>
          <w:color w:val="000000"/>
          <w:sz w:val="23"/>
          <w:szCs w:val="23"/>
        </w:rPr>
        <w:t xml:space="preserve">modelo</w:t>
      </w:r>
      <w:r>
        <w:rPr>
          <w:rFonts w:ascii="Cambria" w:cs="Cambria" w:eastAsia="Cambria" w:hAnsi="Cambria"/>
          <w:color w:val="000000"/>
          <w:sz w:val="23"/>
          <w:szCs w:val="23"/>
        </w:rPr>
        <w:t xml:space="preserve"> explica un fenómeno mediante principios, componentes y relaciones. Es, ante todo, una forma de comprender.</w:t>
      </w:r>
    </w:p>
    <w:p>
      <w:pPr>
        <w:pStyle w:val="ListParagraph"/>
        <w:numPr>
          <w:ilvl w:val="0"/>
          <w:numId w:val="1"/>
        </w:numPr>
        <w:spacing w:after="80"/>
        <w:jc w:val="both"/>
      </w:pPr>
      <w:r>
        <w:rPr>
          <w:rFonts w:ascii="Cambria" w:cs="Cambria" w:eastAsia="Cambria" w:hAnsi="Cambria"/>
          <w:color w:val="000000"/>
          <w:sz w:val="23"/>
          <w:szCs w:val="23"/>
        </w:rPr>
        <w:t xml:space="preserve">Una </w:t>
      </w:r>
      <w:r>
        <w:rPr>
          <w:rFonts w:ascii="Cambria" w:cs="Cambria" w:eastAsia="Cambria" w:hAnsi="Cambria"/>
          <w:b/>
          <w:bCs/>
          <w:color w:val="000000"/>
          <w:sz w:val="23"/>
          <w:szCs w:val="23"/>
        </w:rPr>
        <w:t xml:space="preserve">metodología</w:t>
      </w:r>
      <w:r>
        <w:rPr>
          <w:rFonts w:ascii="Cambria" w:cs="Cambria" w:eastAsia="Cambria" w:hAnsi="Cambria"/>
          <w:color w:val="000000"/>
          <w:sz w:val="23"/>
          <w:szCs w:val="23"/>
        </w:rPr>
        <w:t xml:space="preserve"> traduce un modelo en un procedimiento aplicable a un contexto específico. Es una forma de actuar.</w:t>
      </w:r>
    </w:p>
    <w:p>
      <w:pPr>
        <w:pStyle w:val="ListParagraph"/>
        <w:numPr>
          <w:ilvl w:val="0"/>
          <w:numId w:val="1"/>
        </w:numPr>
        <w:spacing w:after="80"/>
        <w:jc w:val="both"/>
      </w:pPr>
      <w:r>
        <w:rPr>
          <w:rFonts w:ascii="Cambria" w:cs="Cambria" w:eastAsia="Cambria" w:hAnsi="Cambria"/>
          <w:color w:val="000000"/>
          <w:sz w:val="23"/>
          <w:szCs w:val="23"/>
        </w:rPr>
        <w:t xml:space="preserve">Un </w:t>
      </w:r>
      <w:r>
        <w:rPr>
          <w:rFonts w:ascii="Cambria" w:cs="Cambria" w:eastAsia="Cambria" w:hAnsi="Cambria"/>
          <w:b/>
          <w:bCs/>
          <w:color w:val="000000"/>
          <w:sz w:val="23"/>
          <w:szCs w:val="23"/>
        </w:rPr>
        <w:t xml:space="preserve">framework</w:t>
      </w:r>
      <w:r>
        <w:rPr>
          <w:rFonts w:ascii="Cambria" w:cs="Cambria" w:eastAsia="Cambria" w:hAnsi="Cambria"/>
          <w:color w:val="000000"/>
          <w:sz w:val="23"/>
          <w:szCs w:val="23"/>
        </w:rPr>
        <w:t xml:space="preserve"> organiza varias metodologías o herramientas dentro de una estructura práctica de intervención. Es una forma de organizar la acción.</w:t>
      </w:r>
    </w:p>
    <w:p>
      <w:pPr>
        <w:pStyle w:val="ListParagraph"/>
        <w:numPr>
          <w:ilvl w:val="0"/>
          <w:numId w:val="1"/>
        </w:numPr>
        <w:spacing w:after="80"/>
        <w:jc w:val="both"/>
      </w:pPr>
      <w:r>
        <w:rPr>
          <w:rFonts w:ascii="Cambria" w:cs="Cambria" w:eastAsia="Cambria" w:hAnsi="Cambria"/>
          <w:color w:val="000000"/>
          <w:sz w:val="23"/>
          <w:szCs w:val="23"/>
        </w:rPr>
        <w:t xml:space="preserve">Una </w:t>
      </w:r>
      <w:r>
        <w:rPr>
          <w:rFonts w:ascii="Cambria" w:cs="Cambria" w:eastAsia="Cambria" w:hAnsi="Cambria"/>
          <w:b/>
          <w:bCs/>
          <w:color w:val="000000"/>
          <w:sz w:val="23"/>
          <w:szCs w:val="23"/>
        </w:rPr>
        <w:t xml:space="preserve">herramienta</w:t>
      </w:r>
      <w:r>
        <w:rPr>
          <w:rFonts w:ascii="Cambria" w:cs="Cambria" w:eastAsia="Cambria" w:hAnsi="Cambria"/>
          <w:color w:val="000000"/>
          <w:sz w:val="23"/>
          <w:szCs w:val="23"/>
        </w:rPr>
        <w:t xml:space="preserve"> es el instrumento concreto —una plantilla, una matriz, un canvas— mediante el cual una metodología se ejecuta. Es una forma de operar.</w:t>
      </w:r>
    </w:p>
    <w:p>
      <w:pPr>
        <w:pStyle w:val="ListParagraph"/>
        <w:numPr>
          <w:ilvl w:val="0"/>
          <w:numId w:val="1"/>
        </w:numPr>
        <w:spacing w:after="80"/>
        <w:jc w:val="both"/>
      </w:pPr>
      <w:r>
        <w:rPr>
          <w:rFonts w:ascii="Cambria" w:cs="Cambria" w:eastAsia="Cambria" w:hAnsi="Cambria"/>
          <w:color w:val="000000"/>
          <w:sz w:val="23"/>
          <w:szCs w:val="23"/>
        </w:rPr>
        <w:t xml:space="preserve">Un </w:t>
      </w:r>
      <w:r>
        <w:rPr>
          <w:rFonts w:ascii="Cambria" w:cs="Cambria" w:eastAsia="Cambria" w:hAnsi="Cambria"/>
          <w:b/>
          <w:bCs/>
          <w:color w:val="000000"/>
          <w:sz w:val="23"/>
          <w:szCs w:val="23"/>
        </w:rPr>
        <w:t xml:space="preserve">procedimiento</w:t>
      </w:r>
      <w:r>
        <w:rPr>
          <w:rFonts w:ascii="Cambria" w:cs="Cambria" w:eastAsia="Cambria" w:hAnsi="Cambria"/>
          <w:color w:val="000000"/>
          <w:sz w:val="23"/>
          <w:szCs w:val="23"/>
        </w:rPr>
        <w:t xml:space="preserve"> es la secuencia mínima de instrucciones para completar una tarea específica. Es una forma de ejecutar.</w:t>
      </w:r>
    </w:p>
    <w:p>
      <w:pPr>
        <w:spacing w:after="160" w:line="300"/>
        <w:jc w:val="both"/>
      </w:pPr>
      <w:r>
        <w:rPr>
          <w:rFonts w:ascii="Cambria" w:cs="Cambria" w:eastAsia="Cambria" w:hAnsi="Cambria"/>
          <w:color w:val="000000"/>
          <w:sz w:val="24"/>
          <w:szCs w:val="24"/>
        </w:rPr>
        <w:t xml:space="preserve">Un modelo, por tanto, antecede y fundamenta a las metodologías, los frameworks, las herramientas y los procedimientos que de él se derivan. Sin un modelo que lo sustente, cualquier instrumento de consultoría queda reducido a una técnica sin teoría: puede funcionar, pero no puede explicarse ni evolucionar con coherencia. Esta es la razón por la cual el Sistema ODYRA exige que todo desarrollo metodológico relevante derive explícitamente de un modelo reconocido.</w:t>
      </w:r>
    </w:p>
    <w:p>
      <w:pPr>
        <w:pStyle w:val="Heading3"/>
        <w:spacing w:after="100" w:before="200"/>
      </w:pPr>
      <w:r>
        <w:rPr>
          <w:rFonts w:ascii="Cambria" w:cs="Cambria" w:eastAsia="Cambria" w:hAnsi="Cambria"/>
          <w:b/>
          <w:bCs/>
          <w:color w:val="1E2761"/>
          <w:sz w:val="23"/>
          <w:szCs w:val="23"/>
        </w:rPr>
        <w:t xml:space="preserve">Capítulo 2. El papel de los modelos dentro del Sistema ODYRA</w:t>
      </w:r>
    </w:p>
    <w:p>
      <w:pPr>
        <w:spacing w:after="160" w:line="300"/>
        <w:jc w:val="both"/>
      </w:pPr>
      <w:r>
        <w:rPr>
          <w:rFonts w:ascii="Cambria" w:cs="Cambria" w:eastAsia="Cambria" w:hAnsi="Cambria"/>
          <w:color w:val="000000"/>
          <w:sz w:val="24"/>
          <w:szCs w:val="24"/>
        </w:rPr>
        <w:t xml:space="preserve">Los modelos ocupan un lugar preciso dentro de la Arquitectura Conceptual del Sistema ODYRA: son el puente entre la filosofía de la Escuela y su aplicación práctica. La Carta Magna establece los principios; el Libro Cero desarrolla la doctrina; el Método ODYRA traduce esos principios en un camino de transformación; y los modelos explican, con el detalle necesario, los fenómenos específicos que ese camino atraviesa.</w:t>
      </w:r>
    </w:p>
    <w:p>
      <w:pPr>
        <w:spacing w:after="160" w:line="300"/>
        <w:jc w:val="both"/>
      </w:pPr>
      <w:r>
        <w:rPr>
          <w:rFonts w:ascii="Cambria" w:cs="Cambria" w:eastAsia="Cambria" w:hAnsi="Cambria"/>
          <w:color w:val="000000"/>
          <w:sz w:val="24"/>
          <w:szCs w:val="24"/>
        </w:rPr>
        <w:t xml:space="preserve">Sin modelos, el Método ODYRA sería una declaración de intenciones sin mecanismo interno. El </w:t>
      </w:r>
      <w:r>
        <w:rPr>
          <w:rFonts w:ascii="Cambria" w:cs="Cambria" w:eastAsia="Cambria" w:hAnsi="Cambria"/>
          <w:b/>
          <w:bCs/>
          <w:color w:val="000000"/>
          <w:sz w:val="24"/>
          <w:szCs w:val="24"/>
        </w:rPr>
        <w:t xml:space="preserve">Modelo CI–ODYRA</w:t>
      </w:r>
      <w:r>
        <w:rPr>
          <w:rFonts w:ascii="Cambria" w:cs="Cambria" w:eastAsia="Cambria" w:hAnsi="Cambria"/>
          <w:color w:val="000000"/>
          <w:sz w:val="24"/>
          <w:szCs w:val="24"/>
        </w:rPr>
        <w:t xml:space="preserve"> explica cómo convergen conocimiento, metodología e inteligencia artificial; el </w:t>
      </w:r>
      <w:r>
        <w:rPr>
          <w:rFonts w:ascii="Cambria" w:cs="Cambria" w:eastAsia="Cambria" w:hAnsi="Cambria"/>
          <w:b/>
          <w:bCs/>
          <w:color w:val="000000"/>
          <w:sz w:val="24"/>
          <w:szCs w:val="24"/>
        </w:rPr>
        <w:t xml:space="preserve">Tren de Transformación Estratégica (TTE–ODYRA)</w:t>
      </w:r>
      <w:r>
        <w:rPr>
          <w:rFonts w:ascii="Cambria" w:cs="Cambria" w:eastAsia="Cambria" w:hAnsi="Cambria"/>
          <w:color w:val="000000"/>
          <w:sz w:val="24"/>
          <w:szCs w:val="24"/>
        </w:rPr>
        <w:t xml:space="preserve"> explica cómo se recorre el camino de la transformación organizacional; el </w:t>
      </w:r>
      <w:r>
        <w:rPr>
          <w:rFonts w:ascii="Cambria" w:cs="Cambria" w:eastAsia="Cambria" w:hAnsi="Cambria"/>
          <w:b/>
          <w:bCs/>
          <w:color w:val="000000"/>
          <w:sz w:val="24"/>
          <w:szCs w:val="24"/>
        </w:rPr>
        <w:t xml:space="preserve">Marco de Razonamiento Estratégico (MRE–ODYRA)</w:t>
      </w:r>
      <w:r>
        <w:rPr>
          <w:rFonts w:ascii="Cambria" w:cs="Cambria" w:eastAsia="Cambria" w:hAnsi="Cambria"/>
          <w:color w:val="000000"/>
          <w:sz w:val="24"/>
          <w:szCs w:val="24"/>
        </w:rPr>
        <w:t xml:space="preserve"> explica cómo debe pensar un consultor antes de decidir. Cada uno de estos modelos convierte un principio filosófico en una estructura que puede enseñarse, aplicarse y evaluarse.</w:t>
      </w:r>
    </w:p>
    <w:p>
      <w:pPr>
        <w:spacing w:after="160" w:line="300"/>
        <w:jc w:val="both"/>
      </w:pPr>
      <w:r>
        <w:rPr>
          <w:rFonts w:ascii="Cambria" w:cs="Cambria" w:eastAsia="Cambria" w:hAnsi="Cambria"/>
          <w:color w:val="000000"/>
          <w:sz w:val="24"/>
          <w:szCs w:val="24"/>
        </w:rPr>
        <w:t xml:space="preserve">Por esta razón, todo modelo que se incorpore al Sistema ODYRA deberá poder responder, sin ambigüedad, dos preguntas: ¿qué principio de la Carta Magna o el Canon Intelectual desarrolla?, y ¿qué metodologías o herramientas podrán derivarse de él? Un modelo que no pueda responder ambas preguntas no está listo para incorporarse al Sistema.</w:t>
      </w:r>
    </w:p>
    <w:p>
      <w:pPr>
        <w:pStyle w:val="Heading3"/>
        <w:spacing w:after="100" w:before="200"/>
      </w:pPr>
      <w:r>
        <w:rPr>
          <w:rFonts w:ascii="Cambria" w:cs="Cambria" w:eastAsia="Cambria" w:hAnsi="Cambria"/>
          <w:b/>
          <w:bCs/>
          <w:color w:val="1E2761"/>
          <w:sz w:val="23"/>
          <w:szCs w:val="23"/>
        </w:rPr>
        <w:t xml:space="preserve">Capítulo 3. Principios que rigen los modelos ODYRA</w:t>
      </w:r>
    </w:p>
    <w:p>
      <w:pPr>
        <w:spacing w:after="160" w:line="300"/>
        <w:jc w:val="both"/>
      </w:pPr>
      <w:r>
        <w:rPr>
          <w:rFonts w:ascii="Cambria" w:cs="Cambria" w:eastAsia="Cambria" w:hAnsi="Cambria"/>
          <w:color w:val="000000"/>
          <w:sz w:val="24"/>
          <w:szCs w:val="24"/>
        </w:rPr>
        <w:t xml:space="preserve">Todo modelo oficial del Sistema ODYRA deberá cumplir los siguientes ocho principios:</w:t>
      </w:r>
    </w:p>
    <w:p>
      <w:pPr>
        <w:pStyle w:val="ListParagraph"/>
        <w:numPr>
          <w:ilvl w:val="0"/>
          <w:numId w:val="1"/>
        </w:numPr>
        <w:spacing w:after="80"/>
        <w:jc w:val="both"/>
      </w:pPr>
      <w:r>
        <w:rPr>
          <w:rFonts w:ascii="Cambria" w:cs="Cambria" w:eastAsia="Cambria" w:hAnsi="Cambria"/>
          <w:b/>
          <w:bCs/>
          <w:color w:val="000000"/>
          <w:sz w:val="23"/>
          <w:szCs w:val="23"/>
        </w:rPr>
        <w:t xml:space="preserve">Coherencia conceptual.</w:t>
      </w:r>
      <w:r>
        <w:rPr>
          <w:rFonts w:ascii="Cambria" w:cs="Cambria" w:eastAsia="Cambria" w:hAnsi="Cambria"/>
          <w:color w:val="000000"/>
          <w:sz w:val="23"/>
          <w:szCs w:val="23"/>
        </w:rPr>
        <w:t xml:space="preserve"> El modelo no puede contradecir los principios establecidos en la Carta Magna ni en el Canon Intelectual ODYRA. Toda relación que proponga debe ser consistente con la filosofía de la Escuela.</w:t>
      </w:r>
    </w:p>
    <w:p>
      <w:pPr>
        <w:pStyle w:val="ListParagraph"/>
        <w:numPr>
          <w:ilvl w:val="0"/>
          <w:numId w:val="1"/>
        </w:numPr>
        <w:spacing w:after="80"/>
        <w:jc w:val="both"/>
      </w:pPr>
      <w:r>
        <w:rPr>
          <w:rFonts w:ascii="Cambria" w:cs="Cambria" w:eastAsia="Cambria" w:hAnsi="Cambria"/>
          <w:b/>
          <w:bCs/>
          <w:color w:val="000000"/>
          <w:sz w:val="23"/>
          <w:szCs w:val="23"/>
        </w:rPr>
        <w:t xml:space="preserve">Simplicidad estructural.</w:t>
      </w:r>
      <w:r>
        <w:rPr>
          <w:rFonts w:ascii="Cambria" w:cs="Cambria" w:eastAsia="Cambria" w:hAnsi="Cambria"/>
          <w:color w:val="000000"/>
          <w:sz w:val="23"/>
          <w:szCs w:val="23"/>
        </w:rPr>
        <w:t xml:space="preserve"> Un modelo debe poder explicarse con claridad a quien lo conoce por primera vez. La complejidad de un fenómeno no justifica la complejidad innecesaria de su representación.</w:t>
      </w:r>
    </w:p>
    <w:p>
      <w:pPr>
        <w:pStyle w:val="ListParagraph"/>
        <w:numPr>
          <w:ilvl w:val="0"/>
          <w:numId w:val="1"/>
        </w:numPr>
        <w:spacing w:after="80"/>
        <w:jc w:val="both"/>
      </w:pPr>
      <w:r>
        <w:rPr>
          <w:rFonts w:ascii="Cambria" w:cs="Cambria" w:eastAsia="Cambria" w:hAnsi="Cambria"/>
          <w:b/>
          <w:bCs/>
          <w:color w:val="000000"/>
          <w:sz w:val="23"/>
          <w:szCs w:val="23"/>
        </w:rPr>
        <w:t xml:space="preserve">Utilidad práctica.</w:t>
      </w:r>
      <w:r>
        <w:rPr>
          <w:rFonts w:ascii="Cambria" w:cs="Cambria" w:eastAsia="Cambria" w:hAnsi="Cambria"/>
          <w:color w:val="000000"/>
          <w:sz w:val="23"/>
          <w:szCs w:val="23"/>
        </w:rPr>
        <w:t xml:space="preserve"> Todo modelo debe permitir, directa o indirectamente, la derivación de metodologías o herramientas aplicables. Un modelo que no pueda aplicarse permanece como especulación teórica.</w:t>
      </w:r>
    </w:p>
    <w:p>
      <w:pPr>
        <w:pStyle w:val="ListParagraph"/>
        <w:numPr>
          <w:ilvl w:val="0"/>
          <w:numId w:val="1"/>
        </w:numPr>
        <w:spacing w:after="80"/>
        <w:jc w:val="both"/>
      </w:pPr>
      <w:r>
        <w:rPr>
          <w:rFonts w:ascii="Cambria" w:cs="Cambria" w:eastAsia="Cambria" w:hAnsi="Cambria"/>
          <w:b/>
          <w:bCs/>
          <w:color w:val="000000"/>
          <w:sz w:val="23"/>
          <w:szCs w:val="23"/>
        </w:rPr>
        <w:t xml:space="preserve">Capacidad de integración.</w:t>
      </w:r>
      <w:r>
        <w:rPr>
          <w:rFonts w:ascii="Cambria" w:cs="Cambria" w:eastAsia="Cambria" w:hAnsi="Cambria"/>
          <w:color w:val="000000"/>
          <w:sz w:val="23"/>
          <w:szCs w:val="23"/>
        </w:rPr>
        <w:t xml:space="preserve"> Un modelo debe poder relacionarse con los demás modelos del Sistema sin generar contradicciones. La fortaleza del Sistema ODYRA reside en la coherencia entre sus modelos, no en su acumulación.</w:t>
      </w:r>
    </w:p>
    <w:p>
      <w:pPr>
        <w:pStyle w:val="ListParagraph"/>
        <w:numPr>
          <w:ilvl w:val="0"/>
          <w:numId w:val="1"/>
        </w:numPr>
        <w:spacing w:after="80"/>
        <w:jc w:val="both"/>
      </w:pPr>
      <w:r>
        <w:rPr>
          <w:rFonts w:ascii="Cambria" w:cs="Cambria" w:eastAsia="Cambria" w:hAnsi="Cambria"/>
          <w:b/>
          <w:bCs/>
          <w:color w:val="000000"/>
          <w:sz w:val="23"/>
          <w:szCs w:val="23"/>
        </w:rPr>
        <w:t xml:space="preserve">Adaptabilidad.</w:t>
      </w:r>
      <w:r>
        <w:rPr>
          <w:rFonts w:ascii="Cambria" w:cs="Cambria" w:eastAsia="Cambria" w:hAnsi="Cambria"/>
          <w:color w:val="000000"/>
          <w:sz w:val="23"/>
          <w:szCs w:val="23"/>
        </w:rPr>
        <w:t xml:space="preserve"> Un modelo debe conservar su validez en distintos contextos, sectores y escalas de intervención, aunque su aplicación práctica varíe según el caso.</w:t>
      </w:r>
    </w:p>
    <w:p>
      <w:pPr>
        <w:pStyle w:val="ListParagraph"/>
        <w:numPr>
          <w:ilvl w:val="0"/>
          <w:numId w:val="1"/>
        </w:numPr>
        <w:spacing w:after="80"/>
        <w:jc w:val="both"/>
      </w:pPr>
      <w:r>
        <w:rPr>
          <w:rFonts w:ascii="Cambria" w:cs="Cambria" w:eastAsia="Cambria" w:hAnsi="Cambria"/>
          <w:b/>
          <w:bCs/>
          <w:color w:val="000000"/>
          <w:sz w:val="23"/>
          <w:szCs w:val="23"/>
        </w:rPr>
        <w:t xml:space="preserve">Evolución permanente.</w:t>
      </w:r>
      <w:r>
        <w:rPr>
          <w:rFonts w:ascii="Cambria" w:cs="Cambria" w:eastAsia="Cambria" w:hAnsi="Cambria"/>
          <w:color w:val="000000"/>
          <w:sz w:val="23"/>
          <w:szCs w:val="23"/>
        </w:rPr>
        <w:t xml:space="preserve"> Ningún modelo se considera definitivo. Todo modelo debe poder mejorar a partir de nueva evidencia, sin que ello comprometa su identidad conceptual.</w:t>
      </w:r>
    </w:p>
    <w:p>
      <w:pPr>
        <w:pStyle w:val="ListParagraph"/>
        <w:numPr>
          <w:ilvl w:val="0"/>
          <w:numId w:val="1"/>
        </w:numPr>
        <w:spacing w:after="80"/>
        <w:jc w:val="both"/>
      </w:pPr>
      <w:r>
        <w:rPr>
          <w:rFonts w:ascii="Cambria" w:cs="Cambria" w:eastAsia="Cambria" w:hAnsi="Cambria"/>
          <w:b/>
          <w:bCs/>
          <w:color w:val="000000"/>
          <w:sz w:val="23"/>
          <w:szCs w:val="23"/>
        </w:rPr>
        <w:t xml:space="preserve">Fundamentación ética.</w:t>
      </w:r>
      <w:r>
        <w:rPr>
          <w:rFonts w:ascii="Cambria" w:cs="Cambria" w:eastAsia="Cambria" w:hAnsi="Cambria"/>
          <w:color w:val="000000"/>
          <w:sz w:val="23"/>
          <w:szCs w:val="23"/>
        </w:rPr>
        <w:t xml:space="preserve"> Todo modelo debe orientarse por los principios éticos establecidos en el Canon Intelectual ODYRA, particularmente en lo relativo al papel de la inteligencia artificial y a la centralidad del ser humano.</w:t>
      </w:r>
    </w:p>
    <w:p>
      <w:pPr>
        <w:pStyle w:val="ListParagraph"/>
        <w:numPr>
          <w:ilvl w:val="0"/>
          <w:numId w:val="1"/>
        </w:numPr>
        <w:spacing w:after="80"/>
        <w:jc w:val="both"/>
      </w:pPr>
      <w:r>
        <w:rPr>
          <w:rFonts w:ascii="Cambria" w:cs="Cambria" w:eastAsia="Cambria" w:hAnsi="Cambria"/>
          <w:b/>
          <w:bCs/>
          <w:color w:val="000000"/>
          <w:sz w:val="23"/>
          <w:szCs w:val="23"/>
        </w:rPr>
        <w:t xml:space="preserve">Orientación al fortalecimiento de capacidades.</w:t>
      </w:r>
      <w:r>
        <w:rPr>
          <w:rFonts w:ascii="Cambria" w:cs="Cambria" w:eastAsia="Cambria" w:hAnsi="Cambria"/>
          <w:color w:val="000000"/>
          <w:sz w:val="23"/>
          <w:szCs w:val="23"/>
        </w:rPr>
        <w:t xml:space="preserve"> Un modelo no existe para producir dependencia hacia quien lo aplica. Su propósito último es siempre ampliar la capacidad de las organizaciones y las personas para comprender, decidir y transformar su realidad por sí mismas.</w:t>
      </w:r>
    </w:p>
    <w:p>
      <w:pPr>
        <w:spacing w:after="160" w:line="300"/>
        <w:jc w:val="both"/>
      </w:pPr>
      <w:r>
        <w:rPr>
          <w:rFonts w:ascii="Cambria" w:cs="Cambria" w:eastAsia="Cambria" w:hAnsi="Cambria"/>
          <w:color w:val="000000"/>
          <w:sz w:val="24"/>
          <w:szCs w:val="24"/>
        </w:rPr>
        <w:t xml:space="preserve">Estos ocho principios constituyen el criterio de admisión de todo modelo al Sistema ODYRA. Un modelo que incumpla alguno de ellos no podrá alcanzar el estatus de modelo oficial, sin importar su utilidad aparente.</w:t>
      </w:r>
    </w:p>
    <w:p>
      <w:pPr>
        <w:pStyle w:val="Heading1"/>
        <w:pageBreakBefore/>
        <w:spacing w:after="60" w:before="200"/>
      </w:pPr>
      <w:r>
        <w:rPr>
          <w:rFonts w:ascii="Cambria" w:cs="Cambria" w:eastAsia="Cambria" w:hAnsi="Cambria"/>
          <w:b/>
          <w:bCs/>
          <w:color w:val="1E2761"/>
          <w:sz w:val="22"/>
          <w:szCs w:val="22"/>
        </w:rPr>
        <w:t xml:space="preserve">PARTE II</w:t>
      </w:r>
    </w:p>
    <w:p>
      <w:pPr>
        <w:pStyle w:val="Heading2"/>
        <w:spacing w:after="120" w:before="260"/>
      </w:pPr>
      <w:r>
        <w:rPr>
          <w:rFonts w:ascii="Cambria" w:cs="Cambria" w:eastAsia="Cambria" w:hAnsi="Cambria"/>
          <w:b/>
          <w:bCs/>
          <w:color w:val="1E2761"/>
          <w:sz w:val="26"/>
          <w:szCs w:val="26"/>
        </w:rPr>
        <w:t xml:space="preserve">ARQUITECTURA DE UN MODELO ODYRA</w:t>
      </w:r>
    </w:p>
    <w:p>
      <w:pPr>
        <w:spacing w:after="160" w:line="300"/>
        <w:jc w:val="both"/>
      </w:pPr>
      <w:r>
        <w:rPr>
          <w:rFonts w:ascii="Cambria" w:cs="Cambria" w:eastAsia="Cambria" w:hAnsi="Cambria"/>
          <w:color w:val="000000"/>
          <w:sz w:val="24"/>
          <w:szCs w:val="24"/>
        </w:rPr>
        <w:t xml:space="preserve">Todo modelo que aspire a formar parte del Sistema ODYRA deberá documentarse conforme a una misma arquitectura de trece componentes. Esta estructura no es una formalidad administrativa: es el estándar que permite comparar, relacionar y validar modelos de naturaleza distinta bajo un mismo criterio de rigor.</w:t>
      </w:r>
    </w:p>
    <w:p>
      <w:pPr>
        <w:pStyle w:val="ListParagraph"/>
        <w:numPr>
          <w:ilvl w:val="0"/>
          <w:numId w:val="1"/>
        </w:numPr>
        <w:spacing w:after="80"/>
        <w:jc w:val="both"/>
      </w:pPr>
      <w:r>
        <w:rPr>
          <w:rFonts w:ascii="Cambria" w:cs="Cambria" w:eastAsia="Cambria" w:hAnsi="Cambria"/>
          <w:b/>
          <w:bCs/>
          <w:color w:val="000000"/>
          <w:sz w:val="23"/>
          <w:szCs w:val="23"/>
        </w:rPr>
        <w:t xml:space="preserve">Propósito.</w:t>
      </w:r>
      <w:r>
        <w:rPr>
          <w:rFonts w:ascii="Cambria" w:cs="Cambria" w:eastAsia="Cambria" w:hAnsi="Cambria"/>
          <w:color w:val="000000"/>
          <w:sz w:val="23"/>
          <w:szCs w:val="23"/>
        </w:rPr>
        <w:t xml:space="preserve"> La razón de ser del modelo, expresada en una o dos frases. Responde a la pregunta: ¿para qué existe este modelo?</w:t>
      </w:r>
    </w:p>
    <w:p>
      <w:pPr>
        <w:pStyle w:val="ListParagraph"/>
        <w:numPr>
          <w:ilvl w:val="0"/>
          <w:numId w:val="1"/>
        </w:numPr>
        <w:spacing w:after="80"/>
        <w:jc w:val="both"/>
      </w:pPr>
      <w:r>
        <w:rPr>
          <w:rFonts w:ascii="Cambria" w:cs="Cambria" w:eastAsia="Cambria" w:hAnsi="Cambria"/>
          <w:b/>
          <w:bCs/>
          <w:color w:val="000000"/>
          <w:sz w:val="23"/>
          <w:szCs w:val="23"/>
        </w:rPr>
        <w:t xml:space="preserve">Problema que resuelve.</w:t>
      </w:r>
      <w:r>
        <w:rPr>
          <w:rFonts w:ascii="Cambria" w:cs="Cambria" w:eastAsia="Cambria" w:hAnsi="Cambria"/>
          <w:color w:val="000000"/>
          <w:sz w:val="23"/>
          <w:szCs w:val="23"/>
        </w:rPr>
        <w:t xml:space="preserve"> La dificultad concreta de comprensión o decisión que el modelo permite superar. Todo modelo nace de un problema real, no de una idea abstracta.</w:t>
      </w:r>
    </w:p>
    <w:p>
      <w:pPr>
        <w:pStyle w:val="ListParagraph"/>
        <w:numPr>
          <w:ilvl w:val="0"/>
          <w:numId w:val="1"/>
        </w:numPr>
        <w:spacing w:after="80"/>
        <w:jc w:val="both"/>
      </w:pPr>
      <w:r>
        <w:rPr>
          <w:rFonts w:ascii="Cambria" w:cs="Cambria" w:eastAsia="Cambria" w:hAnsi="Cambria"/>
          <w:b/>
          <w:bCs/>
          <w:color w:val="000000"/>
          <w:sz w:val="23"/>
          <w:szCs w:val="23"/>
        </w:rPr>
        <w:t xml:space="preserve">Fundamentación conceptual.</w:t>
      </w:r>
      <w:r>
        <w:rPr>
          <w:rFonts w:ascii="Cambria" w:cs="Cambria" w:eastAsia="Cambria" w:hAnsi="Cambria"/>
          <w:color w:val="000000"/>
          <w:sz w:val="23"/>
          <w:szCs w:val="23"/>
        </w:rPr>
        <w:t xml:space="preserve"> Las bases teóricas, filosóficas o empíricas sobre las cuales se construye el modelo, incluyendo su relación con los principios de la Carta Magna y el Canon Intelectual.</w:t>
      </w:r>
    </w:p>
    <w:p>
      <w:pPr>
        <w:pStyle w:val="ListParagraph"/>
        <w:numPr>
          <w:ilvl w:val="0"/>
          <w:numId w:val="1"/>
        </w:numPr>
        <w:spacing w:after="80"/>
        <w:jc w:val="both"/>
      </w:pPr>
      <w:r>
        <w:rPr>
          <w:rFonts w:ascii="Cambria" w:cs="Cambria" w:eastAsia="Cambria" w:hAnsi="Cambria"/>
          <w:b/>
          <w:bCs/>
          <w:color w:val="000000"/>
          <w:sz w:val="23"/>
          <w:szCs w:val="23"/>
        </w:rPr>
        <w:t xml:space="preserve">Principios.</w:t>
      </w:r>
      <w:r>
        <w:rPr>
          <w:rFonts w:ascii="Cambria" w:cs="Cambria" w:eastAsia="Cambria" w:hAnsi="Cambria"/>
          <w:color w:val="000000"/>
          <w:sz w:val="23"/>
          <w:szCs w:val="23"/>
        </w:rPr>
        <w:t xml:space="preserve"> Las reglas internas que gobiernan el funcionamiento del modelo y que no pueden violarse sin invalidarlo.</w:t>
      </w:r>
    </w:p>
    <w:p>
      <w:pPr>
        <w:pStyle w:val="ListParagraph"/>
        <w:numPr>
          <w:ilvl w:val="0"/>
          <w:numId w:val="1"/>
        </w:numPr>
        <w:spacing w:after="80"/>
        <w:jc w:val="both"/>
      </w:pPr>
      <w:r>
        <w:rPr>
          <w:rFonts w:ascii="Cambria" w:cs="Cambria" w:eastAsia="Cambria" w:hAnsi="Cambria"/>
          <w:b/>
          <w:bCs/>
          <w:color w:val="000000"/>
          <w:sz w:val="23"/>
          <w:szCs w:val="23"/>
        </w:rPr>
        <w:t xml:space="preserve">Componentes.</w:t>
      </w:r>
      <w:r>
        <w:rPr>
          <w:rFonts w:ascii="Cambria" w:cs="Cambria" w:eastAsia="Cambria" w:hAnsi="Cambria"/>
          <w:color w:val="000000"/>
          <w:sz w:val="23"/>
          <w:szCs w:val="23"/>
        </w:rPr>
        <w:t xml:space="preserve"> Los elementos estructurales que integran el modelo y que, en conjunto, explican el fenómeno que representa.</w:t>
      </w:r>
    </w:p>
    <w:p>
      <w:pPr>
        <w:pStyle w:val="ListParagraph"/>
        <w:numPr>
          <w:ilvl w:val="0"/>
          <w:numId w:val="1"/>
        </w:numPr>
        <w:spacing w:after="80"/>
        <w:jc w:val="both"/>
      </w:pPr>
      <w:r>
        <w:rPr>
          <w:rFonts w:ascii="Cambria" w:cs="Cambria" w:eastAsia="Cambria" w:hAnsi="Cambria"/>
          <w:b/>
          <w:bCs/>
          <w:color w:val="000000"/>
          <w:sz w:val="23"/>
          <w:szCs w:val="23"/>
        </w:rPr>
        <w:t xml:space="preserve">Variables.</w:t>
      </w:r>
      <w:r>
        <w:rPr>
          <w:rFonts w:ascii="Cambria" w:cs="Cambria" w:eastAsia="Cambria" w:hAnsi="Cambria"/>
          <w:color w:val="000000"/>
          <w:sz w:val="23"/>
          <w:szCs w:val="23"/>
        </w:rPr>
        <w:t xml:space="preserve"> Los factores que pueden cambiar de un contexto a otro y que afectan el comportamiento del modelo al aplicarse.</w:t>
      </w:r>
    </w:p>
    <w:p>
      <w:pPr>
        <w:pStyle w:val="ListParagraph"/>
        <w:numPr>
          <w:ilvl w:val="0"/>
          <w:numId w:val="1"/>
        </w:numPr>
        <w:spacing w:after="80"/>
        <w:jc w:val="both"/>
      </w:pPr>
      <w:r>
        <w:rPr>
          <w:rFonts w:ascii="Cambria" w:cs="Cambria" w:eastAsia="Cambria" w:hAnsi="Cambria"/>
          <w:b/>
          <w:bCs/>
          <w:color w:val="000000"/>
          <w:sz w:val="23"/>
          <w:szCs w:val="23"/>
        </w:rPr>
        <w:t xml:space="preserve">Relaciones.</w:t>
      </w:r>
      <w:r>
        <w:rPr>
          <w:rFonts w:ascii="Cambria" w:cs="Cambria" w:eastAsia="Cambria" w:hAnsi="Cambria"/>
          <w:color w:val="000000"/>
          <w:sz w:val="23"/>
          <w:szCs w:val="23"/>
        </w:rPr>
        <w:t xml:space="preserve"> La forma en que los componentes y variables del modelo se conectan e influyen entre sí.</w:t>
      </w:r>
    </w:p>
    <w:p>
      <w:pPr>
        <w:pStyle w:val="ListParagraph"/>
        <w:numPr>
          <w:ilvl w:val="0"/>
          <w:numId w:val="1"/>
        </w:numPr>
        <w:spacing w:after="80"/>
        <w:jc w:val="both"/>
      </w:pPr>
      <w:r>
        <w:rPr>
          <w:rFonts w:ascii="Cambria" w:cs="Cambria" w:eastAsia="Cambria" w:hAnsi="Cambria"/>
          <w:b/>
          <w:bCs/>
          <w:color w:val="000000"/>
          <w:sz w:val="23"/>
          <w:szCs w:val="23"/>
        </w:rPr>
        <w:t xml:space="preserve">Entradas.</w:t>
      </w:r>
      <w:r>
        <w:rPr>
          <w:rFonts w:ascii="Cambria" w:cs="Cambria" w:eastAsia="Cambria" w:hAnsi="Cambria"/>
          <w:color w:val="000000"/>
          <w:sz w:val="23"/>
          <w:szCs w:val="23"/>
        </w:rPr>
        <w:t xml:space="preserve"> La información, condiciones o recursos que el modelo requiere para poder aplicarse.</w:t>
      </w:r>
    </w:p>
    <w:p>
      <w:pPr>
        <w:pStyle w:val="ListParagraph"/>
        <w:numPr>
          <w:ilvl w:val="0"/>
          <w:numId w:val="1"/>
        </w:numPr>
        <w:spacing w:after="80"/>
        <w:jc w:val="both"/>
      </w:pPr>
      <w:r>
        <w:rPr>
          <w:rFonts w:ascii="Cambria" w:cs="Cambria" w:eastAsia="Cambria" w:hAnsi="Cambria"/>
          <w:b/>
          <w:bCs/>
          <w:color w:val="000000"/>
          <w:sz w:val="23"/>
          <w:szCs w:val="23"/>
        </w:rPr>
        <w:t xml:space="preserve">Procesos.</w:t>
      </w:r>
      <w:r>
        <w:rPr>
          <w:rFonts w:ascii="Cambria" w:cs="Cambria" w:eastAsia="Cambria" w:hAnsi="Cambria"/>
          <w:color w:val="000000"/>
          <w:sz w:val="23"/>
          <w:szCs w:val="23"/>
        </w:rPr>
        <w:t xml:space="preserve"> Las transformaciones internas que el modelo produce sobre sus entradas para generar comprensión o decisión.</w:t>
      </w:r>
    </w:p>
    <w:p>
      <w:pPr>
        <w:pStyle w:val="ListParagraph"/>
        <w:numPr>
          <w:ilvl w:val="0"/>
          <w:numId w:val="1"/>
        </w:numPr>
        <w:spacing w:after="80"/>
        <w:jc w:val="both"/>
      </w:pPr>
      <w:r>
        <w:rPr>
          <w:rFonts w:ascii="Cambria" w:cs="Cambria" w:eastAsia="Cambria" w:hAnsi="Cambria"/>
          <w:b/>
          <w:bCs/>
          <w:color w:val="000000"/>
          <w:sz w:val="23"/>
          <w:szCs w:val="23"/>
        </w:rPr>
        <w:t xml:space="preserve">Salidas.</w:t>
      </w:r>
      <w:r>
        <w:rPr>
          <w:rFonts w:ascii="Cambria" w:cs="Cambria" w:eastAsia="Cambria" w:hAnsi="Cambria"/>
          <w:color w:val="000000"/>
          <w:sz w:val="23"/>
          <w:szCs w:val="23"/>
        </w:rPr>
        <w:t xml:space="preserve"> Los resultados conceptuales que el modelo entrega: una interpretación, una clasificación, una recomendación o una decisión orientada.</w:t>
      </w:r>
    </w:p>
    <w:p>
      <w:pPr>
        <w:pStyle w:val="ListParagraph"/>
        <w:numPr>
          <w:ilvl w:val="0"/>
          <w:numId w:val="1"/>
        </w:numPr>
        <w:spacing w:after="80"/>
        <w:jc w:val="both"/>
      </w:pPr>
      <w:r>
        <w:rPr>
          <w:rFonts w:ascii="Cambria" w:cs="Cambria" w:eastAsia="Cambria" w:hAnsi="Cambria"/>
          <w:b/>
          <w:bCs/>
          <w:color w:val="000000"/>
          <w:sz w:val="23"/>
          <w:szCs w:val="23"/>
        </w:rPr>
        <w:t xml:space="preserve">Resultados esperados.</w:t>
      </w:r>
      <w:r>
        <w:rPr>
          <w:rFonts w:ascii="Cambria" w:cs="Cambria" w:eastAsia="Cambria" w:hAnsi="Cambria"/>
          <w:color w:val="000000"/>
          <w:sz w:val="23"/>
          <w:szCs w:val="23"/>
        </w:rPr>
        <w:t xml:space="preserve"> El impacto que se espera obtener cuando el modelo se aplica correctamente en un contexto real.</w:t>
      </w:r>
    </w:p>
    <w:p>
      <w:pPr>
        <w:pStyle w:val="ListParagraph"/>
        <w:numPr>
          <w:ilvl w:val="0"/>
          <w:numId w:val="1"/>
        </w:numPr>
        <w:spacing w:after="80"/>
        <w:jc w:val="both"/>
      </w:pPr>
      <w:r>
        <w:rPr>
          <w:rFonts w:ascii="Cambria" w:cs="Cambria" w:eastAsia="Cambria" w:hAnsi="Cambria"/>
          <w:b/>
          <w:bCs/>
          <w:color w:val="000000"/>
          <w:sz w:val="23"/>
          <w:szCs w:val="23"/>
        </w:rPr>
        <w:t xml:space="preserve">Casos de aplicación.</w:t>
      </w:r>
      <w:r>
        <w:rPr>
          <w:rFonts w:ascii="Cambria" w:cs="Cambria" w:eastAsia="Cambria" w:hAnsi="Cambria"/>
          <w:color w:val="000000"/>
          <w:sz w:val="23"/>
          <w:szCs w:val="23"/>
        </w:rPr>
        <w:t xml:space="preserve"> Ejemplos documentados que demuestran cómo el modelo ha sido o puede ser utilizado en la práctica.</w:t>
      </w:r>
    </w:p>
    <w:p>
      <w:pPr>
        <w:pStyle w:val="ListParagraph"/>
        <w:numPr>
          <w:ilvl w:val="0"/>
          <w:numId w:val="1"/>
        </w:numPr>
        <w:spacing w:after="80"/>
        <w:jc w:val="both"/>
      </w:pPr>
      <w:r>
        <w:rPr>
          <w:rFonts w:ascii="Cambria" w:cs="Cambria" w:eastAsia="Cambria" w:hAnsi="Cambria"/>
          <w:b/>
          <w:bCs/>
          <w:color w:val="000000"/>
          <w:sz w:val="23"/>
          <w:szCs w:val="23"/>
        </w:rPr>
        <w:t xml:space="preserve">Límites del modelo.</w:t>
      </w:r>
      <w:r>
        <w:rPr>
          <w:rFonts w:ascii="Cambria" w:cs="Cambria" w:eastAsia="Cambria" w:hAnsi="Cambria"/>
          <w:color w:val="000000"/>
          <w:sz w:val="23"/>
          <w:szCs w:val="23"/>
        </w:rPr>
        <w:t xml:space="preserve"> Las condiciones bajo las cuales el modelo no resulta aplicable o pierde validez explicativa. Todo modelo tiene fronteras; reconocerlas es parte de su rigor.</w:t>
      </w:r>
    </w:p>
    <w:p>
      <w:pPr>
        <w:spacing w:after="160" w:line="300"/>
        <w:jc w:val="both"/>
      </w:pPr>
      <w:r>
        <w:rPr>
          <w:rFonts w:ascii="Cambria" w:cs="Cambria" w:eastAsia="Cambria" w:hAnsi="Cambria"/>
          <w:color w:val="000000"/>
          <w:sz w:val="24"/>
          <w:szCs w:val="24"/>
        </w:rPr>
        <w:t xml:space="preserve">Esta arquitectura de trece componentes constituye el estándar oficial de diseño. Ningún modelo podrá incorporarse al Sistema ODYRA sin haber documentado, como mínimo, cada uno de estos elementos.</w:t>
      </w:r>
    </w:p>
    <w:p>
      <w:pPr>
        <w:pStyle w:val="Heading1"/>
        <w:pageBreakBefore/>
        <w:spacing w:after="60" w:before="200"/>
      </w:pPr>
      <w:r>
        <w:rPr>
          <w:rFonts w:ascii="Cambria" w:cs="Cambria" w:eastAsia="Cambria" w:hAnsi="Cambria"/>
          <w:b/>
          <w:bCs/>
          <w:color w:val="1E2761"/>
          <w:sz w:val="22"/>
          <w:szCs w:val="22"/>
        </w:rPr>
        <w:t xml:space="preserve">PARTE III</w:t>
      </w:r>
    </w:p>
    <w:p>
      <w:pPr>
        <w:pStyle w:val="Heading2"/>
        <w:spacing w:after="120" w:before="260"/>
      </w:pPr>
      <w:r>
        <w:rPr>
          <w:rFonts w:ascii="Cambria" w:cs="Cambria" w:eastAsia="Cambria" w:hAnsi="Cambria"/>
          <w:b/>
          <w:bCs/>
          <w:color w:val="1E2761"/>
          <w:sz w:val="26"/>
          <w:szCs w:val="26"/>
        </w:rPr>
        <w:t xml:space="preserve">TAXONOMÍA OFICIAL DE MODELOS ODYRA</w:t>
      </w:r>
    </w:p>
    <w:p>
      <w:pPr>
        <w:spacing w:after="160" w:line="300"/>
        <w:jc w:val="both"/>
      </w:pPr>
      <w:r>
        <w:rPr>
          <w:rFonts w:ascii="Cambria" w:cs="Cambria" w:eastAsia="Cambria" w:hAnsi="Cambria"/>
          <w:color w:val="000000"/>
          <w:sz w:val="24"/>
          <w:szCs w:val="24"/>
        </w:rPr>
        <w:t xml:space="preserve">Conforme crece el Sistema ODYRA, sus modelos se organizan en cinco categorías. Esta taxonomía no jerarquiza los modelos entre sí —ningún tipo de modelo vale más que otro—; simplemente clasifica su naturaleza y facilita su ubicación dentro de la Arquitectura del Conocimiento ODYRA. La taxonomía podrá ampliarse con el tiempo sin alterar su estructura de cinco categorías.</w:t>
      </w:r>
    </w:p>
    <w:p>
      <w:pPr>
        <w:pStyle w:val="Heading3"/>
        <w:spacing w:after="100" w:before="200"/>
      </w:pPr>
      <w:r>
        <w:rPr>
          <w:rFonts w:ascii="Cambria" w:cs="Cambria" w:eastAsia="Cambria" w:hAnsi="Cambria"/>
          <w:b/>
          <w:bCs/>
          <w:color w:val="1E2761"/>
          <w:sz w:val="23"/>
          <w:szCs w:val="23"/>
        </w:rPr>
        <w:t xml:space="preserve">Modelos Estratégicos</w:t>
      </w:r>
    </w:p>
    <w:p>
      <w:pPr>
        <w:spacing w:after="160" w:line="300"/>
        <w:jc w:val="both"/>
      </w:pPr>
      <w:r>
        <w:rPr>
          <w:rFonts w:ascii="Cambria" w:cs="Cambria" w:eastAsia="Cambria" w:hAnsi="Cambria"/>
          <w:color w:val="000000"/>
          <w:sz w:val="24"/>
          <w:szCs w:val="24"/>
        </w:rPr>
        <w:t xml:space="preserve">Explican cómo las organizaciones deben pensar, decidir y orientar su transformación. Son los modelos de mayor jerarquía conceptual dentro del Sistema, porque de ellos derivan directamente las metodologías y herramientas de mayor alcance.</w:t>
      </w:r>
    </w:p>
    <w:p>
      <w:pPr>
        <w:pStyle w:val="ListParagraph"/>
        <w:numPr>
          <w:ilvl w:val="0"/>
          <w:numId w:val="1"/>
        </w:numPr>
        <w:spacing w:after="80"/>
        <w:jc w:val="both"/>
      </w:pPr>
      <w:r>
        <w:rPr>
          <w:rFonts w:ascii="Cambria" w:cs="Cambria" w:eastAsia="Cambria" w:hAnsi="Cambria"/>
          <w:b/>
          <w:bCs/>
          <w:color w:val="000000"/>
          <w:sz w:val="23"/>
          <w:szCs w:val="23"/>
        </w:rPr>
        <w:t xml:space="preserve">Modelo CI–ODYRA (Convergencia Inteligente).</w:t>
      </w:r>
      <w:r>
        <w:rPr>
          <w:rFonts w:ascii="Cambria" w:cs="Cambria" w:eastAsia="Cambria" w:hAnsi="Cambria"/>
          <w:color w:val="000000"/>
          <w:sz w:val="23"/>
          <w:szCs w:val="23"/>
        </w:rPr>
        <w:t xml:space="preserve"> Explica la integración entre conocimiento experto, metodologías e inteligencia artificial. </w:t>
      </w:r>
      <w:r>
        <w:rPr>
          <w:rFonts w:ascii="Cambria" w:cs="Cambria" w:eastAsia="Cambria" w:hAnsi="Cambria"/>
          <w:b/>
          <w:bCs/>
          <w:color w:val="000000"/>
          <w:sz w:val="23"/>
          <w:szCs w:val="23"/>
        </w:rPr>
        <w:t xml:space="preserve">(Nivel de madurez: Conocimiento Institucional ODYRA.)</w:t>
      </w:r>
    </w:p>
    <w:p>
      <w:pPr>
        <w:pStyle w:val="ListParagraph"/>
        <w:numPr>
          <w:ilvl w:val="0"/>
          <w:numId w:val="1"/>
        </w:numPr>
        <w:spacing w:after="80"/>
        <w:jc w:val="both"/>
      </w:pPr>
      <w:r>
        <w:rPr>
          <w:rFonts w:ascii="Cambria" w:cs="Cambria" w:eastAsia="Cambria" w:hAnsi="Cambria"/>
          <w:b/>
          <w:bCs/>
          <w:color w:val="000000"/>
          <w:sz w:val="23"/>
          <w:szCs w:val="23"/>
        </w:rPr>
        <w:t xml:space="preserve">Tren de Transformación Estratégica (TTE–ODYRA).</w:t>
      </w:r>
      <w:r>
        <w:rPr>
          <w:rFonts w:ascii="Cambria" w:cs="Cambria" w:eastAsia="Cambria" w:hAnsi="Cambria"/>
          <w:color w:val="000000"/>
          <w:sz w:val="23"/>
          <w:szCs w:val="23"/>
        </w:rPr>
        <w:t xml:space="preserve"> Explica el recorrido mediante el cual una organización se transforma de manera sostenible. </w:t>
      </w:r>
      <w:r>
        <w:rPr>
          <w:rFonts w:ascii="Cambria" w:cs="Cambria" w:eastAsia="Cambria" w:hAnsi="Cambria"/>
          <w:b/>
          <w:bCs/>
          <w:color w:val="000000"/>
          <w:sz w:val="23"/>
          <w:szCs w:val="23"/>
        </w:rPr>
        <w:t xml:space="preserve">(Nivel de madurez: Conocimiento Institucional ODYRA.)</w:t>
      </w:r>
    </w:p>
    <w:p>
      <w:pPr>
        <w:pStyle w:val="ListParagraph"/>
        <w:numPr>
          <w:ilvl w:val="0"/>
          <w:numId w:val="1"/>
        </w:numPr>
        <w:spacing w:after="80"/>
        <w:jc w:val="both"/>
      </w:pPr>
      <w:r>
        <w:rPr>
          <w:rFonts w:ascii="Cambria" w:cs="Cambria" w:eastAsia="Cambria" w:hAnsi="Cambria"/>
          <w:b/>
          <w:bCs/>
          <w:color w:val="000000"/>
          <w:sz w:val="23"/>
          <w:szCs w:val="23"/>
        </w:rPr>
        <w:t xml:space="preserve">Marco de Razonamiento Estratégico (MRE–ODYRA).</w:t>
      </w:r>
      <w:r>
        <w:rPr>
          <w:rFonts w:ascii="Cambria" w:cs="Cambria" w:eastAsia="Cambria" w:hAnsi="Cambria"/>
          <w:color w:val="000000"/>
          <w:sz w:val="23"/>
          <w:szCs w:val="23"/>
        </w:rPr>
        <w:t xml:space="preserve"> Explica cómo debe pensar un consultor antes de decidir. </w:t>
      </w:r>
      <w:r>
        <w:rPr>
          <w:rFonts w:ascii="Cambria" w:cs="Cambria" w:eastAsia="Cambria" w:hAnsi="Cambria"/>
          <w:b/>
          <w:bCs/>
          <w:color w:val="000000"/>
          <w:sz w:val="23"/>
          <w:szCs w:val="23"/>
        </w:rPr>
        <w:t xml:space="preserve">(Nivel de madurez: Conocimiento Institucional ODYRA.)</w:t>
      </w:r>
    </w:p>
    <w:p>
      <w:pPr>
        <w:pStyle w:val="Heading3"/>
        <w:spacing w:after="100" w:before="200"/>
      </w:pPr>
      <w:r>
        <w:rPr>
          <w:rFonts w:ascii="Cambria" w:cs="Cambria" w:eastAsia="Cambria" w:hAnsi="Cambria"/>
          <w:b/>
          <w:bCs/>
          <w:color w:val="1E2761"/>
          <w:sz w:val="23"/>
          <w:szCs w:val="23"/>
        </w:rPr>
        <w:t xml:space="preserve">Modelos Organizacionales</w:t>
      </w:r>
    </w:p>
    <w:p>
      <w:pPr>
        <w:spacing w:after="160" w:line="300"/>
        <w:jc w:val="both"/>
      </w:pPr>
      <w:r>
        <w:rPr>
          <w:rFonts w:ascii="Cambria" w:cs="Cambria" w:eastAsia="Cambria" w:hAnsi="Cambria"/>
          <w:color w:val="000000"/>
          <w:sz w:val="24"/>
          <w:szCs w:val="24"/>
        </w:rPr>
        <w:t xml:space="preserve">Explican fenómenos relacionados con la estructura, la gobernanza y el desarrollo institucional de las organizaciones que ODYRA acompaña.</w:t>
      </w:r>
    </w:p>
    <w:p>
      <w:pPr>
        <w:pStyle w:val="ListParagraph"/>
        <w:numPr>
          <w:ilvl w:val="0"/>
          <w:numId w:val="1"/>
        </w:numPr>
        <w:spacing w:after="80"/>
        <w:jc w:val="both"/>
      </w:pPr>
      <w:r>
        <w:rPr>
          <w:rFonts w:ascii="Cambria" w:cs="Cambria" w:eastAsia="Cambria" w:hAnsi="Cambria"/>
          <w:b/>
          <w:bCs/>
          <w:color w:val="000000"/>
          <w:sz w:val="23"/>
          <w:szCs w:val="23"/>
        </w:rPr>
        <w:t xml:space="preserve">Gobernanza.</w:t>
      </w:r>
      <w:r>
        <w:rPr>
          <w:rFonts w:ascii="Cambria" w:cs="Cambria" w:eastAsia="Cambria" w:hAnsi="Cambria"/>
          <w:color w:val="000000"/>
          <w:sz w:val="23"/>
          <w:szCs w:val="23"/>
        </w:rPr>
        <w:t xml:space="preserve"> Explica cómo una organización distribuye autoridad, responsabilidad y toma de decisiones.</w:t>
      </w:r>
    </w:p>
    <w:p>
      <w:pPr>
        <w:pStyle w:val="ListParagraph"/>
        <w:numPr>
          <w:ilvl w:val="0"/>
          <w:numId w:val="1"/>
        </w:numPr>
        <w:spacing w:after="80"/>
        <w:jc w:val="both"/>
      </w:pPr>
      <w:r>
        <w:rPr>
          <w:rFonts w:ascii="Cambria" w:cs="Cambria" w:eastAsia="Cambria" w:hAnsi="Cambria"/>
          <w:b/>
          <w:bCs/>
          <w:color w:val="000000"/>
          <w:sz w:val="23"/>
          <w:szCs w:val="23"/>
        </w:rPr>
        <w:t xml:space="preserve">Asociatividad.</w:t>
      </w:r>
      <w:r>
        <w:rPr>
          <w:rFonts w:ascii="Cambria" w:cs="Cambria" w:eastAsia="Cambria" w:hAnsi="Cambria"/>
          <w:color w:val="000000"/>
          <w:sz w:val="23"/>
          <w:szCs w:val="23"/>
        </w:rPr>
        <w:t xml:space="preserve"> Explica cómo distintos actores construyen y sostienen relaciones de cooperación con un propósito común.</w:t>
      </w:r>
    </w:p>
    <w:p>
      <w:pPr>
        <w:pStyle w:val="ListParagraph"/>
        <w:numPr>
          <w:ilvl w:val="0"/>
          <w:numId w:val="1"/>
        </w:numPr>
        <w:spacing w:after="80"/>
        <w:jc w:val="both"/>
      </w:pPr>
      <w:r>
        <w:rPr>
          <w:rFonts w:ascii="Cambria" w:cs="Cambria" w:eastAsia="Cambria" w:hAnsi="Cambria"/>
          <w:b/>
          <w:bCs/>
          <w:color w:val="000000"/>
          <w:sz w:val="23"/>
          <w:szCs w:val="23"/>
        </w:rPr>
        <w:t xml:space="preserve">Desarrollo Institucional.</w:t>
      </w:r>
      <w:r>
        <w:rPr>
          <w:rFonts w:ascii="Cambria" w:cs="Cambria" w:eastAsia="Cambria" w:hAnsi="Cambria"/>
          <w:color w:val="000000"/>
          <w:sz w:val="23"/>
          <w:szCs w:val="23"/>
        </w:rPr>
        <w:t xml:space="preserve"> Explica cómo una organización fortalece sus capacidades internas de manera progresiva.</w:t>
      </w:r>
    </w:p>
    <w:p>
      <w:pPr>
        <w:pStyle w:val="ListParagraph"/>
        <w:numPr>
          <w:ilvl w:val="0"/>
          <w:numId w:val="1"/>
        </w:numPr>
        <w:spacing w:after="80"/>
        <w:jc w:val="both"/>
      </w:pPr>
      <w:r>
        <w:rPr>
          <w:rFonts w:ascii="Cambria" w:cs="Cambria" w:eastAsia="Cambria" w:hAnsi="Cambria"/>
          <w:b/>
          <w:bCs/>
          <w:color w:val="000000"/>
          <w:sz w:val="23"/>
          <w:szCs w:val="23"/>
        </w:rPr>
        <w:t xml:space="preserve">Organización Inteligente.</w:t>
      </w:r>
      <w:r>
        <w:rPr>
          <w:rFonts w:ascii="Cambria" w:cs="Cambria" w:eastAsia="Cambria" w:hAnsi="Cambria"/>
          <w:color w:val="000000"/>
          <w:sz w:val="23"/>
          <w:szCs w:val="23"/>
        </w:rPr>
        <w:t xml:space="preserve"> Explica cómo una organización desarrolla la capacidad de aprender, decidir e innovar de manera continua, hasta transformarse con autonomía sostenida. Desarrollado conceptualmente en el Libro Cero (Capítulo 9).</w:t>
      </w:r>
    </w:p>
    <w:p>
      <w:pPr>
        <w:pStyle w:val="Heading3"/>
        <w:spacing w:after="100" w:before="200"/>
      </w:pPr>
      <w:r>
        <w:rPr>
          <w:rFonts w:ascii="Cambria" w:cs="Cambria" w:eastAsia="Cambria" w:hAnsi="Cambria"/>
          <w:b/>
          <w:bCs/>
          <w:color w:val="1E2761"/>
          <w:sz w:val="23"/>
          <w:szCs w:val="23"/>
        </w:rPr>
        <w:t xml:space="preserve">Modelos Metodológicos</w:t>
      </w:r>
    </w:p>
    <w:p>
      <w:pPr>
        <w:spacing w:after="160" w:line="300"/>
        <w:jc w:val="both"/>
      </w:pPr>
      <w:r>
        <w:rPr>
          <w:rFonts w:ascii="Cambria" w:cs="Cambria" w:eastAsia="Cambria" w:hAnsi="Cambria"/>
          <w:color w:val="000000"/>
          <w:sz w:val="24"/>
          <w:szCs w:val="24"/>
        </w:rPr>
        <w:t xml:space="preserve">Explican fenómenos relacionados con el diseño y la ejecución de procesos técnicos de intervención.</w:t>
      </w:r>
    </w:p>
    <w:p>
      <w:pPr>
        <w:pStyle w:val="ListParagraph"/>
        <w:numPr>
          <w:ilvl w:val="0"/>
          <w:numId w:val="1"/>
        </w:numPr>
        <w:spacing w:after="80"/>
        <w:jc w:val="both"/>
      </w:pPr>
      <w:r>
        <w:rPr>
          <w:rFonts w:ascii="Cambria" w:cs="Cambria" w:eastAsia="Cambria" w:hAnsi="Cambria"/>
          <w:b/>
          <w:bCs/>
          <w:color w:val="000000"/>
          <w:sz w:val="23"/>
          <w:szCs w:val="23"/>
        </w:rPr>
        <w:t xml:space="preserve">Diseño de proyectos.</w:t>
      </w:r>
      <w:r>
        <w:rPr>
          <w:rFonts w:ascii="Cambria" w:cs="Cambria" w:eastAsia="Cambria" w:hAnsi="Cambria"/>
          <w:color w:val="000000"/>
          <w:sz w:val="23"/>
          <w:szCs w:val="23"/>
        </w:rPr>
        <w:t xml:space="preserve"> Explica cómo se estructura una intervención desde la identificación de un problema hasta su formulación técnica.</w:t>
      </w:r>
    </w:p>
    <w:p>
      <w:pPr>
        <w:pStyle w:val="ListParagraph"/>
        <w:numPr>
          <w:ilvl w:val="0"/>
          <w:numId w:val="1"/>
        </w:numPr>
        <w:spacing w:after="80"/>
        <w:jc w:val="both"/>
      </w:pPr>
      <w:r>
        <w:rPr>
          <w:rFonts w:ascii="Cambria" w:cs="Cambria" w:eastAsia="Cambria" w:hAnsi="Cambria"/>
          <w:b/>
          <w:bCs/>
          <w:color w:val="000000"/>
          <w:sz w:val="23"/>
          <w:szCs w:val="23"/>
        </w:rPr>
        <w:t xml:space="preserve">Gestión del conocimiento.</w:t>
      </w:r>
      <w:r>
        <w:rPr>
          <w:rFonts w:ascii="Cambria" w:cs="Cambria" w:eastAsia="Cambria" w:hAnsi="Cambria"/>
          <w:color w:val="000000"/>
          <w:sz w:val="23"/>
          <w:szCs w:val="23"/>
        </w:rPr>
        <w:t xml:space="preserve"> Explica cómo una organización genera, preserva y transfiere su conocimiento institucional.</w:t>
      </w:r>
    </w:p>
    <w:p>
      <w:pPr>
        <w:pStyle w:val="ListParagraph"/>
        <w:numPr>
          <w:ilvl w:val="0"/>
          <w:numId w:val="1"/>
        </w:numPr>
        <w:spacing w:after="80"/>
        <w:jc w:val="both"/>
      </w:pPr>
      <w:r>
        <w:rPr>
          <w:rFonts w:ascii="Cambria" w:cs="Cambria" w:eastAsia="Cambria" w:hAnsi="Cambria"/>
          <w:b/>
          <w:bCs/>
          <w:color w:val="000000"/>
          <w:sz w:val="23"/>
          <w:szCs w:val="23"/>
        </w:rPr>
        <w:t xml:space="preserve">Innovación.</w:t>
      </w:r>
      <w:r>
        <w:rPr>
          <w:rFonts w:ascii="Cambria" w:cs="Cambria" w:eastAsia="Cambria" w:hAnsi="Cambria"/>
          <w:color w:val="000000"/>
          <w:sz w:val="23"/>
          <w:szCs w:val="23"/>
        </w:rPr>
        <w:t xml:space="preserve"> Explica cómo emergen, se validan y se adoptan nuevas soluciones dentro de una organización o un territorio.</w:t>
      </w:r>
    </w:p>
    <w:p>
      <w:pPr>
        <w:pStyle w:val="Heading3"/>
        <w:spacing w:after="100" w:before="200"/>
      </w:pPr>
      <w:r>
        <w:rPr>
          <w:rFonts w:ascii="Cambria" w:cs="Cambria" w:eastAsia="Cambria" w:hAnsi="Cambria"/>
          <w:b/>
          <w:bCs/>
          <w:color w:val="1E2761"/>
          <w:sz w:val="23"/>
          <w:szCs w:val="23"/>
        </w:rPr>
        <w:t xml:space="preserve">Modelos Analíticos</w:t>
      </w:r>
    </w:p>
    <w:p>
      <w:pPr>
        <w:spacing w:after="160" w:line="300"/>
        <w:jc w:val="both"/>
      </w:pPr>
      <w:r>
        <w:rPr>
          <w:rFonts w:ascii="Cambria" w:cs="Cambria" w:eastAsia="Cambria" w:hAnsi="Cambria"/>
          <w:color w:val="000000"/>
          <w:sz w:val="24"/>
          <w:szCs w:val="24"/>
        </w:rPr>
        <w:t xml:space="preserve">Explican cómo interpretar información específica sobre una organización para orientar decisiones.</w:t>
      </w:r>
    </w:p>
    <w:p>
      <w:pPr>
        <w:pStyle w:val="ListParagraph"/>
        <w:numPr>
          <w:ilvl w:val="0"/>
          <w:numId w:val="1"/>
        </w:numPr>
        <w:spacing w:after="80"/>
        <w:jc w:val="both"/>
      </w:pPr>
      <w:r>
        <w:rPr>
          <w:rFonts w:ascii="Cambria" w:cs="Cambria" w:eastAsia="Cambria" w:hAnsi="Cambria"/>
          <w:b/>
          <w:bCs/>
          <w:color w:val="000000"/>
          <w:sz w:val="23"/>
          <w:szCs w:val="23"/>
        </w:rPr>
        <w:t xml:space="preserve">Diagnóstico.</w:t>
      </w:r>
      <w:r>
        <w:rPr>
          <w:rFonts w:ascii="Cambria" w:cs="Cambria" w:eastAsia="Cambria" w:hAnsi="Cambria"/>
          <w:color w:val="000000"/>
          <w:sz w:val="23"/>
          <w:szCs w:val="23"/>
        </w:rPr>
        <w:t xml:space="preserve"> Explica cómo se construye una comprensión rigurosa de la situación inicial de una organización.</w:t>
      </w:r>
    </w:p>
    <w:p>
      <w:pPr>
        <w:pStyle w:val="ListParagraph"/>
        <w:numPr>
          <w:ilvl w:val="0"/>
          <w:numId w:val="1"/>
        </w:numPr>
        <w:spacing w:after="80"/>
        <w:jc w:val="both"/>
      </w:pPr>
      <w:r>
        <w:rPr>
          <w:rFonts w:ascii="Cambria" w:cs="Cambria" w:eastAsia="Cambria" w:hAnsi="Cambria"/>
          <w:b/>
          <w:bCs/>
          <w:color w:val="000000"/>
          <w:sz w:val="23"/>
          <w:szCs w:val="23"/>
        </w:rPr>
        <w:t xml:space="preserve">Madurez.</w:t>
      </w:r>
      <w:r>
        <w:rPr>
          <w:rFonts w:ascii="Cambria" w:cs="Cambria" w:eastAsia="Cambria" w:hAnsi="Cambria"/>
          <w:color w:val="000000"/>
          <w:sz w:val="23"/>
          <w:szCs w:val="23"/>
        </w:rPr>
        <w:t xml:space="preserve"> Explica cómo se determina el nivel de desarrollo de una capacidad organizacional específica.</w:t>
      </w:r>
    </w:p>
    <w:p>
      <w:pPr>
        <w:pStyle w:val="ListParagraph"/>
        <w:numPr>
          <w:ilvl w:val="0"/>
          <w:numId w:val="1"/>
        </w:numPr>
        <w:spacing w:after="80"/>
        <w:jc w:val="both"/>
      </w:pPr>
      <w:r>
        <w:rPr>
          <w:rFonts w:ascii="Cambria" w:cs="Cambria" w:eastAsia="Cambria" w:hAnsi="Cambria"/>
          <w:b/>
          <w:bCs/>
          <w:color w:val="000000"/>
          <w:sz w:val="23"/>
          <w:szCs w:val="23"/>
        </w:rPr>
        <w:t xml:space="preserve">Capacidades.</w:t>
      </w:r>
      <w:r>
        <w:rPr>
          <w:rFonts w:ascii="Cambria" w:cs="Cambria" w:eastAsia="Cambria" w:hAnsi="Cambria"/>
          <w:color w:val="000000"/>
          <w:sz w:val="23"/>
          <w:szCs w:val="23"/>
        </w:rPr>
        <w:t xml:space="preserve"> Explica cómo se identifican y clasifican las competencias instaladas en una organización.</w:t>
      </w:r>
    </w:p>
    <w:p>
      <w:pPr>
        <w:pStyle w:val="ListParagraph"/>
        <w:numPr>
          <w:ilvl w:val="0"/>
          <w:numId w:val="1"/>
        </w:numPr>
        <w:spacing w:after="80"/>
        <w:jc w:val="both"/>
      </w:pPr>
      <w:r>
        <w:rPr>
          <w:rFonts w:ascii="Cambria" w:cs="Cambria" w:eastAsia="Cambria" w:hAnsi="Cambria"/>
          <w:b/>
          <w:bCs/>
          <w:color w:val="000000"/>
          <w:sz w:val="23"/>
          <w:szCs w:val="23"/>
        </w:rPr>
        <w:t xml:space="preserve">Riesgos.</w:t>
      </w:r>
      <w:r>
        <w:rPr>
          <w:rFonts w:ascii="Cambria" w:cs="Cambria" w:eastAsia="Cambria" w:hAnsi="Cambria"/>
          <w:color w:val="000000"/>
          <w:sz w:val="23"/>
          <w:szCs w:val="23"/>
        </w:rPr>
        <w:t xml:space="preserve"> Explica cómo se anticipan y valoran las amenazas que pueden afectar una intervención o una organización.</w:t>
      </w:r>
    </w:p>
    <w:p>
      <w:pPr>
        <w:pStyle w:val="Heading3"/>
        <w:spacing w:after="100" w:before="200"/>
      </w:pPr>
      <w:r>
        <w:rPr>
          <w:rFonts w:ascii="Cambria" w:cs="Cambria" w:eastAsia="Cambria" w:hAnsi="Cambria"/>
          <w:b/>
          <w:bCs/>
          <w:color w:val="1E2761"/>
          <w:sz w:val="23"/>
          <w:szCs w:val="23"/>
        </w:rPr>
        <w:t xml:space="preserve">Modelos de IA Aplicada</w:t>
      </w:r>
    </w:p>
    <w:p>
      <w:pPr>
        <w:spacing w:after="160" w:line="300"/>
        <w:jc w:val="both"/>
      </w:pPr>
      <w:r>
        <w:rPr>
          <w:rFonts w:ascii="Cambria" w:cs="Cambria" w:eastAsia="Cambria" w:hAnsi="Cambria"/>
          <w:color w:val="000000"/>
          <w:sz w:val="24"/>
          <w:szCs w:val="24"/>
        </w:rPr>
        <w:t xml:space="preserve">Explican cómo la inteligencia artificial se integra de manera responsable en los procesos de consultoría, análisis y toma de decisiones.</w:t>
      </w:r>
    </w:p>
    <w:p>
      <w:pPr>
        <w:pStyle w:val="ListParagraph"/>
        <w:numPr>
          <w:ilvl w:val="0"/>
          <w:numId w:val="1"/>
        </w:numPr>
        <w:spacing w:after="80"/>
        <w:jc w:val="both"/>
      </w:pPr>
      <w:r>
        <w:rPr>
          <w:rFonts w:ascii="Cambria" w:cs="Cambria" w:eastAsia="Cambria" w:hAnsi="Cambria"/>
          <w:b/>
          <w:bCs/>
          <w:color w:val="000000"/>
          <w:sz w:val="23"/>
          <w:szCs w:val="23"/>
        </w:rPr>
        <w:t xml:space="preserve">Inteligencia Aumentada.</w:t>
      </w:r>
      <w:r>
        <w:rPr>
          <w:rFonts w:ascii="Cambria" w:cs="Cambria" w:eastAsia="Cambria" w:hAnsi="Cambria"/>
          <w:color w:val="000000"/>
          <w:sz w:val="23"/>
          <w:szCs w:val="23"/>
        </w:rPr>
        <w:t xml:space="preserve"> Explica cómo la tecnología amplía el criterio humano sin sustituirlo.</w:t>
      </w:r>
    </w:p>
    <w:p>
      <w:pPr>
        <w:pStyle w:val="ListParagraph"/>
        <w:numPr>
          <w:ilvl w:val="0"/>
          <w:numId w:val="1"/>
        </w:numPr>
        <w:spacing w:after="80"/>
        <w:jc w:val="both"/>
      </w:pPr>
      <w:r>
        <w:rPr>
          <w:rFonts w:ascii="Cambria" w:cs="Cambria" w:eastAsia="Cambria" w:hAnsi="Cambria"/>
          <w:b/>
          <w:bCs/>
          <w:color w:val="000000"/>
          <w:sz w:val="23"/>
          <w:szCs w:val="23"/>
        </w:rPr>
        <w:t xml:space="preserve">Automatización Inteligente.</w:t>
      </w:r>
      <w:r>
        <w:rPr>
          <w:rFonts w:ascii="Cambria" w:cs="Cambria" w:eastAsia="Cambria" w:hAnsi="Cambria"/>
          <w:color w:val="000000"/>
          <w:sz w:val="23"/>
          <w:szCs w:val="23"/>
        </w:rPr>
        <w:t xml:space="preserve"> Explica cómo se automatizan procesos repetitivos sin comprometer el juicio profesional.</w:t>
      </w:r>
    </w:p>
    <w:p>
      <w:pPr>
        <w:pStyle w:val="ListParagraph"/>
        <w:numPr>
          <w:ilvl w:val="0"/>
          <w:numId w:val="1"/>
        </w:numPr>
        <w:spacing w:after="80"/>
        <w:jc w:val="both"/>
      </w:pPr>
      <w:r>
        <w:rPr>
          <w:rFonts w:ascii="Cambria" w:cs="Cambria" w:eastAsia="Cambria" w:hAnsi="Cambria"/>
          <w:b/>
          <w:bCs/>
          <w:color w:val="000000"/>
          <w:sz w:val="23"/>
          <w:szCs w:val="23"/>
        </w:rPr>
        <w:t xml:space="preserve">Consultoría Asistida por IA.</w:t>
      </w:r>
      <w:r>
        <w:rPr>
          <w:rFonts w:ascii="Cambria" w:cs="Cambria" w:eastAsia="Cambria" w:hAnsi="Cambria"/>
          <w:color w:val="000000"/>
          <w:sz w:val="23"/>
          <w:szCs w:val="23"/>
        </w:rPr>
        <w:t xml:space="preserve"> Explica cómo un consultor integra herramientas de inteligencia artificial dentro de su práctica profesional cotidiana.</w:t>
      </w:r>
    </w:p>
    <w:p>
      <w:pPr>
        <w:spacing w:after="160" w:line="300"/>
        <w:jc w:val="both"/>
      </w:pPr>
      <w:r>
        <w:rPr>
          <w:rFonts w:ascii="Cambria" w:cs="Cambria" w:eastAsia="Cambria" w:hAnsi="Cambria"/>
          <w:color w:val="000000"/>
          <w:sz w:val="24"/>
          <w:szCs w:val="24"/>
        </w:rPr>
        <w:t xml:space="preserve">Los modelos organizacionales, metodológicos, analíticos y de IA aplicada enumerados en esta taxonomía se encuentran, a la fecha de este Manual, en fase de investigación y diseño conceptual. Su incorporación formal al Sistema ODYRA —con código oficial y Ficha Oficial de Modelo— procederá conforme avancen en el ciclo de maduración descrito en la Parte VI de este documento.</w:t>
      </w:r>
    </w:p>
    <w:p>
      <w:pPr>
        <w:pStyle w:val="Heading1"/>
        <w:pageBreakBefore/>
        <w:spacing w:after="60" w:before="200"/>
      </w:pPr>
      <w:r>
        <w:rPr>
          <w:rFonts w:ascii="Cambria" w:cs="Cambria" w:eastAsia="Cambria" w:hAnsi="Cambria"/>
          <w:b/>
          <w:bCs/>
          <w:color w:val="1E2761"/>
          <w:sz w:val="22"/>
          <w:szCs w:val="22"/>
        </w:rPr>
        <w:t xml:space="preserve">PARTE IV</w:t>
      </w:r>
    </w:p>
    <w:p>
      <w:pPr>
        <w:pStyle w:val="Heading2"/>
        <w:spacing w:after="120" w:before="260"/>
      </w:pPr>
      <w:r>
        <w:rPr>
          <w:rFonts w:ascii="Cambria" w:cs="Cambria" w:eastAsia="Cambria" w:hAnsi="Cambria"/>
          <w:b/>
          <w:bCs/>
          <w:color w:val="1E2761"/>
          <w:sz w:val="26"/>
          <w:szCs w:val="26"/>
        </w:rPr>
        <w:t xml:space="preserve">METODOLOGÍA OFICIAL PARA CREAR MODELOS ODYRA</w:t>
      </w:r>
    </w:p>
    <w:p>
      <w:pPr>
        <w:spacing w:after="160" w:line="300"/>
        <w:jc w:val="both"/>
      </w:pPr>
      <w:r>
        <w:rPr>
          <w:rFonts w:ascii="Cambria" w:cs="Cambria" w:eastAsia="Cambria" w:hAnsi="Cambria"/>
          <w:color w:val="000000"/>
          <w:sz w:val="24"/>
          <w:szCs w:val="24"/>
        </w:rPr>
        <w:t xml:space="preserve">Ningún modelo se incorpora al Sistema ODYRA por decisión espontánea. Todo modelo nace, se desarrolla y se valida siguiendo un mismo proceso de diez etapas, que garantiza que cada nuevo modelo alcance un estándar de calidad equivalente al de los modelos ya consolidados.</w:t>
      </w:r>
    </w:p>
    <w:p>
      <w:pPr>
        <w:spacing w:after="100"/>
        <w:ind w:left="360"/>
        <w:jc w:val="both"/>
      </w:pPr>
      <w:r>
        <w:rPr>
          <w:rFonts w:ascii="Cambria" w:cs="Cambria" w:eastAsia="Cambria" w:hAnsi="Cambria"/>
          <w:b/>
          <w:bCs/>
          <w:color w:val="1E2761"/>
          <w:sz w:val="24"/>
          <w:szCs w:val="24"/>
        </w:rPr>
        <w:t xml:space="preserve">1. </w:t>
      </w:r>
      <w:r>
        <w:rPr>
          <w:rFonts w:ascii="Cambria" w:cs="Cambria" w:eastAsia="Cambria" w:hAnsi="Cambria"/>
          <w:b/>
          <w:bCs/>
          <w:color w:val="000000"/>
          <w:sz w:val="24"/>
          <w:szCs w:val="24"/>
        </w:rPr>
        <w:t xml:space="preserve">Identificación del problema.</w:t>
      </w:r>
      <w:r>
        <w:rPr>
          <w:rFonts w:ascii="Cambria" w:cs="Cambria" w:eastAsia="Cambria" w:hAnsi="Cambria"/>
          <w:color w:val="000000"/>
          <w:sz w:val="24"/>
          <w:szCs w:val="24"/>
        </w:rPr>
        <w:t xml:space="preserve"> Se reconoce una dificultad recurrente de comprensión o decisión que ningún modelo existente resuelve satisfactoriamente.</w:t>
      </w:r>
    </w:p>
    <w:p>
      <w:pPr>
        <w:spacing w:after="100"/>
        <w:ind w:left="360"/>
        <w:jc w:val="both"/>
      </w:pPr>
      <w:r>
        <w:rPr>
          <w:rFonts w:ascii="Cambria" w:cs="Cambria" w:eastAsia="Cambria" w:hAnsi="Cambria"/>
          <w:b/>
          <w:bCs/>
          <w:color w:val="1E2761"/>
          <w:sz w:val="24"/>
          <w:szCs w:val="24"/>
        </w:rPr>
        <w:t xml:space="preserve">2. </w:t>
      </w:r>
      <w:r>
        <w:rPr>
          <w:rFonts w:ascii="Cambria" w:cs="Cambria" w:eastAsia="Cambria" w:hAnsi="Cambria"/>
          <w:b/>
          <w:bCs/>
          <w:color w:val="000000"/>
          <w:sz w:val="24"/>
          <w:szCs w:val="24"/>
        </w:rPr>
        <w:t xml:space="preserve">Investigación.</w:t>
      </w:r>
      <w:r>
        <w:rPr>
          <w:rFonts w:ascii="Cambria" w:cs="Cambria" w:eastAsia="Cambria" w:hAnsi="Cambria"/>
          <w:color w:val="000000"/>
          <w:sz w:val="24"/>
          <w:szCs w:val="24"/>
        </w:rPr>
        <w:t xml:space="preserve"> Se recopila evidencia, experiencia práctica y literatura relevante sobre el fenómeno que el futuro modelo pretende explicar.</w:t>
      </w:r>
    </w:p>
    <w:p>
      <w:pPr>
        <w:spacing w:after="100"/>
        <w:ind w:left="360"/>
        <w:jc w:val="both"/>
      </w:pPr>
      <w:r>
        <w:rPr>
          <w:rFonts w:ascii="Cambria" w:cs="Cambria" w:eastAsia="Cambria" w:hAnsi="Cambria"/>
          <w:b/>
          <w:bCs/>
          <w:color w:val="1E2761"/>
          <w:sz w:val="24"/>
          <w:szCs w:val="24"/>
        </w:rPr>
        <w:t xml:space="preserve">3. </w:t>
      </w:r>
      <w:r>
        <w:rPr>
          <w:rFonts w:ascii="Cambria" w:cs="Cambria" w:eastAsia="Cambria" w:hAnsi="Cambria"/>
          <w:b/>
          <w:bCs/>
          <w:color w:val="000000"/>
          <w:sz w:val="24"/>
          <w:szCs w:val="24"/>
        </w:rPr>
        <w:t xml:space="preserve">Fundamentación conceptual.</w:t>
      </w:r>
      <w:r>
        <w:rPr>
          <w:rFonts w:ascii="Cambria" w:cs="Cambria" w:eastAsia="Cambria" w:hAnsi="Cambria"/>
          <w:color w:val="000000"/>
          <w:sz w:val="24"/>
          <w:szCs w:val="24"/>
        </w:rPr>
        <w:t xml:space="preserve"> Se establece la relación del futuro modelo con los principios de la Carta Magna y el Canon Intelectual ODYRA.</w:t>
      </w:r>
    </w:p>
    <w:p>
      <w:pPr>
        <w:spacing w:after="100"/>
        <w:ind w:left="360"/>
        <w:jc w:val="both"/>
      </w:pPr>
      <w:r>
        <w:rPr>
          <w:rFonts w:ascii="Cambria" w:cs="Cambria" w:eastAsia="Cambria" w:hAnsi="Cambria"/>
          <w:b/>
          <w:bCs/>
          <w:color w:val="1E2761"/>
          <w:sz w:val="24"/>
          <w:szCs w:val="24"/>
        </w:rPr>
        <w:t xml:space="preserve">4. </w:t>
      </w:r>
      <w:r>
        <w:rPr>
          <w:rFonts w:ascii="Cambria" w:cs="Cambria" w:eastAsia="Cambria" w:hAnsi="Cambria"/>
          <w:b/>
          <w:bCs/>
          <w:color w:val="000000"/>
          <w:sz w:val="24"/>
          <w:szCs w:val="24"/>
        </w:rPr>
        <w:t xml:space="preserve">Diseño.</w:t>
      </w:r>
      <w:r>
        <w:rPr>
          <w:rFonts w:ascii="Cambria" w:cs="Cambria" w:eastAsia="Cambria" w:hAnsi="Cambria"/>
          <w:color w:val="000000"/>
          <w:sz w:val="24"/>
          <w:szCs w:val="24"/>
        </w:rPr>
        <w:t xml:space="preserve"> Se construye una primera versión de la arquitectura de trece componentes descrita en la Parte II.</w:t>
      </w:r>
    </w:p>
    <w:p>
      <w:pPr>
        <w:spacing w:after="100"/>
        <w:ind w:left="360"/>
        <w:jc w:val="both"/>
      </w:pPr>
      <w:r>
        <w:rPr>
          <w:rFonts w:ascii="Cambria" w:cs="Cambria" w:eastAsia="Cambria" w:hAnsi="Cambria"/>
          <w:b/>
          <w:bCs/>
          <w:color w:val="1E2761"/>
          <w:sz w:val="24"/>
          <w:szCs w:val="24"/>
        </w:rPr>
        <w:t xml:space="preserve">5. </w:t>
      </w:r>
      <w:r>
        <w:rPr>
          <w:rFonts w:ascii="Cambria" w:cs="Cambria" w:eastAsia="Cambria" w:hAnsi="Cambria"/>
          <w:b/>
          <w:bCs/>
          <w:color w:val="000000"/>
          <w:sz w:val="24"/>
          <w:szCs w:val="24"/>
        </w:rPr>
        <w:t xml:space="preserve">Construcción.</w:t>
      </w:r>
      <w:r>
        <w:rPr>
          <w:rFonts w:ascii="Cambria" w:cs="Cambria" w:eastAsia="Cambria" w:hAnsi="Cambria"/>
          <w:color w:val="000000"/>
          <w:sz w:val="24"/>
          <w:szCs w:val="24"/>
        </w:rPr>
        <w:t xml:space="preserve"> Se desarrolla la representación completa del modelo: sus principios, componentes, variables y relaciones.</w:t>
      </w:r>
    </w:p>
    <w:p>
      <w:pPr>
        <w:spacing w:after="100"/>
        <w:ind w:left="360"/>
        <w:jc w:val="both"/>
      </w:pPr>
      <w:r>
        <w:rPr>
          <w:rFonts w:ascii="Cambria" w:cs="Cambria" w:eastAsia="Cambria" w:hAnsi="Cambria"/>
          <w:b/>
          <w:bCs/>
          <w:color w:val="1E2761"/>
          <w:sz w:val="24"/>
          <w:szCs w:val="24"/>
        </w:rPr>
        <w:t xml:space="preserve">6. </w:t>
      </w:r>
      <w:r>
        <w:rPr>
          <w:rFonts w:ascii="Cambria" w:cs="Cambria" w:eastAsia="Cambria" w:hAnsi="Cambria"/>
          <w:b/>
          <w:bCs/>
          <w:color w:val="000000"/>
          <w:sz w:val="24"/>
          <w:szCs w:val="24"/>
        </w:rPr>
        <w:t xml:space="preserve">Validación.</w:t>
      </w:r>
      <w:r>
        <w:rPr>
          <w:rFonts w:ascii="Cambria" w:cs="Cambria" w:eastAsia="Cambria" w:hAnsi="Cambria"/>
          <w:color w:val="000000"/>
          <w:sz w:val="24"/>
          <w:szCs w:val="24"/>
        </w:rPr>
        <w:t xml:space="preserve"> Se somete el modelo a revisión conceptual, verificando su coherencia interna y su consistencia con el resto del Sistema.</w:t>
      </w:r>
    </w:p>
    <w:p>
      <w:pPr>
        <w:spacing w:after="100"/>
        <w:ind w:left="360"/>
        <w:jc w:val="both"/>
      </w:pPr>
      <w:r>
        <w:rPr>
          <w:rFonts w:ascii="Cambria" w:cs="Cambria" w:eastAsia="Cambria" w:hAnsi="Cambria"/>
          <w:b/>
          <w:bCs/>
          <w:color w:val="1E2761"/>
          <w:sz w:val="24"/>
          <w:szCs w:val="24"/>
        </w:rPr>
        <w:t xml:space="preserve">7. </w:t>
      </w:r>
      <w:r>
        <w:rPr>
          <w:rFonts w:ascii="Cambria" w:cs="Cambria" w:eastAsia="Cambria" w:hAnsi="Cambria"/>
          <w:b/>
          <w:bCs/>
          <w:color w:val="000000"/>
          <w:sz w:val="24"/>
          <w:szCs w:val="24"/>
        </w:rPr>
        <w:t xml:space="preserve">Pilotaje.</w:t>
      </w:r>
      <w:r>
        <w:rPr>
          <w:rFonts w:ascii="Cambria" w:cs="Cambria" w:eastAsia="Cambria" w:hAnsi="Cambria"/>
          <w:color w:val="000000"/>
          <w:sz w:val="24"/>
          <w:szCs w:val="24"/>
        </w:rPr>
        <w:t xml:space="preserve"> Se aplica el modelo en uno o más contextos reales, de manera controlada, para observar su comportamiento práctico.</w:t>
      </w:r>
    </w:p>
    <w:p>
      <w:pPr>
        <w:spacing w:after="100"/>
        <w:ind w:left="360"/>
        <w:jc w:val="both"/>
      </w:pPr>
      <w:r>
        <w:rPr>
          <w:rFonts w:ascii="Cambria" w:cs="Cambria" w:eastAsia="Cambria" w:hAnsi="Cambria"/>
          <w:b/>
          <w:bCs/>
          <w:color w:val="1E2761"/>
          <w:sz w:val="24"/>
          <w:szCs w:val="24"/>
        </w:rPr>
        <w:t xml:space="preserve">8. </w:t>
      </w:r>
      <w:r>
        <w:rPr>
          <w:rFonts w:ascii="Cambria" w:cs="Cambria" w:eastAsia="Cambria" w:hAnsi="Cambria"/>
          <w:b/>
          <w:bCs/>
          <w:color w:val="000000"/>
          <w:sz w:val="24"/>
          <w:szCs w:val="24"/>
        </w:rPr>
        <w:t xml:space="preserve">Ajustes.</w:t>
      </w:r>
      <w:r>
        <w:rPr>
          <w:rFonts w:ascii="Cambria" w:cs="Cambria" w:eastAsia="Cambria" w:hAnsi="Cambria"/>
          <w:color w:val="000000"/>
          <w:sz w:val="24"/>
          <w:szCs w:val="24"/>
        </w:rPr>
        <w:t xml:space="preserve"> Se incorporan los aprendizajes del pilotaje, refinando componentes, variables o relaciones que no funcionaron como se esperaba.</w:t>
      </w:r>
    </w:p>
    <w:p>
      <w:pPr>
        <w:spacing w:after="100"/>
        <w:ind w:left="360"/>
        <w:jc w:val="both"/>
      </w:pPr>
      <w:r>
        <w:rPr>
          <w:rFonts w:ascii="Cambria" w:cs="Cambria" w:eastAsia="Cambria" w:hAnsi="Cambria"/>
          <w:b/>
          <w:bCs/>
          <w:color w:val="1E2761"/>
          <w:sz w:val="24"/>
          <w:szCs w:val="24"/>
        </w:rPr>
        <w:t xml:space="preserve">9. </w:t>
      </w:r>
      <w:r>
        <w:rPr>
          <w:rFonts w:ascii="Cambria" w:cs="Cambria" w:eastAsia="Cambria" w:hAnsi="Cambria"/>
          <w:b/>
          <w:bCs/>
          <w:color w:val="000000"/>
          <w:sz w:val="24"/>
          <w:szCs w:val="24"/>
        </w:rPr>
        <w:t xml:space="preserve">Oficialización.</w:t>
      </w:r>
      <w:r>
        <w:rPr>
          <w:rFonts w:ascii="Cambria" w:cs="Cambria" w:eastAsia="Cambria" w:hAnsi="Cambria"/>
          <w:color w:val="000000"/>
          <w:sz w:val="24"/>
          <w:szCs w:val="24"/>
        </w:rPr>
        <w:t xml:space="preserve"> Se documenta el modelo mediante su Ficha Oficial de Modelo (FOM), descrita en la Parte V, y se le asigna un código oficial.</w:t>
      </w:r>
    </w:p>
    <w:p>
      <w:pPr>
        <w:spacing w:after="100"/>
        <w:ind w:left="360"/>
        <w:jc w:val="both"/>
      </w:pPr>
      <w:r>
        <w:rPr>
          <w:rFonts w:ascii="Cambria" w:cs="Cambria" w:eastAsia="Cambria" w:hAnsi="Cambria"/>
          <w:b/>
          <w:bCs/>
          <w:color w:val="1E2761"/>
          <w:sz w:val="24"/>
          <w:szCs w:val="24"/>
        </w:rPr>
        <w:t xml:space="preserve">10. </w:t>
      </w:r>
      <w:r>
        <w:rPr>
          <w:rFonts w:ascii="Cambria" w:cs="Cambria" w:eastAsia="Cambria" w:hAnsi="Cambria"/>
          <w:b/>
          <w:bCs/>
          <w:color w:val="000000"/>
          <w:sz w:val="24"/>
          <w:szCs w:val="24"/>
        </w:rPr>
        <w:t xml:space="preserve">Incorporación al Sistema ODYRA.</w:t>
      </w:r>
      <w:r>
        <w:rPr>
          <w:rFonts w:ascii="Cambria" w:cs="Cambria" w:eastAsia="Cambria" w:hAnsi="Cambria"/>
          <w:color w:val="000000"/>
          <w:sz w:val="24"/>
          <w:szCs w:val="24"/>
        </w:rPr>
        <w:t xml:space="preserve"> El modelo ingresa al Catálogo Oficial de Modelos ODYRA y queda disponible para el desarrollo de metodologías y herramientas derivadas.</w:t>
      </w:r>
    </w:p>
    <w:p>
      <w:pPr>
        <w:spacing w:after="160" w:line="300"/>
        <w:jc w:val="both"/>
      </w:pPr>
      <w:r>
        <w:rPr>
          <w:rFonts w:ascii="Cambria" w:cs="Cambria" w:eastAsia="Cambria" w:hAnsi="Cambria"/>
          <w:color w:val="000000"/>
          <w:sz w:val="24"/>
          <w:szCs w:val="24"/>
        </w:rPr>
        <w:t xml:space="preserve">Esta metodología no admite atajos. Un modelo que se incorpore al Sistema sin haber recorrido estas diez etapas carecerá de la validación necesaria para ser considerado conocimiento oficial de la Escuela.</w:t>
      </w:r>
    </w:p>
    <w:p>
      <w:pPr>
        <w:pStyle w:val="Heading1"/>
        <w:pageBreakBefore/>
        <w:spacing w:after="60" w:before="200"/>
      </w:pPr>
      <w:r>
        <w:rPr>
          <w:rFonts w:ascii="Cambria" w:cs="Cambria" w:eastAsia="Cambria" w:hAnsi="Cambria"/>
          <w:b/>
          <w:bCs/>
          <w:color w:val="1E2761"/>
          <w:sz w:val="22"/>
          <w:szCs w:val="22"/>
        </w:rPr>
        <w:t xml:space="preserve">PARTE V</w:t>
      </w:r>
    </w:p>
    <w:p>
      <w:pPr>
        <w:pStyle w:val="Heading2"/>
        <w:spacing w:after="120" w:before="260"/>
      </w:pPr>
      <w:r>
        <w:rPr>
          <w:rFonts w:ascii="Cambria" w:cs="Cambria" w:eastAsia="Cambria" w:hAnsi="Cambria"/>
          <w:b/>
          <w:bCs/>
          <w:color w:val="1E2761"/>
          <w:sz w:val="26"/>
          <w:szCs w:val="26"/>
        </w:rPr>
        <w:t xml:space="preserve">FICHA OFICIAL DE UN MODELO ODYRA (FOM)</w:t>
      </w:r>
    </w:p>
    <w:p>
      <w:pPr>
        <w:spacing w:after="160" w:line="300"/>
        <w:jc w:val="both"/>
      </w:pPr>
      <w:r>
        <w:rPr>
          <w:rFonts w:ascii="Cambria" w:cs="Cambria" w:eastAsia="Cambria" w:hAnsi="Cambria"/>
          <w:color w:val="000000"/>
          <w:sz w:val="24"/>
          <w:szCs w:val="24"/>
        </w:rPr>
        <w:t xml:space="preserve">Todo modelo oficial del Sistema ODYRA deberá documentarse mediante una </w:t>
      </w:r>
      <w:r>
        <w:rPr>
          <w:rFonts w:ascii="Cambria" w:cs="Cambria" w:eastAsia="Cambria" w:hAnsi="Cambria"/>
          <w:b/>
          <w:bCs/>
          <w:color w:val="000000"/>
          <w:sz w:val="24"/>
          <w:szCs w:val="24"/>
        </w:rPr>
        <w:t xml:space="preserve">Ficha Oficial de Modelo (FOM)</w:t>
      </w:r>
      <w:r>
        <w:rPr>
          <w:rFonts w:ascii="Cambria" w:cs="Cambria" w:eastAsia="Cambria" w:hAnsi="Cambria"/>
          <w:color w:val="000000"/>
          <w:sz w:val="24"/>
          <w:szCs w:val="24"/>
        </w:rPr>
        <w:t xml:space="preserve">: el documento de identidad que resume, en un formato estandarizado, la totalidad de un modelo. La FOM permite que cualquier consultor, investigador u organización pueda comprender un modelo sin necesidad de leer su desarrollo completo, y constituye la base sobre la cual se construye el Catálogo Oficial de Modelos ODYRA.</w:t>
      </w:r>
    </w:p>
    <w:p>
      <w:pPr>
        <w:spacing w:after="160" w:line="300"/>
        <w:jc w:val="both"/>
      </w:pPr>
      <w:r>
        <w:rPr>
          <w:rFonts w:ascii="Cambria" w:cs="Cambria" w:eastAsia="Cambria" w:hAnsi="Cambria"/>
          <w:color w:val="000000"/>
          <w:sz w:val="24"/>
          <w:szCs w:val="24"/>
        </w:rPr>
        <w:t xml:space="preserve">Toda FOM contendrá, como mínimo, los siguientes dieciséis campos: código del modelo, nombre oficial, versión, fecha de creación, autor o equipo desarrollador, estado de madurez, propósito, problema que aborda, principios, componentes, relación con otros modelos, frameworks asociados, herramientas derivadas, casos de aplicación, indicadores y restricciones, además de un historial de versiones que registre su evolución.</w:t>
      </w:r>
    </w:p>
    <w:p>
      <w:pPr>
        <w:spacing w:after="160" w:line="300"/>
        <w:jc w:val="both"/>
      </w:pPr>
      <w:r>
        <w:rPr>
          <w:rFonts w:ascii="Cambria" w:cs="Cambria" w:eastAsia="Cambria" w:hAnsi="Cambria"/>
          <w:color w:val="000000"/>
          <w:sz w:val="24"/>
          <w:szCs w:val="24"/>
        </w:rPr>
        <w:t xml:space="preserve">A continuación se presenta, a manera de ejemplo oficial, la FOM del primer modelo del Sistema:</w:t>
      </w:r>
    </w:p>
    <w:p>
      <w:pPr>
        <w:spacing w:after="160" w:line="300"/>
        <w:jc w:val="both"/>
      </w:pPr>
      <w:r>
        <w:rPr>
          <w:rFonts w:ascii="Cambria" w:cs="Cambria" w:eastAsia="Cambria" w:hAnsi="Cambria"/>
          <w:b/>
          <w:bCs/>
          <w:color w:val="000000"/>
          <w:sz w:val="24"/>
          <w:szCs w:val="24"/>
        </w:rPr>
        <w:t xml:space="preserve">Código:</w:t>
      </w:r>
      <w:r>
        <w:rPr>
          <w:rFonts w:ascii="Cambria" w:cs="Cambria" w:eastAsia="Cambria" w:hAnsi="Cambria"/>
          <w:color w:val="000000"/>
          <w:sz w:val="24"/>
          <w:szCs w:val="24"/>
        </w:rPr>
        <w:t xml:space="preserve"> CI–ODYRA</w:t>
      </w:r>
    </w:p>
    <w:p>
      <w:pPr>
        <w:spacing w:after="160" w:line="300"/>
        <w:jc w:val="both"/>
      </w:pPr>
      <w:r>
        <w:rPr>
          <w:rFonts w:ascii="Cambria" w:cs="Cambria" w:eastAsia="Cambria" w:hAnsi="Cambria"/>
          <w:b/>
          <w:bCs/>
          <w:color w:val="000000"/>
          <w:sz w:val="24"/>
          <w:szCs w:val="24"/>
        </w:rPr>
        <w:t xml:space="preserve">Nombre oficial:</w:t>
      </w:r>
      <w:r>
        <w:rPr>
          <w:rFonts w:ascii="Cambria" w:cs="Cambria" w:eastAsia="Cambria" w:hAnsi="Cambria"/>
          <w:color w:val="000000"/>
          <w:sz w:val="24"/>
          <w:szCs w:val="24"/>
        </w:rPr>
        <w:t xml:space="preserve"> Modelo de Convergencia Inteligente ODYRA</w:t>
      </w:r>
    </w:p>
    <w:p>
      <w:pPr>
        <w:spacing w:after="160" w:line="300"/>
        <w:jc w:val="both"/>
      </w:pPr>
      <w:r>
        <w:rPr>
          <w:rFonts w:ascii="Cambria" w:cs="Cambria" w:eastAsia="Cambria" w:hAnsi="Cambria"/>
          <w:b/>
          <w:bCs/>
          <w:color w:val="000000"/>
          <w:sz w:val="24"/>
          <w:szCs w:val="24"/>
        </w:rPr>
        <w:t xml:space="preserve">Versión:</w:t>
      </w:r>
      <w:r>
        <w:rPr>
          <w:rFonts w:ascii="Cambria" w:cs="Cambria" w:eastAsia="Cambria" w:hAnsi="Cambria"/>
          <w:color w:val="000000"/>
          <w:sz w:val="24"/>
          <w:szCs w:val="24"/>
        </w:rPr>
        <w:t xml:space="preserve"> 1.0</w:t>
      </w:r>
    </w:p>
    <w:p>
      <w:pPr>
        <w:spacing w:after="160" w:line="300"/>
        <w:jc w:val="both"/>
      </w:pPr>
      <w:r>
        <w:rPr>
          <w:rFonts w:ascii="Cambria" w:cs="Cambria" w:eastAsia="Cambria" w:hAnsi="Cambria"/>
          <w:b/>
          <w:bCs/>
          <w:color w:val="000000"/>
          <w:sz w:val="24"/>
          <w:szCs w:val="24"/>
        </w:rPr>
        <w:t xml:space="preserve">Estado de madurez:</w:t>
      </w:r>
      <w:r>
        <w:rPr>
          <w:rFonts w:ascii="Cambria" w:cs="Cambria" w:eastAsia="Cambria" w:hAnsi="Cambria"/>
          <w:color w:val="000000"/>
          <w:sz w:val="24"/>
          <w:szCs w:val="24"/>
        </w:rPr>
        <w:t xml:space="preserve"> Conocimiento Institucional ODYRA (Nivel V)</w:t>
      </w:r>
    </w:p>
    <w:p>
      <w:pPr>
        <w:spacing w:after="160" w:line="300"/>
        <w:jc w:val="both"/>
      </w:pPr>
      <w:r>
        <w:rPr>
          <w:rFonts w:ascii="Cambria" w:cs="Cambria" w:eastAsia="Cambria" w:hAnsi="Cambria"/>
          <w:b/>
          <w:bCs/>
          <w:color w:val="000000"/>
          <w:sz w:val="24"/>
          <w:szCs w:val="24"/>
        </w:rPr>
        <w:t xml:space="preserve">Autor:</w:t>
      </w:r>
      <w:r>
        <w:rPr>
          <w:rFonts w:ascii="Cambria" w:cs="Cambria" w:eastAsia="Cambria" w:hAnsi="Cambria"/>
          <w:color w:val="000000"/>
          <w:sz w:val="24"/>
          <w:szCs w:val="24"/>
        </w:rPr>
        <w:t xml:space="preserve"> Rubén Darío Esquivel Argel — Escuela de Pensamiento ODYRA</w:t>
      </w:r>
    </w:p>
    <w:p>
      <w:pPr>
        <w:spacing w:after="160" w:line="300"/>
        <w:jc w:val="both"/>
      </w:pPr>
      <w:r>
        <w:rPr>
          <w:rFonts w:ascii="Cambria" w:cs="Cambria" w:eastAsia="Cambria" w:hAnsi="Cambria"/>
          <w:b/>
          <w:bCs/>
          <w:color w:val="000000"/>
          <w:sz w:val="24"/>
          <w:szCs w:val="24"/>
        </w:rPr>
        <w:t xml:space="preserve">Propósito:</w:t>
      </w:r>
      <w:r>
        <w:rPr>
          <w:rFonts w:ascii="Cambria" w:cs="Cambria" w:eastAsia="Cambria" w:hAnsi="Cambria"/>
          <w:color w:val="000000"/>
          <w:sz w:val="24"/>
          <w:szCs w:val="24"/>
        </w:rPr>
        <w:t xml:space="preserve"> Explicar cómo la convergencia entre conocimiento experto, metodologías rigurosas e inteligencia artificial genera una capacidad superior de comprensión y decisión, denominada inteligencia aplicada.</w:t>
      </w:r>
    </w:p>
    <w:p>
      <w:pPr>
        <w:spacing w:after="160" w:line="300"/>
        <w:jc w:val="both"/>
      </w:pPr>
      <w:r>
        <w:rPr>
          <w:rFonts w:ascii="Cambria" w:cs="Cambria" w:eastAsia="Cambria" w:hAnsi="Cambria"/>
          <w:b/>
          <w:bCs/>
          <w:color w:val="000000"/>
          <w:sz w:val="24"/>
          <w:szCs w:val="24"/>
        </w:rPr>
        <w:t xml:space="preserve">Problema que aborda:</w:t>
      </w:r>
      <w:r>
        <w:rPr>
          <w:rFonts w:ascii="Cambria" w:cs="Cambria" w:eastAsia="Cambria" w:hAnsi="Cambria"/>
          <w:color w:val="000000"/>
          <w:sz w:val="24"/>
          <w:szCs w:val="24"/>
        </w:rPr>
        <w:t xml:space="preserve"> La fragmentación entre experiencia profesional, estructura metodológica y capacidad tecnológica, que impide a los consultores aprovechar plenamente el potencial de la inteligencia artificial sin perder rigor ni criterio.</w:t>
      </w:r>
    </w:p>
    <w:p>
      <w:pPr>
        <w:spacing w:after="160" w:line="300"/>
        <w:jc w:val="both"/>
      </w:pPr>
      <w:r>
        <w:rPr>
          <w:rFonts w:ascii="Cambria" w:cs="Cambria" w:eastAsia="Cambria" w:hAnsi="Cambria"/>
          <w:b/>
          <w:bCs/>
          <w:color w:val="000000"/>
          <w:sz w:val="24"/>
          <w:szCs w:val="24"/>
        </w:rPr>
        <w:t xml:space="preserve">Principios:</w:t>
      </w:r>
      <w:r>
        <w:rPr>
          <w:rFonts w:ascii="Cambria" w:cs="Cambria" w:eastAsia="Cambria" w:hAnsi="Cambria"/>
          <w:color w:val="000000"/>
          <w:sz w:val="24"/>
          <w:szCs w:val="24"/>
        </w:rPr>
        <w:t xml:space="preserve"> Convergencia Inteligente (Principio I del Canon Intelectual ODYRA); centralidad del ser humano; integración antes que sustitución.</w:t>
      </w:r>
    </w:p>
    <w:p>
      <w:pPr>
        <w:spacing w:after="160" w:line="300"/>
        <w:jc w:val="both"/>
      </w:pPr>
      <w:r>
        <w:rPr>
          <w:rFonts w:ascii="Cambria" w:cs="Cambria" w:eastAsia="Cambria" w:hAnsi="Cambria"/>
          <w:b/>
          <w:bCs/>
          <w:color w:val="000000"/>
          <w:sz w:val="24"/>
          <w:szCs w:val="24"/>
        </w:rPr>
        <w:t xml:space="preserve">Componentes:</w:t>
      </w:r>
      <w:r>
        <w:rPr>
          <w:rFonts w:ascii="Cambria" w:cs="Cambria" w:eastAsia="Cambria" w:hAnsi="Cambria"/>
          <w:color w:val="000000"/>
          <w:sz w:val="24"/>
          <w:szCs w:val="24"/>
        </w:rPr>
        <w:t xml:space="preserve"> Conocimiento experto, metodologías, inteligencia artificial, y el punto de convergencia representado por la letra Y del acrónimo ODYRA.</w:t>
      </w:r>
    </w:p>
    <w:p>
      <w:pPr>
        <w:spacing w:after="160" w:line="300"/>
        <w:jc w:val="both"/>
      </w:pPr>
      <w:r>
        <w:rPr>
          <w:rFonts w:ascii="Cambria" w:cs="Cambria" w:eastAsia="Cambria" w:hAnsi="Cambria"/>
          <w:b/>
          <w:bCs/>
          <w:color w:val="000000"/>
          <w:sz w:val="24"/>
          <w:szCs w:val="24"/>
        </w:rPr>
        <w:t xml:space="preserve">Relación con otros modelos:</w:t>
      </w:r>
      <w:r>
        <w:rPr>
          <w:rFonts w:ascii="Cambria" w:cs="Cambria" w:eastAsia="Cambria" w:hAnsi="Cambria"/>
          <w:color w:val="000000"/>
          <w:sz w:val="24"/>
          <w:szCs w:val="24"/>
        </w:rPr>
        <w:t xml:space="preserve"> Fundamenta el Tren de Transformación Estratégica (TTE–ODYRA) y el Marco de Razonamiento Estratégico (MRE–ODYRA).</w:t>
      </w:r>
    </w:p>
    <w:p>
      <w:pPr>
        <w:spacing w:after="160" w:line="300"/>
        <w:jc w:val="both"/>
      </w:pPr>
      <w:r>
        <w:rPr>
          <w:rFonts w:ascii="Cambria" w:cs="Cambria" w:eastAsia="Cambria" w:hAnsi="Cambria"/>
          <w:b/>
          <w:bCs/>
          <w:color w:val="000000"/>
          <w:sz w:val="24"/>
          <w:szCs w:val="24"/>
        </w:rPr>
        <w:t xml:space="preserve">Frameworks asociados:</w:t>
      </w:r>
      <w:r>
        <w:rPr>
          <w:rFonts w:ascii="Cambria" w:cs="Cambria" w:eastAsia="Cambria" w:hAnsi="Cambria"/>
          <w:color w:val="000000"/>
          <w:sz w:val="24"/>
          <w:szCs w:val="24"/>
        </w:rPr>
        <w:t xml:space="preserve"> Los cinco pilares del Método ODYRA.</w:t>
      </w:r>
    </w:p>
    <w:p>
      <w:pPr>
        <w:spacing w:after="160" w:line="300"/>
        <w:jc w:val="both"/>
      </w:pPr>
      <w:r>
        <w:rPr>
          <w:rFonts w:ascii="Cambria" w:cs="Cambria" w:eastAsia="Cambria" w:hAnsi="Cambria"/>
          <w:b/>
          <w:bCs/>
          <w:color w:val="000000"/>
          <w:sz w:val="24"/>
          <w:szCs w:val="24"/>
        </w:rPr>
        <w:t xml:space="preserve">Herramientas derivadas:</w:t>
      </w:r>
      <w:r>
        <w:rPr>
          <w:rFonts w:ascii="Cambria" w:cs="Cambria" w:eastAsia="Cambria" w:hAnsi="Cambria"/>
          <w:color w:val="000000"/>
          <w:sz w:val="24"/>
          <w:szCs w:val="24"/>
        </w:rPr>
        <w:t xml:space="preserve"> Matrices de integración de fuentes, protocolos de validación de inteligencia artificial, guías de convergencia metodológica.</w:t>
      </w:r>
    </w:p>
    <w:p>
      <w:pPr>
        <w:spacing w:after="160" w:line="300"/>
        <w:jc w:val="both"/>
      </w:pPr>
      <w:r>
        <w:rPr>
          <w:rFonts w:ascii="Cambria" w:cs="Cambria" w:eastAsia="Cambria" w:hAnsi="Cambria"/>
          <w:b/>
          <w:bCs/>
          <w:color w:val="000000"/>
          <w:sz w:val="24"/>
          <w:szCs w:val="24"/>
        </w:rPr>
        <w:t xml:space="preserve">Casos de aplicación:</w:t>
      </w:r>
      <w:r>
        <w:rPr>
          <w:rFonts w:ascii="Cambria" w:cs="Cambria" w:eastAsia="Cambria" w:hAnsi="Cambria"/>
          <w:color w:val="000000"/>
          <w:sz w:val="24"/>
          <w:szCs w:val="24"/>
        </w:rPr>
        <w:t xml:space="preserve"> Procesos de consultoría estratégica documentados en el Libro Cero, capítulos 5 y 6.</w:t>
      </w:r>
    </w:p>
    <w:p>
      <w:pPr>
        <w:spacing w:after="160" w:line="300"/>
        <w:jc w:val="both"/>
      </w:pPr>
      <w:r>
        <w:rPr>
          <w:rFonts w:ascii="Cambria" w:cs="Cambria" w:eastAsia="Cambria" w:hAnsi="Cambria"/>
          <w:b/>
          <w:bCs/>
          <w:color w:val="000000"/>
          <w:sz w:val="24"/>
          <w:szCs w:val="24"/>
        </w:rPr>
        <w:t xml:space="preserve">Indicadores:</w:t>
      </w:r>
      <w:r>
        <w:rPr>
          <w:rFonts w:ascii="Cambria" w:cs="Cambria" w:eastAsia="Cambria" w:hAnsi="Cambria"/>
          <w:color w:val="000000"/>
          <w:sz w:val="24"/>
          <w:szCs w:val="24"/>
        </w:rPr>
        <w:t xml:space="preserve"> Nivel de integración entre las tres fuentes de conocimiento observado en una intervención; calidad de las decisiones resultantes.</w:t>
      </w:r>
    </w:p>
    <w:p>
      <w:pPr>
        <w:spacing w:after="160" w:line="300"/>
        <w:jc w:val="both"/>
      </w:pPr>
      <w:r>
        <w:rPr>
          <w:rFonts w:ascii="Cambria" w:cs="Cambria" w:eastAsia="Cambria" w:hAnsi="Cambria"/>
          <w:b/>
          <w:bCs/>
          <w:color w:val="000000"/>
          <w:sz w:val="24"/>
          <w:szCs w:val="24"/>
        </w:rPr>
        <w:t xml:space="preserve">Restricciones:</w:t>
      </w:r>
      <w:r>
        <w:rPr>
          <w:rFonts w:ascii="Cambria" w:cs="Cambria" w:eastAsia="Cambria" w:hAnsi="Cambria"/>
          <w:color w:val="000000"/>
          <w:sz w:val="24"/>
          <w:szCs w:val="24"/>
        </w:rPr>
        <w:t xml:space="preserve"> El modelo no sustituye el juicio profesional ni asigna responsabilidad decisoria a la inteligencia artificial.</w:t>
      </w:r>
    </w:p>
    <w:p>
      <w:pPr>
        <w:spacing w:after="160" w:line="300"/>
        <w:jc w:val="both"/>
      </w:pPr>
      <w:r>
        <w:rPr>
          <w:rFonts w:ascii="Cambria" w:cs="Cambria" w:eastAsia="Cambria" w:hAnsi="Cambria"/>
          <w:b/>
          <w:bCs/>
          <w:color w:val="000000"/>
          <w:sz w:val="24"/>
          <w:szCs w:val="24"/>
        </w:rPr>
        <w:t xml:space="preserve">Historial de versiones:</w:t>
      </w:r>
      <w:r>
        <w:rPr>
          <w:rFonts w:ascii="Cambria" w:cs="Cambria" w:eastAsia="Cambria" w:hAnsi="Cambria"/>
          <w:color w:val="000000"/>
          <w:sz w:val="24"/>
          <w:szCs w:val="24"/>
        </w:rPr>
        <w:t xml:space="preserve"> Versión 1.0 — establecida en la Carta Magna del Sistema ODYRA y desarrollada en el Libro Cero.</w:t>
      </w:r>
    </w:p>
    <w:p>
      <w:pPr>
        <w:spacing w:after="160" w:line="300"/>
        <w:jc w:val="both"/>
      </w:pPr>
      <w:r>
        <w:rPr>
          <w:rFonts w:ascii="Cambria" w:cs="Cambria" w:eastAsia="Cambria" w:hAnsi="Cambria"/>
          <w:color w:val="000000"/>
          <w:sz w:val="24"/>
          <w:szCs w:val="24"/>
        </w:rPr>
        <w:t xml:space="preserve">Esta ficha ilustra el nivel de precisión que toda FOM debe alcanzar antes de que un modelo pueda considerarse oficial.</w:t>
      </w:r>
    </w:p>
    <w:p>
      <w:pPr>
        <w:pStyle w:val="Heading1"/>
        <w:pageBreakBefore/>
        <w:spacing w:after="60" w:before="200"/>
      </w:pPr>
      <w:r>
        <w:rPr>
          <w:rFonts w:ascii="Cambria" w:cs="Cambria" w:eastAsia="Cambria" w:hAnsi="Cambria"/>
          <w:b/>
          <w:bCs/>
          <w:color w:val="1E2761"/>
          <w:sz w:val="22"/>
          <w:szCs w:val="22"/>
        </w:rPr>
        <w:t xml:space="preserve">PARTE VI</w:t>
      </w:r>
    </w:p>
    <w:p>
      <w:pPr>
        <w:pStyle w:val="Heading2"/>
        <w:spacing w:after="120" w:before="260"/>
      </w:pPr>
      <w:r>
        <w:rPr>
          <w:rFonts w:ascii="Cambria" w:cs="Cambria" w:eastAsia="Cambria" w:hAnsi="Cambria"/>
          <w:b/>
          <w:bCs/>
          <w:color w:val="1E2761"/>
          <w:sz w:val="26"/>
          <w:szCs w:val="26"/>
        </w:rPr>
        <w:t xml:space="preserve">CICLO DE VIDA DE UN MODELO ODYRA</w:t>
      </w:r>
    </w:p>
    <w:p>
      <w:pPr>
        <w:spacing w:after="160" w:line="300"/>
        <w:jc w:val="both"/>
      </w:pPr>
      <w:r>
        <w:rPr>
          <w:rFonts w:ascii="Cambria" w:cs="Cambria" w:eastAsia="Cambria" w:hAnsi="Cambria"/>
          <w:color w:val="000000"/>
          <w:sz w:val="24"/>
          <w:szCs w:val="24"/>
        </w:rPr>
        <w:t xml:space="preserve">Todo modelo oficial del Sistema ODYRA atraviesa un ciclo de vida de diez etapas, desde su concepción inicial hasta su consolidación como conocimiento institucional. Este ciclo particulariza, para el caso específico de los modelos, el Ciclo de Maduración del Conocimiento establecido con carácter general en la Arquitectura del Conocimiento ODYRA.</w:t>
      </w:r>
    </w:p>
    <w:p>
      <w:pPr>
        <w:pStyle w:val="ListParagraph"/>
        <w:numPr>
          <w:ilvl w:val="0"/>
          <w:numId w:val="1"/>
        </w:numPr>
        <w:spacing w:after="80"/>
        <w:jc w:val="both"/>
      </w:pPr>
      <w:r>
        <w:rPr>
          <w:rFonts w:ascii="Cambria" w:cs="Cambria" w:eastAsia="Cambria" w:hAnsi="Cambria"/>
          <w:b/>
          <w:bCs/>
          <w:color w:val="000000"/>
          <w:sz w:val="23"/>
          <w:szCs w:val="23"/>
        </w:rPr>
        <w:t xml:space="preserve">Concepción.</w:t>
      </w:r>
      <w:r>
        <w:rPr>
          <w:rFonts w:ascii="Cambria" w:cs="Cambria" w:eastAsia="Cambria" w:hAnsi="Cambria"/>
          <w:color w:val="000000"/>
          <w:sz w:val="23"/>
          <w:szCs w:val="23"/>
        </w:rPr>
        <w:t xml:space="preserve"> El modelo existe como una intuición fundamentada, todavía sin estructura formal.</w:t>
      </w:r>
    </w:p>
    <w:p>
      <w:pPr>
        <w:pStyle w:val="ListParagraph"/>
        <w:numPr>
          <w:ilvl w:val="0"/>
          <w:numId w:val="1"/>
        </w:numPr>
        <w:spacing w:after="80"/>
        <w:jc w:val="both"/>
      </w:pPr>
      <w:r>
        <w:rPr>
          <w:rFonts w:ascii="Cambria" w:cs="Cambria" w:eastAsia="Cambria" w:hAnsi="Cambria"/>
          <w:b/>
          <w:bCs/>
          <w:color w:val="000000"/>
          <w:sz w:val="23"/>
          <w:szCs w:val="23"/>
        </w:rPr>
        <w:t xml:space="preserve">Diseño.</w:t>
      </w:r>
      <w:r>
        <w:rPr>
          <w:rFonts w:ascii="Cambria" w:cs="Cambria" w:eastAsia="Cambria" w:hAnsi="Cambria"/>
          <w:color w:val="000000"/>
          <w:sz w:val="23"/>
          <w:szCs w:val="23"/>
        </w:rPr>
        <w:t xml:space="preserve"> El modelo adquiere su primera arquitectura de trece componentes, aún sujeta a revisión.</w:t>
      </w:r>
    </w:p>
    <w:p>
      <w:pPr>
        <w:pStyle w:val="ListParagraph"/>
        <w:numPr>
          <w:ilvl w:val="0"/>
          <w:numId w:val="1"/>
        </w:numPr>
        <w:spacing w:after="80"/>
        <w:jc w:val="both"/>
      </w:pPr>
      <w:r>
        <w:rPr>
          <w:rFonts w:ascii="Cambria" w:cs="Cambria" w:eastAsia="Cambria" w:hAnsi="Cambria"/>
          <w:b/>
          <w:bCs/>
          <w:color w:val="000000"/>
          <w:sz w:val="23"/>
          <w:szCs w:val="23"/>
        </w:rPr>
        <w:t xml:space="preserve">Validación.</w:t>
      </w:r>
      <w:r>
        <w:rPr>
          <w:rFonts w:ascii="Cambria" w:cs="Cambria" w:eastAsia="Cambria" w:hAnsi="Cambria"/>
          <w:color w:val="000000"/>
          <w:sz w:val="23"/>
          <w:szCs w:val="23"/>
        </w:rPr>
        <w:t xml:space="preserve"> El modelo se somete a análisis de coherencia conceptual y consistencia con el resto del Sistema.</w:t>
      </w:r>
    </w:p>
    <w:p>
      <w:pPr>
        <w:pStyle w:val="ListParagraph"/>
        <w:numPr>
          <w:ilvl w:val="0"/>
          <w:numId w:val="1"/>
        </w:numPr>
        <w:spacing w:after="80"/>
        <w:jc w:val="both"/>
      </w:pPr>
      <w:r>
        <w:rPr>
          <w:rFonts w:ascii="Cambria" w:cs="Cambria" w:eastAsia="Cambria" w:hAnsi="Cambria"/>
          <w:b/>
          <w:bCs/>
          <w:color w:val="000000"/>
          <w:sz w:val="23"/>
          <w:szCs w:val="23"/>
        </w:rPr>
        <w:t xml:space="preserve">Pilotaje.</w:t>
      </w:r>
      <w:r>
        <w:rPr>
          <w:rFonts w:ascii="Cambria" w:cs="Cambria" w:eastAsia="Cambria" w:hAnsi="Cambria"/>
          <w:color w:val="000000"/>
          <w:sz w:val="23"/>
          <w:szCs w:val="23"/>
        </w:rPr>
        <w:t xml:space="preserve"> El modelo se aplica de manera controlada en uno o más contextos reales.</w:t>
      </w:r>
    </w:p>
    <w:p>
      <w:pPr>
        <w:pStyle w:val="ListParagraph"/>
        <w:numPr>
          <w:ilvl w:val="0"/>
          <w:numId w:val="1"/>
        </w:numPr>
        <w:spacing w:after="80"/>
        <w:jc w:val="both"/>
      </w:pPr>
      <w:r>
        <w:rPr>
          <w:rFonts w:ascii="Cambria" w:cs="Cambria" w:eastAsia="Cambria" w:hAnsi="Cambria"/>
          <w:b/>
          <w:bCs/>
          <w:color w:val="000000"/>
          <w:sz w:val="23"/>
          <w:szCs w:val="23"/>
        </w:rPr>
        <w:t xml:space="preserve">Versión Oficial.</w:t>
      </w:r>
      <w:r>
        <w:rPr>
          <w:rFonts w:ascii="Cambria" w:cs="Cambria" w:eastAsia="Cambria" w:hAnsi="Cambria"/>
          <w:color w:val="000000"/>
          <w:sz w:val="23"/>
          <w:szCs w:val="23"/>
        </w:rPr>
        <w:t xml:space="preserve"> El modelo se documenta mediante su Ficha Oficial de Modelo y recibe un código reconocido por la Escuela.</w:t>
      </w:r>
    </w:p>
    <w:p>
      <w:pPr>
        <w:pStyle w:val="ListParagraph"/>
        <w:numPr>
          <w:ilvl w:val="0"/>
          <w:numId w:val="1"/>
        </w:numPr>
        <w:spacing w:after="80"/>
        <w:jc w:val="both"/>
      </w:pPr>
      <w:r>
        <w:rPr>
          <w:rFonts w:ascii="Cambria" w:cs="Cambria" w:eastAsia="Cambria" w:hAnsi="Cambria"/>
          <w:b/>
          <w:bCs/>
          <w:color w:val="000000"/>
          <w:sz w:val="23"/>
          <w:szCs w:val="23"/>
        </w:rPr>
        <w:t xml:space="preserve">Aplicación.</w:t>
      </w:r>
      <w:r>
        <w:rPr>
          <w:rFonts w:ascii="Cambria" w:cs="Cambria" w:eastAsia="Cambria" w:hAnsi="Cambria"/>
          <w:color w:val="000000"/>
          <w:sz w:val="23"/>
          <w:szCs w:val="23"/>
        </w:rPr>
        <w:t xml:space="preserve"> El modelo se utiliza de manera regular en procesos de consultoría, investigación o formación.</w:t>
      </w:r>
    </w:p>
    <w:p>
      <w:pPr>
        <w:pStyle w:val="ListParagraph"/>
        <w:numPr>
          <w:ilvl w:val="0"/>
          <w:numId w:val="1"/>
        </w:numPr>
        <w:spacing w:after="80"/>
        <w:jc w:val="both"/>
      </w:pPr>
      <w:r>
        <w:rPr>
          <w:rFonts w:ascii="Cambria" w:cs="Cambria" w:eastAsia="Cambria" w:hAnsi="Cambria"/>
          <w:b/>
          <w:bCs/>
          <w:color w:val="000000"/>
          <w:sz w:val="23"/>
          <w:szCs w:val="23"/>
        </w:rPr>
        <w:t xml:space="preserve">Retroalimentación.</w:t>
      </w:r>
      <w:r>
        <w:rPr>
          <w:rFonts w:ascii="Cambria" w:cs="Cambria" w:eastAsia="Cambria" w:hAnsi="Cambria"/>
          <w:color w:val="000000"/>
          <w:sz w:val="23"/>
          <w:szCs w:val="23"/>
        </w:rPr>
        <w:t xml:space="preserve"> La aplicación práctica del modelo genera observaciones, hallazgos y evidencia sobre su desempeño real.</w:t>
      </w:r>
    </w:p>
    <w:p>
      <w:pPr>
        <w:pStyle w:val="ListParagraph"/>
        <w:numPr>
          <w:ilvl w:val="0"/>
          <w:numId w:val="1"/>
        </w:numPr>
        <w:spacing w:after="80"/>
        <w:jc w:val="both"/>
      </w:pPr>
      <w:r>
        <w:rPr>
          <w:rFonts w:ascii="Cambria" w:cs="Cambria" w:eastAsia="Cambria" w:hAnsi="Cambria"/>
          <w:b/>
          <w:bCs/>
          <w:color w:val="000000"/>
          <w:sz w:val="23"/>
          <w:szCs w:val="23"/>
        </w:rPr>
        <w:t xml:space="preserve">Actualización.</w:t>
      </w:r>
      <w:r>
        <w:rPr>
          <w:rFonts w:ascii="Cambria" w:cs="Cambria" w:eastAsia="Cambria" w:hAnsi="Cambria"/>
          <w:color w:val="000000"/>
          <w:sz w:val="23"/>
          <w:szCs w:val="23"/>
        </w:rPr>
        <w:t xml:space="preserve"> Los aprendizajes recogidos se incorporan al modelo, refinando sus componentes sin alterar su identidad conceptual.</w:t>
      </w:r>
    </w:p>
    <w:p>
      <w:pPr>
        <w:pStyle w:val="ListParagraph"/>
        <w:numPr>
          <w:ilvl w:val="0"/>
          <w:numId w:val="1"/>
        </w:numPr>
        <w:spacing w:after="80"/>
        <w:jc w:val="both"/>
      </w:pPr>
      <w:r>
        <w:rPr>
          <w:rFonts w:ascii="Cambria" w:cs="Cambria" w:eastAsia="Cambria" w:hAnsi="Cambria"/>
          <w:b/>
          <w:bCs/>
          <w:color w:val="000000"/>
          <w:sz w:val="23"/>
          <w:szCs w:val="23"/>
        </w:rPr>
        <w:t xml:space="preserve">Nueva versión.</w:t>
      </w:r>
      <w:r>
        <w:rPr>
          <w:rFonts w:ascii="Cambria" w:cs="Cambria" w:eastAsia="Cambria" w:hAnsi="Cambria"/>
          <w:color w:val="000000"/>
          <w:sz w:val="23"/>
          <w:szCs w:val="23"/>
        </w:rPr>
        <w:t xml:space="preserve"> El modelo actualizado se documenta como una nueva versión oficial, conservando el historial de la anterior.</w:t>
      </w:r>
    </w:p>
    <w:p>
      <w:pPr>
        <w:pStyle w:val="ListParagraph"/>
        <w:numPr>
          <w:ilvl w:val="0"/>
          <w:numId w:val="1"/>
        </w:numPr>
        <w:spacing w:after="80"/>
        <w:jc w:val="both"/>
      </w:pPr>
      <w:r>
        <w:rPr>
          <w:rFonts w:ascii="Cambria" w:cs="Cambria" w:eastAsia="Cambria" w:hAnsi="Cambria"/>
          <w:b/>
          <w:bCs/>
          <w:color w:val="000000"/>
          <w:sz w:val="23"/>
          <w:szCs w:val="23"/>
        </w:rPr>
        <w:t xml:space="preserve">Modelo consolidado.</w:t>
      </w:r>
      <w:r>
        <w:rPr>
          <w:rFonts w:ascii="Cambria" w:cs="Cambria" w:eastAsia="Cambria" w:hAnsi="Cambria"/>
          <w:color w:val="000000"/>
          <w:sz w:val="23"/>
          <w:szCs w:val="23"/>
        </w:rPr>
        <w:t xml:space="preserve"> El modelo alcanza estabilidad conceptual y práctica, y se reconoce como Conocimiento Institucional ODYRA de acuerdo con los niveles de madurez establecidos por la Arquitectura del Conocimiento ODYRA.</w:t>
      </w:r>
    </w:p>
    <w:p>
      <w:pPr>
        <w:spacing w:after="160" w:line="300"/>
        <w:jc w:val="both"/>
      </w:pPr>
      <w:r>
        <w:rPr>
          <w:rFonts w:ascii="Cambria" w:cs="Cambria" w:eastAsia="Cambria" w:hAnsi="Cambria"/>
          <w:color w:val="000000"/>
          <w:sz w:val="24"/>
          <w:szCs w:val="24"/>
        </w:rPr>
        <w:t xml:space="preserve">Este ciclo no es lineal en un sentido estricto: un modelo consolidado puede regresar a la etapa de retroalimentación cuantas veces sea necesario. Así como ningún documento fundacional se considera terminado, ningún modelo se considera definitivamente cerrado. La consolidación describe un estado de madurez, no un punto final.</w:t>
      </w:r>
    </w:p>
    <w:p>
      <w:pPr>
        <w:pStyle w:val="Heading1"/>
        <w:pageBreakBefore/>
        <w:spacing w:after="60" w:before="200"/>
      </w:pPr>
      <w:r>
        <w:rPr>
          <w:rFonts w:ascii="Cambria" w:cs="Cambria" w:eastAsia="Cambria" w:hAnsi="Cambria"/>
          <w:b/>
          <w:bCs/>
          <w:color w:val="1E2761"/>
          <w:sz w:val="22"/>
          <w:szCs w:val="22"/>
        </w:rPr>
        <w:t xml:space="preserve">PARTE VII</w:t>
      </w:r>
    </w:p>
    <w:p>
      <w:pPr>
        <w:pStyle w:val="Heading2"/>
        <w:spacing w:after="120" w:before="260"/>
      </w:pPr>
      <w:r>
        <w:rPr>
          <w:rFonts w:ascii="Cambria" w:cs="Cambria" w:eastAsia="Cambria" w:hAnsi="Cambria"/>
          <w:b/>
          <w:bCs/>
          <w:color w:val="1E2761"/>
          <w:sz w:val="26"/>
          <w:szCs w:val="26"/>
        </w:rPr>
        <w:t xml:space="preserve">GOBERNANZA Y VALIDACIÓN DE MODELOS</w:t>
      </w:r>
    </w:p>
    <w:p>
      <w:pPr>
        <w:spacing w:after="160" w:line="300"/>
        <w:jc w:val="both"/>
      </w:pPr>
      <w:r>
        <w:rPr>
          <w:rFonts w:ascii="Cambria" w:cs="Cambria" w:eastAsia="Cambria" w:hAnsi="Cambria"/>
          <w:color w:val="000000"/>
          <w:sz w:val="24"/>
          <w:szCs w:val="24"/>
        </w:rPr>
        <w:t xml:space="preserve">La calidad y la credibilidad del Sistema ODYRA dependen de que la incorporación, evolución y eventual retiro de los modelos sigan reglas institucionales claras, y no criterios individuales o coyunturales. Esta Parte establece esas reglas.</w:t>
      </w:r>
    </w:p>
    <w:p>
      <w:pPr>
        <w:pStyle w:val="ListParagraph"/>
        <w:numPr>
          <w:ilvl w:val="0"/>
          <w:numId w:val="1"/>
        </w:numPr>
        <w:spacing w:after="80"/>
        <w:jc w:val="both"/>
      </w:pPr>
      <w:r>
        <w:rPr>
          <w:rFonts w:ascii="Cambria" w:cs="Cambria" w:eastAsia="Cambria" w:hAnsi="Cambria"/>
          <w:b/>
          <w:bCs/>
          <w:color w:val="000000"/>
          <w:sz w:val="23"/>
          <w:szCs w:val="23"/>
        </w:rPr>
        <w:t xml:space="preserve">Criterios de aprobación.</w:t>
      </w:r>
      <w:r>
        <w:rPr>
          <w:rFonts w:ascii="Cambria" w:cs="Cambria" w:eastAsia="Cambria" w:hAnsi="Cambria"/>
          <w:color w:val="000000"/>
          <w:sz w:val="23"/>
          <w:szCs w:val="23"/>
        </w:rPr>
        <w:t xml:space="preserve"> Un modelo solo podrá oficializarse si cumple los ocho principios establecidos en la Parte I, ha recorrido las diez etapas de la Parte IV —experimentadas y validadas dentro del LAB ODYRA, conforme al Principio de Puerta Única de Innovación establecido en el Laboratorio de Innovación, Consultoría e Inteligencia Aplicada— y cuenta con una Ficha Oficial de Modelo completa.</w:t>
      </w:r>
    </w:p>
    <w:p>
      <w:pPr>
        <w:pStyle w:val="ListParagraph"/>
        <w:numPr>
          <w:ilvl w:val="0"/>
          <w:numId w:val="1"/>
        </w:numPr>
        <w:spacing w:after="80"/>
        <w:jc w:val="both"/>
      </w:pPr>
      <w:r>
        <w:rPr>
          <w:rFonts w:ascii="Cambria" w:cs="Cambria" w:eastAsia="Cambria" w:hAnsi="Cambria"/>
          <w:b/>
          <w:bCs/>
          <w:color w:val="000000"/>
          <w:sz w:val="23"/>
          <w:szCs w:val="23"/>
        </w:rPr>
        <w:t xml:space="preserve">Comité de revisión.</w:t>
      </w:r>
      <w:r>
        <w:rPr>
          <w:rFonts w:ascii="Cambria" w:cs="Cambria" w:eastAsia="Cambria" w:hAnsi="Cambria"/>
          <w:color w:val="000000"/>
          <w:sz w:val="23"/>
          <w:szCs w:val="23"/>
        </w:rPr>
        <w:t xml:space="preserve"> Todo modelo que supere la experimentación del Comité Científico del LAB ODYRA será evaluado por este Comité de Revisión, responsable de verificar su coherencia conceptual y su consistencia con los principios de la Carta Magna y el Canon Intelectual ODYRA, antes de recomendar su incorporación oficial.</w:t>
      </w:r>
    </w:p>
    <w:p>
      <w:pPr>
        <w:pStyle w:val="ListParagraph"/>
        <w:numPr>
          <w:ilvl w:val="0"/>
          <w:numId w:val="1"/>
        </w:numPr>
        <w:spacing w:after="80"/>
        <w:jc w:val="both"/>
      </w:pPr>
      <w:r>
        <w:rPr>
          <w:rFonts w:ascii="Cambria" w:cs="Cambria" w:eastAsia="Cambria" w:hAnsi="Cambria"/>
          <w:b/>
          <w:bCs/>
          <w:color w:val="000000"/>
          <w:sz w:val="23"/>
          <w:szCs w:val="23"/>
        </w:rPr>
        <w:t xml:space="preserve">Versionamiento.</w:t>
      </w:r>
      <w:r>
        <w:rPr>
          <w:rFonts w:ascii="Cambria" w:cs="Cambria" w:eastAsia="Cambria" w:hAnsi="Cambria"/>
          <w:color w:val="000000"/>
          <w:sz w:val="23"/>
          <w:szCs w:val="23"/>
        </w:rPr>
        <w:t xml:space="preserve"> Cada modificación sustantiva de un modelo generará una nueva versión numerada, conservando siempre accesible el historial de versiones anteriores.</w:t>
      </w:r>
    </w:p>
    <w:p>
      <w:pPr>
        <w:pStyle w:val="ListParagraph"/>
        <w:numPr>
          <w:ilvl w:val="0"/>
          <w:numId w:val="1"/>
        </w:numPr>
        <w:spacing w:after="80"/>
        <w:jc w:val="both"/>
      </w:pPr>
      <w:r>
        <w:rPr>
          <w:rFonts w:ascii="Cambria" w:cs="Cambria" w:eastAsia="Cambria" w:hAnsi="Cambria"/>
          <w:b/>
          <w:bCs/>
          <w:color w:val="000000"/>
          <w:sz w:val="23"/>
          <w:szCs w:val="23"/>
        </w:rPr>
        <w:t xml:space="preserve">Control documental.</w:t>
      </w:r>
      <w:r>
        <w:rPr>
          <w:rFonts w:ascii="Cambria" w:cs="Cambria" w:eastAsia="Cambria" w:hAnsi="Cambria"/>
          <w:color w:val="000000"/>
          <w:sz w:val="23"/>
          <w:szCs w:val="23"/>
        </w:rPr>
        <w:t xml:space="preserve"> La Ficha Oficial de cada modelo se mantendrá actualizada en el Catálogo Oficial de Modelos ODYRA, reflejando en todo momento su estado de madurez vigente.</w:t>
      </w:r>
    </w:p>
    <w:p>
      <w:pPr>
        <w:pStyle w:val="ListParagraph"/>
        <w:numPr>
          <w:ilvl w:val="0"/>
          <w:numId w:val="1"/>
        </w:numPr>
        <w:spacing w:after="80"/>
        <w:jc w:val="both"/>
      </w:pPr>
      <w:r>
        <w:rPr>
          <w:rFonts w:ascii="Cambria" w:cs="Cambria" w:eastAsia="Cambria" w:hAnsi="Cambria"/>
          <w:b/>
          <w:bCs/>
          <w:color w:val="000000"/>
          <w:sz w:val="23"/>
          <w:szCs w:val="23"/>
        </w:rPr>
        <w:t xml:space="preserve">Gestión de cambios.</w:t>
      </w:r>
      <w:r>
        <w:rPr>
          <w:rFonts w:ascii="Cambria" w:cs="Cambria" w:eastAsia="Cambria" w:hAnsi="Cambria"/>
          <w:color w:val="000000"/>
          <w:sz w:val="23"/>
          <w:szCs w:val="23"/>
        </w:rPr>
        <w:t xml:space="preserve"> Toda propuesta de modificación a un modelo oficial deberá documentar qué cambia, por qué cambia y qué evidencia sustenta el cambio, siguiendo el Principio de Trazabilidad Intelectual establecido en la Carta Magna.</w:t>
      </w:r>
    </w:p>
    <w:p>
      <w:pPr>
        <w:pStyle w:val="ListParagraph"/>
        <w:numPr>
          <w:ilvl w:val="0"/>
          <w:numId w:val="1"/>
        </w:numPr>
        <w:spacing w:after="80"/>
        <w:jc w:val="both"/>
      </w:pPr>
      <w:r>
        <w:rPr>
          <w:rFonts w:ascii="Cambria" w:cs="Cambria" w:eastAsia="Cambria" w:hAnsi="Cambria"/>
          <w:b/>
          <w:bCs/>
          <w:color w:val="000000"/>
          <w:sz w:val="23"/>
          <w:szCs w:val="23"/>
        </w:rPr>
        <w:t xml:space="preserve">Derechos intelectuales.</w:t>
      </w:r>
      <w:r>
        <w:rPr>
          <w:rFonts w:ascii="Cambria" w:cs="Cambria" w:eastAsia="Cambria" w:hAnsi="Cambria"/>
          <w:color w:val="000000"/>
          <w:sz w:val="23"/>
          <w:szCs w:val="23"/>
        </w:rPr>
        <w:t xml:space="preserve"> Los modelos oficiales del Sistema ODYRA constituyen patrimonio intelectual de la Escuela de Pensamiento ODYRA, sin perjuicio del reconocimiento de autoría individual de quienes los desarrollen.</w:t>
      </w:r>
    </w:p>
    <w:p>
      <w:pPr>
        <w:pStyle w:val="ListParagraph"/>
        <w:numPr>
          <w:ilvl w:val="0"/>
          <w:numId w:val="1"/>
        </w:numPr>
        <w:spacing w:after="80"/>
        <w:jc w:val="both"/>
      </w:pPr>
      <w:r>
        <w:rPr>
          <w:rFonts w:ascii="Cambria" w:cs="Cambria" w:eastAsia="Cambria" w:hAnsi="Cambria"/>
          <w:b/>
          <w:bCs/>
          <w:color w:val="000000"/>
          <w:sz w:val="23"/>
          <w:szCs w:val="23"/>
        </w:rPr>
        <w:t xml:space="preserve">Integración con el Canon Intelectual.</w:t>
      </w:r>
      <w:r>
        <w:rPr>
          <w:rFonts w:ascii="Cambria" w:cs="Cambria" w:eastAsia="Cambria" w:hAnsi="Cambria"/>
          <w:color w:val="000000"/>
          <w:sz w:val="23"/>
          <w:szCs w:val="23"/>
        </w:rPr>
        <w:t xml:space="preserve"> Ningún modelo podrá contradecir los Doce Principios, los Siete Postulados o los Diez Compromisos establecidos en el Canon Intelectual ODYRA. En caso de conflicto, prevalece el Canon.</w:t>
      </w:r>
    </w:p>
    <w:p>
      <w:pPr>
        <w:pStyle w:val="ListParagraph"/>
        <w:numPr>
          <w:ilvl w:val="0"/>
          <w:numId w:val="1"/>
        </w:numPr>
        <w:spacing w:after="80"/>
        <w:jc w:val="both"/>
      </w:pPr>
      <w:r>
        <w:rPr>
          <w:rFonts w:ascii="Cambria" w:cs="Cambria" w:eastAsia="Cambria" w:hAnsi="Cambria"/>
          <w:b/>
          <w:bCs/>
          <w:color w:val="000000"/>
          <w:sz w:val="23"/>
          <w:szCs w:val="23"/>
        </w:rPr>
        <w:t xml:space="preserve">Procedimiento para retirar o sustituir modelos.</w:t>
      </w:r>
      <w:r>
        <w:rPr>
          <w:rFonts w:ascii="Cambria" w:cs="Cambria" w:eastAsia="Cambria" w:hAnsi="Cambria"/>
          <w:color w:val="000000"/>
          <w:sz w:val="23"/>
          <w:szCs w:val="23"/>
        </w:rPr>
        <w:t xml:space="preserve"> Un modelo podrá retirarse del Catálogo Oficial cuando pierda vigencia explicativa, sea reemplazado por un modelo superior, o se demuestre su incoherencia con los principios del Sistema. Ningún modelo se elimina sin documentar las razones de su retiro.</w:t>
      </w:r>
    </w:p>
    <w:p>
      <w:pPr>
        <w:pStyle w:val="ListParagraph"/>
        <w:numPr>
          <w:ilvl w:val="0"/>
          <w:numId w:val="1"/>
        </w:numPr>
        <w:spacing w:after="80"/>
        <w:jc w:val="both"/>
      </w:pPr>
      <w:r>
        <w:rPr>
          <w:rFonts w:ascii="Cambria" w:cs="Cambria" w:eastAsia="Cambria" w:hAnsi="Cambria"/>
          <w:b/>
          <w:bCs/>
          <w:color w:val="000000"/>
          <w:sz w:val="23"/>
          <w:szCs w:val="23"/>
        </w:rPr>
        <w:t xml:space="preserve">Mecanismos de actualización permanente.</w:t>
      </w:r>
      <w:r>
        <w:rPr>
          <w:rFonts w:ascii="Cambria" w:cs="Cambria" w:eastAsia="Cambria" w:hAnsi="Cambria"/>
          <w:color w:val="000000"/>
          <w:sz w:val="23"/>
          <w:szCs w:val="23"/>
        </w:rPr>
        <w:t xml:space="preserve"> El comité de revisión evaluará periódicamente los modelos vigentes, incorporando la evidencia generada por su aplicación práctica y por las investigaciones desarrolladas dentro del Sistema.</w:t>
      </w:r>
    </w:p>
    <w:p>
      <w:pPr>
        <w:spacing w:after="160" w:line="300"/>
        <w:jc w:val="both"/>
      </w:pPr>
      <w:r>
        <w:rPr>
          <w:rFonts w:ascii="Cambria" w:cs="Cambria" w:eastAsia="Cambria" w:hAnsi="Cambria"/>
          <w:color w:val="000000"/>
          <w:sz w:val="24"/>
          <w:szCs w:val="24"/>
        </w:rPr>
        <w:t xml:space="preserve">Esta gobernanza protege al Sistema ODYRA de dos riesgos opuestos: la rigidez de no permitir que los modelos evolucionen, y la dispersión de permitir que evolucionen sin control ni coherencia.</w:t>
      </w:r>
    </w:p>
    <w:p>
      <w:pPr>
        <w:pStyle w:val="Heading1"/>
        <w:pageBreakBefore/>
        <w:spacing w:after="60" w:before="200"/>
      </w:pPr>
      <w:r>
        <w:rPr>
          <w:rFonts w:ascii="Cambria" w:cs="Cambria" w:eastAsia="Cambria" w:hAnsi="Cambria"/>
          <w:b/>
          <w:bCs/>
          <w:color w:val="1E2761"/>
          <w:sz w:val="22"/>
          <w:szCs w:val="22"/>
        </w:rPr>
        <w:t xml:space="preserve">PARTE VIII</w:t>
      </w:r>
    </w:p>
    <w:p>
      <w:pPr>
        <w:pStyle w:val="Heading2"/>
        <w:spacing w:after="120" w:before="260"/>
      </w:pPr>
      <w:r>
        <w:rPr>
          <w:rFonts w:ascii="Cambria" w:cs="Cambria" w:eastAsia="Cambria" w:hAnsi="Cambria"/>
          <w:b/>
          <w:bCs/>
          <w:color w:val="1E2761"/>
          <w:sz w:val="26"/>
          <w:szCs w:val="26"/>
        </w:rPr>
        <w:t xml:space="preserve">CATÁLOGO OFICIAL DE MODELOS ODYRA</w:t>
      </w:r>
    </w:p>
    <w:p>
      <w:pPr>
        <w:spacing w:after="160" w:line="300"/>
        <w:jc w:val="both"/>
      </w:pPr>
      <w:r>
        <w:rPr>
          <w:rFonts w:ascii="Cambria" w:cs="Cambria" w:eastAsia="Cambria" w:hAnsi="Cambria"/>
          <w:color w:val="000000"/>
          <w:sz w:val="24"/>
          <w:szCs w:val="24"/>
        </w:rPr>
        <w:t xml:space="preserve">El Catálogo Oficial de Modelos ODYRA es el inventario vivo de los modelos reconocidos formalmente por la Escuela de Pensamiento ODYRA. A la fecha de publicación de este Manual, el Catálogo reconoce tres modelos oficiales, los tres alcanzando el Nivel V de madurez —Conocimiento Institucional ODYRA— establecido por la Arquitectura del Conocimiento ODYRA:</w:t>
      </w:r>
    </w:p>
    <w:p>
      <w:pPr>
        <w:pStyle w:val="ListParagraph"/>
        <w:numPr>
          <w:ilvl w:val="0"/>
          <w:numId w:val="1"/>
        </w:numPr>
        <w:spacing w:after="80"/>
        <w:jc w:val="both"/>
      </w:pPr>
      <w:r>
        <w:rPr>
          <w:rFonts w:ascii="Cambria" w:cs="Cambria" w:eastAsia="Cambria" w:hAnsi="Cambria"/>
          <w:b/>
          <w:bCs/>
          <w:color w:val="000000"/>
          <w:sz w:val="23"/>
          <w:szCs w:val="23"/>
        </w:rPr>
        <w:t xml:space="preserve">CI–ODYRA</w:t>
      </w:r>
      <w:r>
        <w:rPr>
          <w:rFonts w:ascii="Cambria" w:cs="Cambria" w:eastAsia="Cambria" w:hAnsi="Cambria"/>
          <w:color w:val="000000"/>
          <w:sz w:val="23"/>
          <w:szCs w:val="23"/>
        </w:rPr>
        <w:t xml:space="preserve"> — Modelo de Convergencia Inteligente ODYRA. Versión 1.0. Establecido en la Carta Magna del Sistema ODYRA.</w:t>
      </w:r>
    </w:p>
    <w:p>
      <w:pPr>
        <w:pStyle w:val="ListParagraph"/>
        <w:numPr>
          <w:ilvl w:val="0"/>
          <w:numId w:val="1"/>
        </w:numPr>
        <w:spacing w:after="80"/>
        <w:jc w:val="both"/>
      </w:pPr>
      <w:r>
        <w:rPr>
          <w:rFonts w:ascii="Cambria" w:cs="Cambria" w:eastAsia="Cambria" w:hAnsi="Cambria"/>
          <w:b/>
          <w:bCs/>
          <w:color w:val="000000"/>
          <w:sz w:val="23"/>
          <w:szCs w:val="23"/>
        </w:rPr>
        <w:t xml:space="preserve">TTE–ODYRA</w:t>
      </w:r>
      <w:r>
        <w:rPr>
          <w:rFonts w:ascii="Cambria" w:cs="Cambria" w:eastAsia="Cambria" w:hAnsi="Cambria"/>
          <w:color w:val="000000"/>
          <w:sz w:val="23"/>
          <w:szCs w:val="23"/>
        </w:rPr>
        <w:t xml:space="preserve"> — Tren de Transformación Estratégica. Versión 1.0. Establecido en la Carta Magna del Sistema ODYRA.</w:t>
      </w:r>
    </w:p>
    <w:p>
      <w:pPr>
        <w:pStyle w:val="ListParagraph"/>
        <w:numPr>
          <w:ilvl w:val="0"/>
          <w:numId w:val="1"/>
        </w:numPr>
        <w:spacing w:after="80"/>
        <w:jc w:val="both"/>
      </w:pPr>
      <w:r>
        <w:rPr>
          <w:rFonts w:ascii="Cambria" w:cs="Cambria" w:eastAsia="Cambria" w:hAnsi="Cambria"/>
          <w:b/>
          <w:bCs/>
          <w:color w:val="000000"/>
          <w:sz w:val="23"/>
          <w:szCs w:val="23"/>
        </w:rPr>
        <w:t xml:space="preserve">MRE–ODYRA</w:t>
      </w:r>
      <w:r>
        <w:rPr>
          <w:rFonts w:ascii="Cambria" w:cs="Cambria" w:eastAsia="Cambria" w:hAnsi="Cambria"/>
          <w:color w:val="000000"/>
          <w:sz w:val="23"/>
          <w:szCs w:val="23"/>
        </w:rPr>
        <w:t xml:space="preserve"> — Marco de Razonamiento Estratégico ODYRA. Versión 1.0. Establecido en la Carta Magna del Sistema ODYRA.</w:t>
      </w:r>
    </w:p>
    <w:p>
      <w:pPr>
        <w:spacing w:after="160" w:line="300"/>
        <w:jc w:val="both"/>
      </w:pPr>
      <w:r>
        <w:rPr>
          <w:rFonts w:ascii="Cambria" w:cs="Cambria" w:eastAsia="Cambria" w:hAnsi="Cambria"/>
          <w:color w:val="000000"/>
          <w:sz w:val="24"/>
          <w:szCs w:val="24"/>
        </w:rPr>
        <w:t xml:space="preserve">Los modelos organizacionales, metodológicos, analíticos y de inteligencia artificial aplicada listados en la Taxonomía Oficial de la Parte III se encuentran en las etapas de concepción o diseño de su ciclo de vida, y no forman parte todavía del Catálogo Oficial. Su incorporación formal, con código y Ficha Oficial de Modelo propios, se realizará conforme avancen y se documenten conforme al proceso establecido en este Manual.</w:t>
      </w:r>
    </w:p>
    <w:p>
      <w:pPr>
        <w:spacing w:after="160" w:line="300"/>
        <w:jc w:val="both"/>
      </w:pPr>
      <w:r>
        <w:rPr>
          <w:rFonts w:ascii="Cambria" w:cs="Cambria" w:eastAsia="Cambria" w:hAnsi="Cambria"/>
          <w:color w:val="000000"/>
          <w:sz w:val="24"/>
          <w:szCs w:val="24"/>
        </w:rPr>
        <w:t xml:space="preserve">El Catálogo Oficial de Modelos ODYRA crecerá de manera permanente. Cada nuevo modelo que se incorpore ampliará la capacidad del Sistema para comprender y transformar realidades cada vez más diversas, sin comprometer jamás la coherencia que este Manual existe para proteger.</w:t>
      </w:r>
    </w:p>
    <w:p>
      <w:pPr>
        <w:pStyle w:val="Heading1"/>
        <w:pBdr>
          <w:bottom w:val="single" w:color="1E2761" w:sz="6" w:space="4"/>
        </w:pBdr>
        <w:spacing w:after="240" w:before="60"/>
      </w:pPr>
      <w:r>
        <w:rPr>
          <w:rFonts w:ascii="Cambria" w:cs="Cambria" w:eastAsia="Cambria" w:hAnsi="Cambria"/>
          <w:b/>
          <w:bCs/>
          <w:color w:val="1E2761"/>
          <w:sz w:val="28"/>
          <w:szCs w:val="28"/>
        </w:rPr>
        <w:t xml:space="preserve">EPÍLOGO</w:t>
      </w:r>
    </w:p>
    <w:p>
      <w:pPr>
        <w:pStyle w:val="Heading2"/>
        <w:spacing w:after="120" w:before="260"/>
      </w:pPr>
      <w:r>
        <w:rPr>
          <w:rFonts w:ascii="Cambria" w:cs="Cambria" w:eastAsia="Cambria" w:hAnsi="Cambria"/>
          <w:b/>
          <w:bCs/>
          <w:color w:val="1E2761"/>
          <w:sz w:val="26"/>
          <w:szCs w:val="26"/>
        </w:rPr>
        <w:t xml:space="preserve">Los modelos como patrimonio intelectual de la Escuela de Pensamiento ODYRA</w:t>
      </w:r>
    </w:p>
    <w:p>
      <w:pPr>
        <w:spacing w:after="160" w:line="300"/>
        <w:jc w:val="both"/>
      </w:pPr>
      <w:r>
        <w:rPr>
          <w:rFonts w:ascii="Cambria" w:cs="Cambria" w:eastAsia="Cambria" w:hAnsi="Cambria"/>
          <w:color w:val="000000"/>
          <w:sz w:val="24"/>
          <w:szCs w:val="24"/>
        </w:rPr>
        <w:t xml:space="preserve">Los modelos no son únicamente instrumentos metodológicos. Son expresiones del conocimiento organizado de la Escuela de Pensamiento ODYRA. Cada modelo representa una síntesis de experiencia, investigación, metodologías e inteligencia aplicada; por ello, su verdadero valor no reside únicamente en resolver problemas presentes, sino en ampliar la capacidad de las organizaciones para comprender, decidir y transformarse.</w:t>
      </w:r>
    </w:p>
    <w:p>
      <w:pPr>
        <w:spacing w:after="160" w:line="300"/>
        <w:jc w:val="both"/>
      </w:pPr>
      <w:r>
        <w:rPr>
          <w:rFonts w:ascii="Cambria" w:cs="Cambria" w:eastAsia="Cambria" w:hAnsi="Cambria"/>
          <w:color w:val="000000"/>
          <w:sz w:val="24"/>
          <w:szCs w:val="24"/>
        </w:rPr>
        <w:t xml:space="preserve">El Manual de Modelos ODYRA establece el compromiso de preservar, fortalecer y evolucionar este patrimonio intelectual, garantizando que cada nuevo modelo contribuya al crecimiento coherente del Sistema ODYRA y al propósito superior de formar una comunidad internacional dedicada a la consultoría estratégica, la inteligencia aplicada y la construcción de organizaciones más inteligentes, más humanas y más sostenibles.</w:t>
      </w:r>
    </w:p>
    <w:p>
      <w:pPr>
        <w:spacing w:after="160" w:line="300"/>
        <w:jc w:val="both"/>
      </w:pPr>
      <w:r>
        <w:rPr>
          <w:rFonts w:ascii="Cambria" w:cs="Cambria" w:eastAsia="Cambria" w:hAnsi="Cambria"/>
          <w:color w:val="000000"/>
          <w:sz w:val="24"/>
          <w:szCs w:val="24"/>
        </w:rPr>
        <w:t xml:space="preserve">Hoy el Catálogo Oficial reúne tres modelos. Mañana reunirá más. Lo que permanecerá inalterado es el estándar que este Manual establece para que cada uno de ellos, sin importar cuántos lleguen a existir, hable el mismo lenguaje y sirva al mismo propósito.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61" w:sz="6" w:space="8"/>
      </w:pBdr>
      <w:tabs>
        <w:tab w:val="right" w:pos="9026"/>
      </w:tabs>
    </w:pPr>
    <w:r>
      <w:rPr>
        <w:rFonts w:ascii="Calibri" w:cs="Calibri" w:eastAsia="Calibri" w:hAnsi="Calibri"/>
        <w:color w:val="6B7280"/>
        <w:sz w:val="15"/>
        <w:szCs w:val="15"/>
      </w:rPr>
      <w:t xml:space="preserve">Escuela de Pensamiento ODYRA</w:t>
    </w:r>
    <w:r>
      <w:rPr>
        <w:rFonts w:ascii="Calibri" w:cs="Calibri" w:eastAsia="Calibri" w:hAnsi="Calibri"/>
        <w:color w:val="6B7280"/>
        <w:sz w:val="15"/>
        <w:szCs w:val="15"/>
      </w:rPr>
      <w:t xml:space="preserve">	Página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8" w:space="8"/>
      </w:pBdr>
      <w:tabs>
        <w:tab w:val="right" w:pos="9026"/>
      </w:tabs>
    </w:pPr>
    <w:r>
      <w:drawing>
        <wp:inline distT="0" distB="0" distL="0" distR="0">
          <wp:extent cx="14287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23850"/>
                  </a:xfrm>
                  <a:prstGeom prst="rect">
                    <a:avLst/>
                  </a:prstGeom>
                </pic:spPr>
              </pic:pic>
            </a:graphicData>
          </a:graphic>
        </wp:inline>
      </w:drawing>
    </w:r>
    <w:r>
      <w:rPr>
        <w:rFonts w:ascii="Calibri" w:cs="Calibri" w:eastAsia="Calibri" w:hAnsi="Calibri"/>
        <w:b/>
        <w:bCs/>
        <w:color w:val="6B7280"/>
        <w:sz w:val="15"/>
        <w:szCs w:val="15"/>
      </w:rPr>
      <w:t xml:space="preserve">	MANUAL DE MODELOS ODYRA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a21776a34766d8d77f6c7a13da33fb65f87fa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2026-07-22T22:26:19.864Z</dcterms:created>
  <dcterms:modified xsi:type="dcterms:W3CDTF">2026-07-22T22:26:19.864Z</dcterms:modified>
</cp:coreProperties>
</file>

<file path=docProps/custom.xml><?xml version="1.0" encoding="utf-8"?>
<Properties xmlns="http://schemas.openxmlformats.org/officeDocument/2006/custom-properties" xmlns:vt="http://schemas.openxmlformats.org/officeDocument/2006/docPropsVTypes"/>
</file>