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MARCO METODOLÓGICO ODYRA (MMO)</w:t>
      </w:r>
    </w:p>
    <w:p>
      <w:pPr>
        <w:spacing w:after="120" w:before="40"/>
        <w:jc w:val="center"/>
      </w:pPr>
      <w:r>
        <w:rPr>
          <w:rFonts w:ascii="Cambria" w:cs="Cambria" w:eastAsia="Cambria" w:hAnsi="Cambria"/>
          <w:i/>
          <w:iCs/>
          <w:color w:val="6B7280"/>
          <w:sz w:val="22"/>
          <w:szCs w:val="22"/>
        </w:rPr>
        <w:t xml:space="preserve">Sistema Oficial para la Aplicación del Método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pStyle w:val="Heading2"/>
        <w:spacing w:after="120" w:before="260"/>
      </w:pPr>
      <w:r>
        <w:rPr>
          <w:rFonts w:ascii="Cambria" w:cs="Cambria" w:eastAsia="Cambria" w:hAnsi="Cambria"/>
          <w:b/>
          <w:bCs/>
          <w:color w:val="1E2761"/>
          <w:sz w:val="26"/>
          <w:szCs w:val="26"/>
        </w:rPr>
        <w:t xml:space="preserve">Del pensamiento a la acción</w:t>
      </w:r>
    </w:p>
    <w:p>
      <w:pPr>
        <w:spacing w:after="160" w:line="300"/>
        <w:jc w:val="both"/>
      </w:pPr>
      <w:r>
        <w:rPr>
          <w:rFonts w:ascii="Cambria" w:cs="Cambria" w:eastAsia="Cambria" w:hAnsi="Cambria"/>
          <w:color w:val="000000"/>
          <w:sz w:val="24"/>
          <w:szCs w:val="24"/>
        </w:rPr>
        <w:t xml:space="preserve">La Carta Magna del Sistema ODYRA establece los principios. El Canon Intelectual los sintetiza en doctrina permanente. El Libro Cero desarrolla la filosofía que los sostiene. Los modelos —documentados y gobernados por el Manual de Modelos ODYRA— explican los fenómenos que esa filosofía identifica. Pero ningún principio, por sólido que sea, transforma una organización por sí solo. Entre el pensamiento y la transformación existe un puente, y ese puente es la metodología.</w:t>
      </w:r>
    </w:p>
    <w:p>
      <w:pPr>
        <w:spacing w:after="160" w:line="300"/>
        <w:jc w:val="both"/>
      </w:pPr>
      <w:r>
        <w:rPr>
          <w:rFonts w:ascii="Cambria" w:cs="Cambria" w:eastAsia="Cambria" w:hAnsi="Cambria"/>
          <w:color w:val="000000"/>
          <w:sz w:val="24"/>
          <w:szCs w:val="24"/>
        </w:rPr>
        <w:t xml:space="preserve">El </w:t>
      </w:r>
      <w:r>
        <w:rPr>
          <w:rFonts w:ascii="Cambria" w:cs="Cambria" w:eastAsia="Cambria" w:hAnsi="Cambria"/>
          <w:b/>
          <w:bCs/>
          <w:color w:val="000000"/>
          <w:sz w:val="24"/>
          <w:szCs w:val="24"/>
        </w:rPr>
        <w:t xml:space="preserve">Marco Metodológico ODYRA (MMO)</w:t>
      </w:r>
      <w:r>
        <w:rPr>
          <w:rFonts w:ascii="Cambria" w:cs="Cambria" w:eastAsia="Cambria" w:hAnsi="Cambria"/>
          <w:color w:val="000000"/>
          <w:sz w:val="24"/>
          <w:szCs w:val="24"/>
        </w:rPr>
        <w:t xml:space="preserve"> es el documento que convierte la filosofía, los principios y los modelos del Sistema en una metodología de intervención aplicable a organizaciones, proyectos, territorios y redes de colaboración. No prescribe recetas cerradas ni procedimientos idénticos para toda situación. Ofrece, en cambio, un marco flexible, adaptable y orientado a un único fin: la generación de capacidades sostenibles en quienes lo reciben.</w:t>
      </w:r>
    </w:p>
    <w:p>
      <w:pPr>
        <w:spacing w:after="160" w:line="300"/>
        <w:jc w:val="both"/>
      </w:pPr>
      <w:r>
        <w:rPr>
          <w:rFonts w:ascii="Cambria" w:cs="Cambria" w:eastAsia="Cambria" w:hAnsi="Cambria"/>
          <w:color w:val="000000"/>
          <w:sz w:val="24"/>
          <w:szCs w:val="24"/>
        </w:rPr>
        <w:t xml:space="preserve">Este Marco desarrolla, a nivel operativo, lo que el Modelo CI–ODYRA y el Tren de Transformación Estratégica establecen a nivel conceptual. Si esos modelos explican </w:t>
      </w:r>
      <w:r>
        <w:rPr>
          <w:rFonts w:ascii="Cambria" w:cs="Cambria" w:eastAsia="Cambria" w:hAnsi="Cambria"/>
          <w:b/>
          <w:bCs/>
          <w:color w:val="000000"/>
          <w:sz w:val="24"/>
          <w:szCs w:val="24"/>
        </w:rPr>
        <w:t xml:space="preserve">por qué</w:t>
      </w:r>
      <w:r>
        <w:rPr>
          <w:rFonts w:ascii="Cambria" w:cs="Cambria" w:eastAsia="Cambria" w:hAnsi="Cambria"/>
          <w:color w:val="000000"/>
          <w:sz w:val="24"/>
          <w:szCs w:val="24"/>
        </w:rPr>
        <w:t xml:space="preserve"> funciona la convergencia entre conocimiento, metodología e inteligencia artificial, el Marco Metodológico explica </w:t>
      </w:r>
      <w:r>
        <w:rPr>
          <w:rFonts w:ascii="Cambria" w:cs="Cambria" w:eastAsia="Cambria" w:hAnsi="Cambria"/>
          <w:b/>
          <w:bCs/>
          <w:color w:val="000000"/>
          <w:sz w:val="24"/>
          <w:szCs w:val="24"/>
        </w:rPr>
        <w:t xml:space="preserve">cómo</w:t>
      </w:r>
      <w:r>
        <w:rPr>
          <w:rFonts w:ascii="Cambria" w:cs="Cambria" w:eastAsia="Cambria" w:hAnsi="Cambria"/>
          <w:color w:val="000000"/>
          <w:sz w:val="24"/>
          <w:szCs w:val="24"/>
        </w:rPr>
        <w:t xml:space="preserve"> se recorre ese camino en la práctica: qué se hace en cada etapa, qué preguntas debe formularse un consultor, qué productos debe entregar y qué evidencia demuestra que una organización efectivamente ha fortalecido su capacidad de transformarse.</w:t>
      </w:r>
    </w:p>
    <w:p>
      <w:pPr>
        <w:spacing w:after="160" w:line="300"/>
        <w:jc w:val="both"/>
      </w:pPr>
      <w:r>
        <w:rPr>
          <w:rFonts w:ascii="Cambria" w:cs="Cambria" w:eastAsia="Cambria" w:hAnsi="Cambria"/>
          <w:color w:val="000000"/>
          <w:sz w:val="24"/>
          <w:szCs w:val="24"/>
        </w:rPr>
        <w:t xml:space="preserve">El Marco Metodológico ODYRA no compite con las metodologías reconocidas internacionalmente —PMBOK, Marco Lógico, Design Thinking, Scrum, y otras—. Las integra. Su propósito no es sustituir ese conocimiento acumulado, sino ofrecer la arquitectura que permite combinarlo con criterio, según las necesidades específicas de cada organización, cada proyecto y cada territorio.</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FUNDAMENTOS METODOLÓGICOS DEL SISTEMA ODYRA</w:t>
      </w:r>
    </w:p>
    <w:p>
      <w:pPr>
        <w:pStyle w:val="Heading3"/>
        <w:spacing w:after="100" w:before="200"/>
      </w:pPr>
      <w:r>
        <w:rPr>
          <w:rFonts w:ascii="Cambria" w:cs="Cambria" w:eastAsia="Cambria" w:hAnsi="Cambria"/>
          <w:b/>
          <w:bCs/>
          <w:color w:val="1E2761"/>
          <w:sz w:val="23"/>
          <w:szCs w:val="23"/>
        </w:rPr>
        <w:t xml:space="preserve">Capítulo 1. La metodología como sistema de transformación</w:t>
      </w:r>
    </w:p>
    <w:p>
      <w:pPr>
        <w:spacing w:after="160" w:line="300"/>
        <w:jc w:val="both"/>
      </w:pPr>
      <w:r>
        <w:rPr>
          <w:rFonts w:ascii="Cambria" w:cs="Cambria" w:eastAsia="Cambria" w:hAnsi="Cambria"/>
          <w:color w:val="000000"/>
          <w:sz w:val="24"/>
          <w:szCs w:val="24"/>
        </w:rPr>
        <w:t xml:space="preserve">En el Sistema ODYRA, una metodología no es una secuencia de actividades ordenadas cronológicamente. Es un </w:t>
      </w:r>
      <w:r>
        <w:rPr>
          <w:rFonts w:ascii="Cambria" w:cs="Cambria" w:eastAsia="Cambria" w:hAnsi="Cambria"/>
          <w:b/>
          <w:bCs/>
          <w:color w:val="000000"/>
          <w:sz w:val="24"/>
          <w:szCs w:val="24"/>
        </w:rPr>
        <w:t xml:space="preserve">sistema de transformación</w:t>
      </w:r>
      <w:r>
        <w:rPr>
          <w:rFonts w:ascii="Cambria" w:cs="Cambria" w:eastAsia="Cambria" w:hAnsi="Cambria"/>
          <w:color w:val="000000"/>
          <w:sz w:val="24"/>
          <w:szCs w:val="24"/>
        </w:rPr>
        <w:t xml:space="preserve">: un conjunto articulado de principios, procesos, instrumentos y criterios de decisión que, aplicados con coherencia, convierte la comprensión de una realidad en una capacidad instalada para transformarla.</w:t>
      </w:r>
    </w:p>
    <w:p>
      <w:pPr>
        <w:spacing w:after="160" w:line="300"/>
        <w:jc w:val="both"/>
      </w:pPr>
      <w:r>
        <w:rPr>
          <w:rFonts w:ascii="Cambria" w:cs="Cambria" w:eastAsia="Cambria" w:hAnsi="Cambria"/>
          <w:color w:val="000000"/>
          <w:sz w:val="24"/>
          <w:szCs w:val="24"/>
        </w:rPr>
        <w:t xml:space="preserve">Esta distinción tiene consecuencias prácticas. Una secuencia de actividades puede ejecutarse sin comprender por qué cada paso importa; un sistema de transformación exige que cada actividad esté justificada por un principio y oriente hacia un resultado de capacidad, no solo de producto. Por ello, el Marco Metodológico ODYRA no se limita a decir </w:t>
      </w:r>
      <w:r>
        <w:rPr>
          <w:rFonts w:ascii="Cambria" w:cs="Cambria" w:eastAsia="Cambria" w:hAnsi="Cambria"/>
          <w:b/>
          <w:bCs/>
          <w:color w:val="000000"/>
          <w:sz w:val="24"/>
          <w:szCs w:val="24"/>
        </w:rPr>
        <w:t xml:space="preserve">qué hacer</w:t>
      </w:r>
      <w:r>
        <w:rPr>
          <w:rFonts w:ascii="Cambria" w:cs="Cambria" w:eastAsia="Cambria" w:hAnsi="Cambria"/>
          <w:color w:val="000000"/>
          <w:sz w:val="24"/>
          <w:szCs w:val="24"/>
        </w:rPr>
        <w:t xml:space="preserve">: explica también </w:t>
      </w:r>
      <w:r>
        <w:rPr>
          <w:rFonts w:ascii="Cambria" w:cs="Cambria" w:eastAsia="Cambria" w:hAnsi="Cambria"/>
          <w:b/>
          <w:bCs/>
          <w:color w:val="000000"/>
          <w:sz w:val="24"/>
          <w:szCs w:val="24"/>
        </w:rPr>
        <w:t xml:space="preserve">por qué hacerlo</w:t>
      </w:r>
      <w:r>
        <w:rPr>
          <w:rFonts w:ascii="Cambria" w:cs="Cambria" w:eastAsia="Cambria" w:hAnsi="Cambria"/>
          <w:color w:val="000000"/>
          <w:sz w:val="24"/>
          <w:szCs w:val="24"/>
        </w:rPr>
        <w:t xml:space="preserve"> y </w:t>
      </w:r>
      <w:r>
        <w:rPr>
          <w:rFonts w:ascii="Cambria" w:cs="Cambria" w:eastAsia="Cambria" w:hAnsi="Cambria"/>
          <w:b/>
          <w:bCs/>
          <w:color w:val="000000"/>
          <w:sz w:val="24"/>
          <w:szCs w:val="24"/>
        </w:rPr>
        <w:t xml:space="preserve">qué debe quedar instalado en la organización</w:t>
      </w:r>
      <w:r>
        <w:rPr>
          <w:rFonts w:ascii="Cambria" w:cs="Cambria" w:eastAsia="Cambria" w:hAnsi="Cambria"/>
          <w:color w:val="000000"/>
          <w:sz w:val="24"/>
          <w:szCs w:val="24"/>
        </w:rPr>
        <w:t xml:space="preserve"> una vez concluida cada etapa.</w:t>
      </w:r>
    </w:p>
    <w:p>
      <w:pPr>
        <w:spacing w:after="160" w:line="300"/>
        <w:jc w:val="both"/>
      </w:pPr>
      <w:r>
        <w:rPr>
          <w:rFonts w:ascii="Cambria" w:cs="Cambria" w:eastAsia="Cambria" w:hAnsi="Cambria"/>
          <w:color w:val="000000"/>
          <w:sz w:val="24"/>
          <w:szCs w:val="24"/>
        </w:rPr>
        <w:t xml:space="preserve">Toda metodología derivada del Sistema ODYRA —ya sea para formulación de proyectos, fortalecimiento organizacional, gestión pública o cualquier otro campo de aplicación— deberá construirse sobre esta misma lógica: partir de un modelo conceptual reconocido, articularse en un proceso claro, y orientarse siempre al fortalecimiento de capacidades y no únicamente a la entrega de productos.</w:t>
      </w:r>
    </w:p>
    <w:p>
      <w:pPr>
        <w:pStyle w:val="Heading3"/>
        <w:spacing w:after="100" w:before="200"/>
      </w:pPr>
      <w:r>
        <w:rPr>
          <w:rFonts w:ascii="Cambria" w:cs="Cambria" w:eastAsia="Cambria" w:hAnsi="Cambria"/>
          <w:b/>
          <w:bCs/>
          <w:color w:val="1E2761"/>
          <w:sz w:val="23"/>
          <w:szCs w:val="23"/>
        </w:rPr>
        <w:t xml:space="preserve">Capítulo 2. Principios metodológicos del Sistema ODYRA</w:t>
      </w:r>
    </w:p>
    <w:p>
      <w:pPr>
        <w:spacing w:after="160" w:line="300"/>
        <w:jc w:val="both"/>
      </w:pPr>
      <w:r>
        <w:rPr>
          <w:rFonts w:ascii="Cambria" w:cs="Cambria" w:eastAsia="Cambria" w:hAnsi="Cambria"/>
          <w:color w:val="000000"/>
          <w:sz w:val="24"/>
          <w:szCs w:val="24"/>
        </w:rPr>
        <w:t xml:space="preserve">Toda intervención desarrollada bajo el Marco Metodológico ODYRA deberá orientarse por los siguientes ocho principios:</w:t>
      </w:r>
    </w:p>
    <w:p>
      <w:pPr>
        <w:pStyle w:val="ListParagraph"/>
        <w:numPr>
          <w:ilvl w:val="0"/>
          <w:numId w:val="1"/>
        </w:numPr>
        <w:spacing w:after="80"/>
        <w:jc w:val="both"/>
      </w:pPr>
      <w:r>
        <w:rPr>
          <w:rFonts w:ascii="Cambria" w:cs="Cambria" w:eastAsia="Cambria" w:hAnsi="Cambria"/>
          <w:b/>
          <w:bCs/>
          <w:color w:val="000000"/>
          <w:sz w:val="23"/>
          <w:szCs w:val="23"/>
        </w:rPr>
        <w:t xml:space="preserve">Pensamiento sistémico.</w:t>
      </w:r>
      <w:r>
        <w:rPr>
          <w:rFonts w:ascii="Cambria" w:cs="Cambria" w:eastAsia="Cambria" w:hAnsi="Cambria"/>
          <w:color w:val="000000"/>
          <w:sz w:val="23"/>
          <w:szCs w:val="23"/>
        </w:rPr>
        <w:t xml:space="preserve"> Ninguna intervención se diseña sobre una causa aislada. Toda metodología debe comprender la organización como un sistema de relaciones entre personas, procesos, cultura y contexto.</w:t>
      </w:r>
    </w:p>
    <w:p>
      <w:pPr>
        <w:pStyle w:val="ListParagraph"/>
        <w:numPr>
          <w:ilvl w:val="0"/>
          <w:numId w:val="1"/>
        </w:numPr>
        <w:spacing w:after="80"/>
        <w:jc w:val="both"/>
      </w:pPr>
      <w:r>
        <w:rPr>
          <w:rFonts w:ascii="Cambria" w:cs="Cambria" w:eastAsia="Cambria" w:hAnsi="Cambria"/>
          <w:b/>
          <w:bCs/>
          <w:color w:val="000000"/>
          <w:sz w:val="23"/>
          <w:szCs w:val="23"/>
        </w:rPr>
        <w:t xml:space="preserve">Orientación estratégica.</w:t>
      </w:r>
      <w:r>
        <w:rPr>
          <w:rFonts w:ascii="Cambria" w:cs="Cambria" w:eastAsia="Cambria" w:hAnsi="Cambria"/>
          <w:color w:val="000000"/>
          <w:sz w:val="23"/>
          <w:szCs w:val="23"/>
        </w:rPr>
        <w:t xml:space="preserve"> Toda actividad metodológica debe conectarse explícitamente con el propósito estratégico de la organización. Ninguna herramienta se aplica por rutina; se aplica porque responde a una decisión estratégica.</w:t>
      </w:r>
    </w:p>
    <w:p>
      <w:pPr>
        <w:pStyle w:val="ListParagraph"/>
        <w:numPr>
          <w:ilvl w:val="0"/>
          <w:numId w:val="1"/>
        </w:numPr>
        <w:spacing w:after="80"/>
        <w:jc w:val="both"/>
      </w:pPr>
      <w:r>
        <w:rPr>
          <w:rFonts w:ascii="Cambria" w:cs="Cambria" w:eastAsia="Cambria" w:hAnsi="Cambria"/>
          <w:b/>
          <w:bCs/>
          <w:color w:val="000000"/>
          <w:sz w:val="23"/>
          <w:szCs w:val="23"/>
        </w:rPr>
        <w:t xml:space="preserve">Construcción de capacidades.</w:t>
      </w:r>
      <w:r>
        <w:rPr>
          <w:rFonts w:ascii="Cambria" w:cs="Cambria" w:eastAsia="Cambria" w:hAnsi="Cambria"/>
          <w:color w:val="000000"/>
          <w:sz w:val="23"/>
          <w:szCs w:val="23"/>
        </w:rPr>
        <w:t xml:space="preserve"> El criterio de éxito de una intervención nunca es exclusivamente el producto entregado, sino la capacidad que la organización conserva una vez que el consultor se retira.</w:t>
      </w:r>
    </w:p>
    <w:p>
      <w:pPr>
        <w:pStyle w:val="ListParagraph"/>
        <w:numPr>
          <w:ilvl w:val="0"/>
          <w:numId w:val="1"/>
        </w:numPr>
        <w:spacing w:after="80"/>
        <w:jc w:val="both"/>
      </w:pPr>
      <w:r>
        <w:rPr>
          <w:rFonts w:ascii="Cambria" w:cs="Cambria" w:eastAsia="Cambria" w:hAnsi="Cambria"/>
          <w:b/>
          <w:bCs/>
          <w:color w:val="000000"/>
          <w:sz w:val="23"/>
          <w:szCs w:val="23"/>
        </w:rPr>
        <w:t xml:space="preserve">Inteligencia aplicada.</w:t>
      </w:r>
      <w:r>
        <w:rPr>
          <w:rFonts w:ascii="Cambria" w:cs="Cambria" w:eastAsia="Cambria" w:hAnsi="Cambria"/>
          <w:color w:val="000000"/>
          <w:sz w:val="23"/>
          <w:szCs w:val="23"/>
        </w:rPr>
        <w:t xml:space="preserve"> Toda metodología debe incorporar, cuando resulte pertinente, la convergencia entre conocimiento experto, estructura metodológica e inteligencia artificial descrita en el Modelo CI–ODYRA.</w:t>
      </w:r>
    </w:p>
    <w:p>
      <w:pPr>
        <w:pStyle w:val="ListParagraph"/>
        <w:numPr>
          <w:ilvl w:val="0"/>
          <w:numId w:val="1"/>
        </w:numPr>
        <w:spacing w:after="80"/>
        <w:jc w:val="both"/>
      </w:pPr>
      <w:r>
        <w:rPr>
          <w:rFonts w:ascii="Cambria" w:cs="Cambria" w:eastAsia="Cambria" w:hAnsi="Cambria"/>
          <w:b/>
          <w:bCs/>
          <w:color w:val="000000"/>
          <w:sz w:val="23"/>
          <w:szCs w:val="23"/>
        </w:rPr>
        <w:t xml:space="preserve">Adaptabilidad metodológica.</w:t>
      </w:r>
      <w:r>
        <w:rPr>
          <w:rFonts w:ascii="Cambria" w:cs="Cambria" w:eastAsia="Cambria" w:hAnsi="Cambria"/>
          <w:color w:val="000000"/>
          <w:sz w:val="23"/>
          <w:szCs w:val="23"/>
        </w:rPr>
        <w:t xml:space="preserve"> Ninguna metodología se aplica de manera idéntica en todos los contextos. El Marco Metodológico establece una estructura común que debe adaptarse, en su instrumentación, a cada organización, sector y territorio.</w:t>
      </w:r>
    </w:p>
    <w:p>
      <w:pPr>
        <w:pStyle w:val="ListParagraph"/>
        <w:numPr>
          <w:ilvl w:val="0"/>
          <w:numId w:val="1"/>
        </w:numPr>
        <w:spacing w:after="80"/>
        <w:jc w:val="both"/>
      </w:pPr>
      <w:r>
        <w:rPr>
          <w:rFonts w:ascii="Cambria" w:cs="Cambria" w:eastAsia="Cambria" w:hAnsi="Cambria"/>
          <w:b/>
          <w:bCs/>
          <w:color w:val="000000"/>
          <w:sz w:val="23"/>
          <w:szCs w:val="23"/>
        </w:rPr>
        <w:t xml:space="preserve">Aprendizaje continuo.</w:t>
      </w:r>
      <w:r>
        <w:rPr>
          <w:rFonts w:ascii="Cambria" w:cs="Cambria" w:eastAsia="Cambria" w:hAnsi="Cambria"/>
          <w:color w:val="000000"/>
          <w:sz w:val="23"/>
          <w:szCs w:val="23"/>
        </w:rPr>
        <w:t xml:space="preserve"> Toda intervención genera conocimiento, y ese conocimiento debe sistematizarse conforme al Ciclo del Conocimiento ODYRA establecido en la Arquitectura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Innovación responsable.</w:t>
      </w:r>
      <w:r>
        <w:rPr>
          <w:rFonts w:ascii="Cambria" w:cs="Cambria" w:eastAsia="Cambria" w:hAnsi="Cambria"/>
          <w:color w:val="000000"/>
          <w:sz w:val="23"/>
          <w:szCs w:val="23"/>
        </w:rPr>
        <w:t xml:space="preserve"> La incorporación de nuevas herramientas, tecnologías o enfoques metodológicos debe evaluarse por el valor real que aporta, no por su novedad.</w:t>
      </w:r>
    </w:p>
    <w:p>
      <w:pPr>
        <w:pStyle w:val="ListParagraph"/>
        <w:numPr>
          <w:ilvl w:val="0"/>
          <w:numId w:val="1"/>
        </w:numPr>
        <w:spacing w:after="80"/>
        <w:jc w:val="both"/>
      </w:pPr>
      <w:r>
        <w:rPr>
          <w:rFonts w:ascii="Cambria" w:cs="Cambria" w:eastAsia="Cambria" w:hAnsi="Cambria"/>
          <w:b/>
          <w:bCs/>
          <w:color w:val="000000"/>
          <w:sz w:val="23"/>
          <w:szCs w:val="23"/>
        </w:rPr>
        <w:t xml:space="preserve">Ética y propósito.</w:t>
      </w:r>
      <w:r>
        <w:rPr>
          <w:rFonts w:ascii="Cambria" w:cs="Cambria" w:eastAsia="Cambria" w:hAnsi="Cambria"/>
          <w:color w:val="000000"/>
          <w:sz w:val="23"/>
          <w:szCs w:val="23"/>
        </w:rPr>
        <w:t xml:space="preserve"> Toda decisión metodológica debe subordinarse a los principios establecidos en el Canon Intelectual ODYRA, particularmente en lo relativo a la centralidad del ser humano y al uso responsable de la inteligencia artificial.</w:t>
      </w:r>
    </w:p>
    <w:p>
      <w:pPr>
        <w:spacing w:after="160" w:line="300"/>
        <w:jc w:val="both"/>
      </w:pPr>
      <w:r>
        <w:rPr>
          <w:rFonts w:ascii="Cambria" w:cs="Cambria" w:eastAsia="Cambria" w:hAnsi="Cambria"/>
          <w:color w:val="000000"/>
          <w:sz w:val="24"/>
          <w:szCs w:val="24"/>
        </w:rPr>
        <w:t xml:space="preserve">Estos ocho principios no son una declaración aspiracional: son el criterio con el cual se evalúa la calidad de cualquier intervención realizada bajo el Sistema ODYRA, según se establece en la Parte VII de este Marco.</w:t>
      </w:r>
    </w:p>
    <w:p>
      <w:pPr>
        <w:pStyle w:val="Heading3"/>
        <w:spacing w:after="100" w:before="200"/>
      </w:pPr>
      <w:r>
        <w:rPr>
          <w:rFonts w:ascii="Cambria" w:cs="Cambria" w:eastAsia="Cambria" w:hAnsi="Cambria"/>
          <w:b/>
          <w:bCs/>
          <w:color w:val="1E2761"/>
          <w:sz w:val="23"/>
          <w:szCs w:val="23"/>
        </w:rPr>
        <w:t xml:space="preserve">Capítulo 3. El papel del consultor dentro del marco metodológico</w:t>
      </w:r>
    </w:p>
    <w:p>
      <w:pPr>
        <w:spacing w:after="160" w:line="300"/>
        <w:jc w:val="both"/>
      </w:pPr>
      <w:r>
        <w:rPr>
          <w:rFonts w:ascii="Cambria" w:cs="Cambria" w:eastAsia="Cambria" w:hAnsi="Cambria"/>
          <w:color w:val="000000"/>
          <w:sz w:val="24"/>
          <w:szCs w:val="24"/>
        </w:rPr>
        <w:t xml:space="preserve">El Marco Metodológico ODYRA no se aplica solo: lo aplica un Consultor ODYRA, cuyo perfil se encuentra desarrollado en el Libro Cero y en la Carta Magna del Sistema ODYRA. Dentro de este Marco, ese perfil se traduce en tres funciones concretas.</w:t>
      </w:r>
    </w:p>
    <w:p>
      <w:pPr>
        <w:spacing w:after="160" w:line="300"/>
        <w:jc w:val="both"/>
      </w:pPr>
      <w:r>
        <w:rPr>
          <w:rFonts w:ascii="Cambria" w:cs="Cambria" w:eastAsia="Cambria" w:hAnsi="Cambria"/>
          <w:color w:val="000000"/>
          <w:sz w:val="24"/>
          <w:szCs w:val="24"/>
        </w:rPr>
        <w:t xml:space="preserve">Como </w:t>
      </w:r>
      <w:r>
        <w:rPr>
          <w:rFonts w:ascii="Cambria" w:cs="Cambria" w:eastAsia="Cambria" w:hAnsi="Cambria"/>
          <w:b/>
          <w:bCs/>
          <w:color w:val="000000"/>
          <w:sz w:val="24"/>
          <w:szCs w:val="24"/>
        </w:rPr>
        <w:t xml:space="preserve">facilitador</w:t>
      </w:r>
      <w:r>
        <w:rPr>
          <w:rFonts w:ascii="Cambria" w:cs="Cambria" w:eastAsia="Cambria" w:hAnsi="Cambria"/>
          <w:color w:val="000000"/>
          <w:sz w:val="24"/>
          <w:szCs w:val="24"/>
        </w:rPr>
        <w:t xml:space="preserve">, el consultor no impone soluciones prediseñadas: crea las condiciones para que la organización comprenda su propia realidad y participe activamente en la construcción de las decisiones que la afectan. Como </w:t>
      </w:r>
      <w:r>
        <w:rPr>
          <w:rFonts w:ascii="Cambria" w:cs="Cambria" w:eastAsia="Cambria" w:hAnsi="Cambria"/>
          <w:b/>
          <w:bCs/>
          <w:color w:val="000000"/>
          <w:sz w:val="24"/>
          <w:szCs w:val="24"/>
        </w:rPr>
        <w:t xml:space="preserve">arquitecto del aprendizaje</w:t>
      </w:r>
      <w:r>
        <w:rPr>
          <w:rFonts w:ascii="Cambria" w:cs="Cambria" w:eastAsia="Cambria" w:hAnsi="Cambria"/>
          <w:color w:val="000000"/>
          <w:sz w:val="24"/>
          <w:szCs w:val="24"/>
        </w:rPr>
        <w:t xml:space="preserve">, diseña cada etapa metodológica de manera que genere comprensión, no solamente cumplimiento; cada herramienta que utiliza debe dejar una capacidad, no solo un resultado. Como </w:t>
      </w:r>
      <w:r>
        <w:rPr>
          <w:rFonts w:ascii="Cambria" w:cs="Cambria" w:eastAsia="Cambria" w:hAnsi="Cambria"/>
          <w:b/>
          <w:bCs/>
          <w:color w:val="000000"/>
          <w:sz w:val="24"/>
          <w:szCs w:val="24"/>
        </w:rPr>
        <w:t xml:space="preserve">constructor de capacidades</w:t>
      </w:r>
      <w:r>
        <w:rPr>
          <w:rFonts w:ascii="Cambria" w:cs="Cambria" w:eastAsia="Cambria" w:hAnsi="Cambria"/>
          <w:color w:val="000000"/>
          <w:sz w:val="24"/>
          <w:szCs w:val="24"/>
        </w:rPr>
        <w:t xml:space="preserve">, mide su éxito por la autonomía que la organización adquiere y no por su propia indispensabilidad.</w:t>
      </w:r>
    </w:p>
    <w:p>
      <w:pPr>
        <w:spacing w:after="160" w:line="300"/>
        <w:jc w:val="both"/>
      </w:pPr>
      <w:r>
        <w:rPr>
          <w:rFonts w:ascii="Cambria" w:cs="Cambria" w:eastAsia="Cambria" w:hAnsi="Cambria"/>
          <w:color w:val="000000"/>
          <w:sz w:val="24"/>
          <w:szCs w:val="24"/>
        </w:rPr>
        <w:t xml:space="preserve">Estas tres funciones no son opcionales ni intercambiables: operan de manera simultánea a lo largo de las siete etapas del Ciclo Metodológico ODYRA, descrito a continuación.</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EL CICLO METODOLÓGICO ODYRA</w:t>
      </w:r>
    </w:p>
    <w:p>
      <w:pPr>
        <w:spacing w:after="160" w:line="300"/>
        <w:jc w:val="both"/>
      </w:pPr>
      <w:r>
        <w:rPr>
          <w:rFonts w:ascii="Cambria" w:cs="Cambria" w:eastAsia="Cambria" w:hAnsi="Cambria"/>
          <w:color w:val="000000"/>
          <w:sz w:val="24"/>
          <w:szCs w:val="24"/>
        </w:rPr>
        <w:t xml:space="preserve">El Ciclo Metodológico ODYRA es la expresión operativa del </w:t>
      </w:r>
      <w:r>
        <w:rPr>
          <w:rFonts w:ascii="Cambria" w:cs="Cambria" w:eastAsia="Cambria" w:hAnsi="Cambria"/>
          <w:b/>
          <w:bCs/>
          <w:color w:val="000000"/>
          <w:sz w:val="24"/>
          <w:szCs w:val="24"/>
        </w:rPr>
        <w:t xml:space="preserve">Tren de Transformación Estratégica (TTE–ODYRA)</w:t>
      </w:r>
      <w:r>
        <w:rPr>
          <w:rFonts w:ascii="Cambria" w:cs="Cambria" w:eastAsia="Cambria" w:hAnsi="Cambria"/>
          <w:color w:val="000000"/>
          <w:sz w:val="24"/>
          <w:szCs w:val="24"/>
        </w:rPr>
        <w:t xml:space="preserve">, establecido como modelo oficial en la Carta Magna del Sistema ODYRA. Mientras el TTE–ODYRA explica, a nivel conceptual, el recorrido que toda organización atraviesa para transformarse, el Ciclo Metodológico traduce cada una de sus siete estaciones en un conjunto operativo de objetivos, preguntas, actividades, productos, modelos asociados, herramientas y evidencias.</w:t>
      </w:r>
    </w:p>
    <w:p>
      <w:pPr>
        <w:pStyle w:val="Heading3"/>
        <w:spacing w:after="100" w:before="200"/>
      </w:pPr>
      <w:r>
        <w:rPr>
          <w:rFonts w:ascii="Cambria" w:cs="Cambria" w:eastAsia="Cambria" w:hAnsi="Cambria"/>
          <w:b/>
          <w:bCs/>
          <w:color w:val="1E2761"/>
          <w:sz w:val="23"/>
          <w:szCs w:val="23"/>
        </w:rPr>
        <w:t xml:space="preserve">1. Comprender</w:t>
      </w:r>
    </w:p>
    <w:p>
      <w:pPr>
        <w:spacing w:after="160" w:line="300"/>
        <w:jc w:val="both"/>
      </w:pPr>
      <w:r>
        <w:rPr>
          <w:rFonts w:ascii="Cambria" w:cs="Cambria" w:eastAsia="Cambria" w:hAnsi="Cambria"/>
          <w:b/>
          <w:bCs/>
          <w:color w:val="000000"/>
          <w:sz w:val="24"/>
          <w:szCs w:val="24"/>
        </w:rPr>
        <w:t xml:space="preserve">Objetivo.</w:t>
      </w:r>
      <w:r>
        <w:rPr>
          <w:rFonts w:ascii="Cambria" w:cs="Cambria" w:eastAsia="Cambria" w:hAnsi="Cambria"/>
          <w:color w:val="000000"/>
          <w:sz w:val="24"/>
          <w:szCs w:val="24"/>
        </w:rPr>
        <w:t xml:space="preserve"> Construir una comprensión rigurosa y compartida de la realidad inicial de la organización.</w:t>
      </w:r>
    </w:p>
    <w:p>
      <w:pPr>
        <w:spacing w:after="160" w:line="300"/>
        <w:jc w:val="both"/>
      </w:pPr>
      <w:r>
        <w:rPr>
          <w:rFonts w:ascii="Cambria" w:cs="Cambria" w:eastAsia="Cambria" w:hAnsi="Cambria"/>
          <w:b/>
          <w:bCs/>
          <w:color w:val="000000"/>
          <w:sz w:val="24"/>
          <w:szCs w:val="24"/>
        </w:rPr>
        <w:t xml:space="preserve">Preguntas clave.</w:t>
      </w:r>
      <w:r>
        <w:rPr>
          <w:rFonts w:ascii="Cambria" w:cs="Cambria" w:eastAsia="Cambria" w:hAnsi="Cambria"/>
          <w:color w:val="000000"/>
          <w:sz w:val="24"/>
          <w:szCs w:val="24"/>
        </w:rPr>
        <w:t xml:space="preserve"> ¿Qué está ocurriendo realmente? ¿Qué capacidades existen ya? ¿Qué restricciones y oportunidades definen el contexto?</w:t>
      </w:r>
    </w:p>
    <w:p>
      <w:pPr>
        <w:spacing w:after="160" w:line="300"/>
        <w:jc w:val="both"/>
      </w:pPr>
      <w:r>
        <w:rPr>
          <w:rFonts w:ascii="Cambria" w:cs="Cambria" w:eastAsia="Cambria" w:hAnsi="Cambria"/>
          <w:b/>
          <w:bCs/>
          <w:color w:val="000000"/>
          <w:sz w:val="24"/>
          <w:szCs w:val="24"/>
        </w:rPr>
        <w:t xml:space="preserve">Actividades principales.</w:t>
      </w:r>
      <w:r>
        <w:rPr>
          <w:rFonts w:ascii="Cambria" w:cs="Cambria" w:eastAsia="Cambria" w:hAnsi="Cambria"/>
          <w:color w:val="000000"/>
          <w:sz w:val="24"/>
          <w:szCs w:val="24"/>
        </w:rPr>
        <w:t xml:space="preserve"> Caracterización del contexto, entrevistas con actores clave, análisis documental, observación directa.</w:t>
      </w:r>
    </w:p>
    <w:p>
      <w:pPr>
        <w:spacing w:after="160" w:line="300"/>
        <w:jc w:val="both"/>
      </w:pPr>
      <w:r>
        <w:rPr>
          <w:rFonts w:ascii="Cambria" w:cs="Cambria" w:eastAsia="Cambria" w:hAnsi="Cambria"/>
          <w:b/>
          <w:bCs/>
          <w:color w:val="000000"/>
          <w:sz w:val="24"/>
          <w:szCs w:val="24"/>
        </w:rPr>
        <w:t xml:space="preserve">Productos esperados.</w:t>
      </w:r>
      <w:r>
        <w:rPr>
          <w:rFonts w:ascii="Cambria" w:cs="Cambria" w:eastAsia="Cambria" w:hAnsi="Cambria"/>
          <w:color w:val="000000"/>
          <w:sz w:val="24"/>
          <w:szCs w:val="24"/>
        </w:rPr>
        <w:t xml:space="preserve"> Diagnóstico estratégico validado con la organización.</w:t>
      </w:r>
    </w:p>
    <w:p>
      <w:pPr>
        <w:spacing w:after="160" w:line="300"/>
        <w:jc w:val="both"/>
      </w:pPr>
      <w:r>
        <w:rPr>
          <w:rFonts w:ascii="Cambria" w:cs="Cambria" w:eastAsia="Cambria" w:hAnsi="Cambria"/>
          <w:b/>
          <w:bCs/>
          <w:color w:val="000000"/>
          <w:sz w:val="24"/>
          <w:szCs w:val="24"/>
        </w:rPr>
        <w:t xml:space="preserve">Modelos asociados.</w:t>
      </w:r>
      <w:r>
        <w:rPr>
          <w:rFonts w:ascii="Cambria" w:cs="Cambria" w:eastAsia="Cambria" w:hAnsi="Cambria"/>
          <w:color w:val="000000"/>
          <w:sz w:val="24"/>
          <w:szCs w:val="24"/>
        </w:rPr>
        <w:t xml:space="preserve"> Modelo CI–ODYRA (para la sistematización de información); Marco de Razonamiento Estratégico (MRE–ODYRA).</w:t>
      </w:r>
    </w:p>
    <w:p>
      <w:pPr>
        <w:spacing w:after="160" w:line="300"/>
        <w:jc w:val="both"/>
      </w:pPr>
      <w:r>
        <w:rPr>
          <w:rFonts w:ascii="Cambria" w:cs="Cambria" w:eastAsia="Cambria" w:hAnsi="Cambria"/>
          <w:b/>
          <w:bCs/>
          <w:color w:val="000000"/>
          <w:sz w:val="24"/>
          <w:szCs w:val="24"/>
        </w:rPr>
        <w:t xml:space="preserve">Herramientas recomendadas.</w:t>
      </w:r>
      <w:r>
        <w:rPr>
          <w:rFonts w:ascii="Cambria" w:cs="Cambria" w:eastAsia="Cambria" w:hAnsi="Cambria"/>
          <w:color w:val="000000"/>
          <w:sz w:val="24"/>
          <w:szCs w:val="24"/>
        </w:rPr>
        <w:t xml:space="preserve"> Guías de diagnóstico, matrices de caracterización, protocolos de entrevista.</w:t>
      </w:r>
    </w:p>
    <w:p>
      <w:pPr>
        <w:spacing w:after="160" w:line="300"/>
        <w:jc w:val="both"/>
      </w:pPr>
      <w:r>
        <w:rPr>
          <w:rFonts w:ascii="Cambria" w:cs="Cambria" w:eastAsia="Cambria" w:hAnsi="Cambria"/>
          <w:b/>
          <w:bCs/>
          <w:color w:val="000000"/>
          <w:sz w:val="24"/>
          <w:szCs w:val="24"/>
        </w:rPr>
        <w:t xml:space="preserve">Evidencias de avance.</w:t>
      </w:r>
      <w:r>
        <w:rPr>
          <w:rFonts w:ascii="Cambria" w:cs="Cambria" w:eastAsia="Cambria" w:hAnsi="Cambria"/>
          <w:color w:val="000000"/>
          <w:sz w:val="24"/>
          <w:szCs w:val="24"/>
        </w:rPr>
        <w:t xml:space="preserve"> Documento de diagnóstico compartido y validado con los actores de la organización.</w:t>
      </w:r>
    </w:p>
    <w:p>
      <w:pPr>
        <w:pStyle w:val="Heading3"/>
        <w:spacing w:after="100" w:before="200"/>
      </w:pPr>
      <w:r>
        <w:rPr>
          <w:rFonts w:ascii="Cambria" w:cs="Cambria" w:eastAsia="Cambria" w:hAnsi="Cambria"/>
          <w:b/>
          <w:bCs/>
          <w:color w:val="1E2761"/>
          <w:sz w:val="23"/>
          <w:szCs w:val="23"/>
        </w:rPr>
        <w:t xml:space="preserve">2. Orientar</w:t>
      </w:r>
    </w:p>
    <w:p>
      <w:pPr>
        <w:spacing w:after="160" w:line="300"/>
        <w:jc w:val="both"/>
      </w:pPr>
      <w:r>
        <w:rPr>
          <w:rFonts w:ascii="Cambria" w:cs="Cambria" w:eastAsia="Cambria" w:hAnsi="Cambria"/>
          <w:b/>
          <w:bCs/>
          <w:color w:val="000000"/>
          <w:sz w:val="24"/>
          <w:szCs w:val="24"/>
        </w:rPr>
        <w:t xml:space="preserve">Objetivo.</w:t>
      </w:r>
      <w:r>
        <w:rPr>
          <w:rFonts w:ascii="Cambria" w:cs="Cambria" w:eastAsia="Cambria" w:hAnsi="Cambria"/>
          <w:color w:val="000000"/>
          <w:sz w:val="24"/>
          <w:szCs w:val="24"/>
        </w:rPr>
        <w:t xml:space="preserve"> Definir con claridad la dirección estratégica hacia la cual se orientará la intervención.</w:t>
      </w:r>
    </w:p>
    <w:p>
      <w:pPr>
        <w:spacing w:after="160" w:line="300"/>
        <w:jc w:val="both"/>
      </w:pPr>
      <w:r>
        <w:rPr>
          <w:rFonts w:ascii="Cambria" w:cs="Cambria" w:eastAsia="Cambria" w:hAnsi="Cambria"/>
          <w:b/>
          <w:bCs/>
          <w:color w:val="000000"/>
          <w:sz w:val="24"/>
          <w:szCs w:val="24"/>
        </w:rPr>
        <w:t xml:space="preserve">Preguntas clave.</w:t>
      </w:r>
      <w:r>
        <w:rPr>
          <w:rFonts w:ascii="Cambria" w:cs="Cambria" w:eastAsia="Cambria" w:hAnsi="Cambria"/>
          <w:color w:val="000000"/>
          <w:sz w:val="24"/>
          <w:szCs w:val="24"/>
        </w:rPr>
        <w:t xml:space="preserve"> ¿Hacia dónde queremos avanzar? ¿Qué prioridades son irrenunciables? ¿Qué visión de futuro comparte la organización?</w:t>
      </w:r>
    </w:p>
    <w:p>
      <w:pPr>
        <w:spacing w:after="160" w:line="300"/>
        <w:jc w:val="both"/>
      </w:pPr>
      <w:r>
        <w:rPr>
          <w:rFonts w:ascii="Cambria" w:cs="Cambria" w:eastAsia="Cambria" w:hAnsi="Cambria"/>
          <w:b/>
          <w:bCs/>
          <w:color w:val="000000"/>
          <w:sz w:val="24"/>
          <w:szCs w:val="24"/>
        </w:rPr>
        <w:t xml:space="preserve">Actividades principales.</w:t>
      </w:r>
      <w:r>
        <w:rPr>
          <w:rFonts w:ascii="Cambria" w:cs="Cambria" w:eastAsia="Cambria" w:hAnsi="Cambria"/>
          <w:color w:val="000000"/>
          <w:sz w:val="24"/>
          <w:szCs w:val="24"/>
        </w:rPr>
        <w:t xml:space="preserve"> Talleres de visión estratégica, priorización participativa, definición de objetivos.</w:t>
      </w:r>
    </w:p>
    <w:p>
      <w:pPr>
        <w:spacing w:after="160" w:line="300"/>
        <w:jc w:val="both"/>
      </w:pPr>
      <w:r>
        <w:rPr>
          <w:rFonts w:ascii="Cambria" w:cs="Cambria" w:eastAsia="Cambria" w:hAnsi="Cambria"/>
          <w:b/>
          <w:bCs/>
          <w:color w:val="000000"/>
          <w:sz w:val="24"/>
          <w:szCs w:val="24"/>
        </w:rPr>
        <w:t xml:space="preserve">Productos esperados.</w:t>
      </w:r>
      <w:r>
        <w:rPr>
          <w:rFonts w:ascii="Cambria" w:cs="Cambria" w:eastAsia="Cambria" w:hAnsi="Cambria"/>
          <w:color w:val="000000"/>
          <w:sz w:val="24"/>
          <w:szCs w:val="24"/>
        </w:rPr>
        <w:t xml:space="preserve"> Visión compartida y objetivos estratégicos priorizados.</w:t>
      </w:r>
    </w:p>
    <w:p>
      <w:pPr>
        <w:spacing w:after="160" w:line="300"/>
        <w:jc w:val="both"/>
      </w:pPr>
      <w:r>
        <w:rPr>
          <w:rFonts w:ascii="Cambria" w:cs="Cambria" w:eastAsia="Cambria" w:hAnsi="Cambria"/>
          <w:b/>
          <w:bCs/>
          <w:color w:val="000000"/>
          <w:sz w:val="24"/>
          <w:szCs w:val="24"/>
        </w:rPr>
        <w:t xml:space="preserve">Modelos asociados.</w:t>
      </w:r>
      <w:r>
        <w:rPr>
          <w:rFonts w:ascii="Cambria" w:cs="Cambria" w:eastAsia="Cambria" w:hAnsi="Cambria"/>
          <w:color w:val="000000"/>
          <w:sz w:val="24"/>
          <w:szCs w:val="24"/>
        </w:rPr>
        <w:t xml:space="preserve"> Tren de Transformación Estratégica (TTE–ODYRA).</w:t>
      </w:r>
    </w:p>
    <w:p>
      <w:pPr>
        <w:spacing w:after="160" w:line="300"/>
        <w:jc w:val="both"/>
      </w:pPr>
      <w:r>
        <w:rPr>
          <w:rFonts w:ascii="Cambria" w:cs="Cambria" w:eastAsia="Cambria" w:hAnsi="Cambria"/>
          <w:b/>
          <w:bCs/>
          <w:color w:val="000000"/>
          <w:sz w:val="24"/>
          <w:szCs w:val="24"/>
        </w:rPr>
        <w:t xml:space="preserve">Herramientas recomendadas.</w:t>
      </w:r>
      <w:r>
        <w:rPr>
          <w:rFonts w:ascii="Cambria" w:cs="Cambria" w:eastAsia="Cambria" w:hAnsi="Cambria"/>
          <w:color w:val="000000"/>
          <w:sz w:val="24"/>
          <w:szCs w:val="24"/>
        </w:rPr>
        <w:t xml:space="preserve"> Matrices de priorización, canvas de visión estratégica.</w:t>
      </w:r>
    </w:p>
    <w:p>
      <w:pPr>
        <w:spacing w:after="160" w:line="300"/>
        <w:jc w:val="both"/>
      </w:pPr>
      <w:r>
        <w:rPr>
          <w:rFonts w:ascii="Cambria" w:cs="Cambria" w:eastAsia="Cambria" w:hAnsi="Cambria"/>
          <w:b/>
          <w:bCs/>
          <w:color w:val="000000"/>
          <w:sz w:val="24"/>
          <w:szCs w:val="24"/>
        </w:rPr>
        <w:t xml:space="preserve">Evidencias de avance.</w:t>
      </w:r>
      <w:r>
        <w:rPr>
          <w:rFonts w:ascii="Cambria" w:cs="Cambria" w:eastAsia="Cambria" w:hAnsi="Cambria"/>
          <w:color w:val="000000"/>
          <w:sz w:val="24"/>
          <w:szCs w:val="24"/>
        </w:rPr>
        <w:t xml:space="preserve"> Documento de orientación estratégica aprobado por la organización.</w:t>
      </w:r>
    </w:p>
    <w:p>
      <w:pPr>
        <w:pStyle w:val="Heading3"/>
        <w:spacing w:after="100" w:before="200"/>
      </w:pPr>
      <w:r>
        <w:rPr>
          <w:rFonts w:ascii="Cambria" w:cs="Cambria" w:eastAsia="Cambria" w:hAnsi="Cambria"/>
          <w:b/>
          <w:bCs/>
          <w:color w:val="1E2761"/>
          <w:sz w:val="23"/>
          <w:szCs w:val="23"/>
        </w:rPr>
        <w:t xml:space="preserve">3. Diseñar</w:t>
      </w:r>
    </w:p>
    <w:p>
      <w:pPr>
        <w:spacing w:after="160" w:line="300"/>
        <w:jc w:val="both"/>
      </w:pPr>
      <w:r>
        <w:rPr>
          <w:rFonts w:ascii="Cambria" w:cs="Cambria" w:eastAsia="Cambria" w:hAnsi="Cambria"/>
          <w:b/>
          <w:bCs/>
          <w:color w:val="000000"/>
          <w:sz w:val="24"/>
          <w:szCs w:val="24"/>
        </w:rPr>
        <w:t xml:space="preserve">Objetivo.</w:t>
      </w:r>
      <w:r>
        <w:rPr>
          <w:rFonts w:ascii="Cambria" w:cs="Cambria" w:eastAsia="Cambria" w:hAnsi="Cambria"/>
          <w:color w:val="000000"/>
          <w:sz w:val="24"/>
          <w:szCs w:val="24"/>
        </w:rPr>
        <w:t xml:space="preserve"> Traducir la visión estratégica en una propuesta de intervención estructurada.</w:t>
      </w:r>
    </w:p>
    <w:p>
      <w:pPr>
        <w:spacing w:after="160" w:line="300"/>
        <w:jc w:val="both"/>
      </w:pPr>
      <w:r>
        <w:rPr>
          <w:rFonts w:ascii="Cambria" w:cs="Cambria" w:eastAsia="Cambria" w:hAnsi="Cambria"/>
          <w:b/>
          <w:bCs/>
          <w:color w:val="000000"/>
          <w:sz w:val="24"/>
          <w:szCs w:val="24"/>
        </w:rPr>
        <w:t xml:space="preserve">Preguntas clave.</w:t>
      </w:r>
      <w:r>
        <w:rPr>
          <w:rFonts w:ascii="Cambria" w:cs="Cambria" w:eastAsia="Cambria" w:hAnsi="Cambria"/>
          <w:color w:val="000000"/>
          <w:sz w:val="24"/>
          <w:szCs w:val="24"/>
        </w:rPr>
        <w:t xml:space="preserve"> ¿Qué combinación metodológica responde mejor a este desafío? ¿Qué recursos se requieren? ¿Qué riesgos deben anticiparse?</w:t>
      </w:r>
    </w:p>
    <w:p>
      <w:pPr>
        <w:spacing w:after="160" w:line="300"/>
        <w:jc w:val="both"/>
      </w:pPr>
      <w:r>
        <w:rPr>
          <w:rFonts w:ascii="Cambria" w:cs="Cambria" w:eastAsia="Cambria" w:hAnsi="Cambria"/>
          <w:b/>
          <w:bCs/>
          <w:color w:val="000000"/>
          <w:sz w:val="24"/>
          <w:szCs w:val="24"/>
        </w:rPr>
        <w:t xml:space="preserve">Actividades principales.</w:t>
      </w:r>
      <w:r>
        <w:rPr>
          <w:rFonts w:ascii="Cambria" w:cs="Cambria" w:eastAsia="Cambria" w:hAnsi="Cambria"/>
          <w:color w:val="000000"/>
          <w:sz w:val="24"/>
          <w:szCs w:val="24"/>
        </w:rPr>
        <w:t xml:space="preserve"> Selección y combinación de metodologías (Parte V de este Marco), formulación de proyectos, diseño de indicadores.</w:t>
      </w:r>
    </w:p>
    <w:p>
      <w:pPr>
        <w:spacing w:after="160" w:line="300"/>
        <w:jc w:val="both"/>
      </w:pPr>
      <w:r>
        <w:rPr>
          <w:rFonts w:ascii="Cambria" w:cs="Cambria" w:eastAsia="Cambria" w:hAnsi="Cambria"/>
          <w:b/>
          <w:bCs/>
          <w:color w:val="000000"/>
          <w:sz w:val="24"/>
          <w:szCs w:val="24"/>
        </w:rPr>
        <w:t xml:space="preserve">Productos esperados.</w:t>
      </w:r>
      <w:r>
        <w:rPr>
          <w:rFonts w:ascii="Cambria" w:cs="Cambria" w:eastAsia="Cambria" w:hAnsi="Cambria"/>
          <w:color w:val="000000"/>
          <w:sz w:val="24"/>
          <w:szCs w:val="24"/>
        </w:rPr>
        <w:t xml:space="preserve"> Plan de intervención formulado técnicamente.</w:t>
      </w:r>
    </w:p>
    <w:p>
      <w:pPr>
        <w:spacing w:after="160" w:line="300"/>
        <w:jc w:val="both"/>
      </w:pPr>
      <w:r>
        <w:rPr>
          <w:rFonts w:ascii="Cambria" w:cs="Cambria" w:eastAsia="Cambria" w:hAnsi="Cambria"/>
          <w:b/>
          <w:bCs/>
          <w:color w:val="000000"/>
          <w:sz w:val="24"/>
          <w:szCs w:val="24"/>
        </w:rPr>
        <w:t xml:space="preserve">Modelos asociados.</w:t>
      </w:r>
      <w:r>
        <w:rPr>
          <w:rFonts w:ascii="Cambria" w:cs="Cambria" w:eastAsia="Cambria" w:hAnsi="Cambria"/>
          <w:color w:val="000000"/>
          <w:sz w:val="24"/>
          <w:szCs w:val="24"/>
        </w:rPr>
        <w:t xml:space="preserve"> Modelo CI–ODYRA; metodologías integradas pertinentes al contexto.</w:t>
      </w:r>
    </w:p>
    <w:p>
      <w:pPr>
        <w:spacing w:after="160" w:line="300"/>
        <w:jc w:val="both"/>
      </w:pPr>
      <w:r>
        <w:rPr>
          <w:rFonts w:ascii="Cambria" w:cs="Cambria" w:eastAsia="Cambria" w:hAnsi="Cambria"/>
          <w:b/>
          <w:bCs/>
          <w:color w:val="000000"/>
          <w:sz w:val="24"/>
          <w:szCs w:val="24"/>
        </w:rPr>
        <w:t xml:space="preserve">Herramientas recomendadas.</w:t>
      </w:r>
      <w:r>
        <w:rPr>
          <w:rFonts w:ascii="Cambria" w:cs="Cambria" w:eastAsia="Cambria" w:hAnsi="Cambria"/>
          <w:color w:val="000000"/>
          <w:sz w:val="24"/>
          <w:szCs w:val="24"/>
        </w:rPr>
        <w:t xml:space="preserve"> Marco lógico, canvas de diseño, plantillas de formulación de proyectos.</w:t>
      </w:r>
    </w:p>
    <w:p>
      <w:pPr>
        <w:spacing w:after="160" w:line="300"/>
        <w:jc w:val="both"/>
      </w:pPr>
      <w:r>
        <w:rPr>
          <w:rFonts w:ascii="Cambria" w:cs="Cambria" w:eastAsia="Cambria" w:hAnsi="Cambria"/>
          <w:b/>
          <w:bCs/>
          <w:color w:val="000000"/>
          <w:sz w:val="24"/>
          <w:szCs w:val="24"/>
        </w:rPr>
        <w:t xml:space="preserve">Evidencias de avance.</w:t>
      </w:r>
      <w:r>
        <w:rPr>
          <w:rFonts w:ascii="Cambria" w:cs="Cambria" w:eastAsia="Cambria" w:hAnsi="Cambria"/>
          <w:color w:val="000000"/>
          <w:sz w:val="24"/>
          <w:szCs w:val="24"/>
        </w:rPr>
        <w:t xml:space="preserve"> Plan de trabajo aprobado, con indicadores y cronograma definidos.</w:t>
      </w:r>
    </w:p>
    <w:p>
      <w:pPr>
        <w:pStyle w:val="Heading3"/>
        <w:spacing w:after="100" w:before="200"/>
      </w:pPr>
      <w:r>
        <w:rPr>
          <w:rFonts w:ascii="Cambria" w:cs="Cambria" w:eastAsia="Cambria" w:hAnsi="Cambria"/>
          <w:b/>
          <w:bCs/>
          <w:color w:val="1E2761"/>
          <w:sz w:val="23"/>
          <w:szCs w:val="23"/>
        </w:rPr>
        <w:t xml:space="preserve">4. Implementar</w:t>
      </w:r>
    </w:p>
    <w:p>
      <w:pPr>
        <w:spacing w:after="160" w:line="300"/>
        <w:jc w:val="both"/>
      </w:pPr>
      <w:r>
        <w:rPr>
          <w:rFonts w:ascii="Cambria" w:cs="Cambria" w:eastAsia="Cambria" w:hAnsi="Cambria"/>
          <w:b/>
          <w:bCs/>
          <w:color w:val="000000"/>
          <w:sz w:val="24"/>
          <w:szCs w:val="24"/>
        </w:rPr>
        <w:t xml:space="preserve">Objetivo.</w:t>
      </w:r>
      <w:r>
        <w:rPr>
          <w:rFonts w:ascii="Cambria" w:cs="Cambria" w:eastAsia="Cambria" w:hAnsi="Cambria"/>
          <w:color w:val="000000"/>
          <w:sz w:val="24"/>
          <w:szCs w:val="24"/>
        </w:rPr>
        <w:t xml:space="preserve"> Ejecutar el plan de intervención, movilizando recursos y coordinando equipos.</w:t>
      </w:r>
    </w:p>
    <w:p>
      <w:pPr>
        <w:spacing w:after="160" w:line="300"/>
        <w:jc w:val="both"/>
      </w:pPr>
      <w:r>
        <w:rPr>
          <w:rFonts w:ascii="Cambria" w:cs="Cambria" w:eastAsia="Cambria" w:hAnsi="Cambria"/>
          <w:b/>
          <w:bCs/>
          <w:color w:val="000000"/>
          <w:sz w:val="24"/>
          <w:szCs w:val="24"/>
        </w:rPr>
        <w:t xml:space="preserve">Preguntas clave.</w:t>
      </w:r>
      <w:r>
        <w:rPr>
          <w:rFonts w:ascii="Cambria" w:cs="Cambria" w:eastAsia="Cambria" w:hAnsi="Cambria"/>
          <w:color w:val="000000"/>
          <w:sz w:val="24"/>
          <w:szCs w:val="24"/>
        </w:rPr>
        <w:t xml:space="preserve"> ¿Qué estamos aprendiendo mientras ejecutamos? ¿Qué ajustes exige la realidad frente a lo planeado?</w:t>
      </w:r>
    </w:p>
    <w:p>
      <w:pPr>
        <w:spacing w:after="160" w:line="300"/>
        <w:jc w:val="both"/>
      </w:pPr>
      <w:r>
        <w:rPr>
          <w:rFonts w:ascii="Cambria" w:cs="Cambria" w:eastAsia="Cambria" w:hAnsi="Cambria"/>
          <w:b/>
          <w:bCs/>
          <w:color w:val="000000"/>
          <w:sz w:val="24"/>
          <w:szCs w:val="24"/>
        </w:rPr>
        <w:t xml:space="preserve">Actividades principales.</w:t>
      </w:r>
      <w:r>
        <w:rPr>
          <w:rFonts w:ascii="Cambria" w:cs="Cambria" w:eastAsia="Cambria" w:hAnsi="Cambria"/>
          <w:color w:val="000000"/>
          <w:sz w:val="24"/>
          <w:szCs w:val="24"/>
        </w:rPr>
        <w:t xml:space="preserve"> Ejecución de actividades, coordinación de equipos, gestión de recursos, ajuste continuo.</w:t>
      </w:r>
    </w:p>
    <w:p>
      <w:pPr>
        <w:spacing w:after="160" w:line="300"/>
        <w:jc w:val="both"/>
      </w:pPr>
      <w:r>
        <w:rPr>
          <w:rFonts w:ascii="Cambria" w:cs="Cambria" w:eastAsia="Cambria" w:hAnsi="Cambria"/>
          <w:b/>
          <w:bCs/>
          <w:color w:val="000000"/>
          <w:sz w:val="24"/>
          <w:szCs w:val="24"/>
        </w:rPr>
        <w:t xml:space="preserve">Productos esperados.</w:t>
      </w:r>
      <w:r>
        <w:rPr>
          <w:rFonts w:ascii="Cambria" w:cs="Cambria" w:eastAsia="Cambria" w:hAnsi="Cambria"/>
          <w:color w:val="000000"/>
          <w:sz w:val="24"/>
          <w:szCs w:val="24"/>
        </w:rPr>
        <w:t xml:space="preserve"> Actividades ejecutadas conforme al plan, con ajustes documentados.</w:t>
      </w:r>
    </w:p>
    <w:p>
      <w:pPr>
        <w:spacing w:after="160" w:line="300"/>
        <w:jc w:val="both"/>
      </w:pPr>
      <w:r>
        <w:rPr>
          <w:rFonts w:ascii="Cambria" w:cs="Cambria" w:eastAsia="Cambria" w:hAnsi="Cambria"/>
          <w:b/>
          <w:bCs/>
          <w:color w:val="000000"/>
          <w:sz w:val="24"/>
          <w:szCs w:val="24"/>
        </w:rPr>
        <w:t xml:space="preserve">Modelos asociados.</w:t>
      </w:r>
      <w:r>
        <w:rPr>
          <w:rFonts w:ascii="Cambria" w:cs="Cambria" w:eastAsia="Cambria" w:hAnsi="Cambria"/>
          <w:color w:val="000000"/>
          <w:sz w:val="24"/>
          <w:szCs w:val="24"/>
        </w:rPr>
        <w:t xml:space="preserve"> Tren de Transformación Estratégica (TTE–ODYRA), estación de implementación.</w:t>
      </w:r>
    </w:p>
    <w:p>
      <w:pPr>
        <w:spacing w:after="160" w:line="300"/>
        <w:jc w:val="both"/>
      </w:pPr>
      <w:r>
        <w:rPr>
          <w:rFonts w:ascii="Cambria" w:cs="Cambria" w:eastAsia="Cambria" w:hAnsi="Cambria"/>
          <w:b/>
          <w:bCs/>
          <w:color w:val="000000"/>
          <w:sz w:val="24"/>
          <w:szCs w:val="24"/>
        </w:rPr>
        <w:t xml:space="preserve">Herramientas recomendadas.</w:t>
      </w:r>
      <w:r>
        <w:rPr>
          <w:rFonts w:ascii="Cambria" w:cs="Cambria" w:eastAsia="Cambria" w:hAnsi="Cambria"/>
          <w:color w:val="000000"/>
          <w:sz w:val="24"/>
          <w:szCs w:val="24"/>
        </w:rPr>
        <w:t xml:space="preserve"> Tableros de seguimiento, checklists de ejecución, sistemas de indicadores.</w:t>
      </w:r>
    </w:p>
    <w:p>
      <w:pPr>
        <w:spacing w:after="160" w:line="300"/>
        <w:jc w:val="both"/>
      </w:pPr>
      <w:r>
        <w:rPr>
          <w:rFonts w:ascii="Cambria" w:cs="Cambria" w:eastAsia="Cambria" w:hAnsi="Cambria"/>
          <w:b/>
          <w:bCs/>
          <w:color w:val="000000"/>
          <w:sz w:val="24"/>
          <w:szCs w:val="24"/>
        </w:rPr>
        <w:t xml:space="preserve">Evidencias de avance.</w:t>
      </w:r>
      <w:r>
        <w:rPr>
          <w:rFonts w:ascii="Cambria" w:cs="Cambria" w:eastAsia="Cambria" w:hAnsi="Cambria"/>
          <w:color w:val="000000"/>
          <w:sz w:val="24"/>
          <w:szCs w:val="24"/>
        </w:rPr>
        <w:t xml:space="preserve"> Informes periódicos de avance y ajuste.</w:t>
      </w:r>
    </w:p>
    <w:p>
      <w:pPr>
        <w:pStyle w:val="Heading3"/>
        <w:spacing w:after="100" w:before="200"/>
      </w:pPr>
      <w:r>
        <w:rPr>
          <w:rFonts w:ascii="Cambria" w:cs="Cambria" w:eastAsia="Cambria" w:hAnsi="Cambria"/>
          <w:b/>
          <w:bCs/>
          <w:color w:val="1E2761"/>
          <w:sz w:val="23"/>
          <w:szCs w:val="23"/>
        </w:rPr>
        <w:t xml:space="preserve">5. Fortalecer</w:t>
      </w:r>
    </w:p>
    <w:p>
      <w:pPr>
        <w:spacing w:after="160" w:line="300"/>
        <w:jc w:val="both"/>
      </w:pPr>
      <w:r>
        <w:rPr>
          <w:rFonts w:ascii="Cambria" w:cs="Cambria" w:eastAsia="Cambria" w:hAnsi="Cambria"/>
          <w:b/>
          <w:bCs/>
          <w:color w:val="000000"/>
          <w:sz w:val="24"/>
          <w:szCs w:val="24"/>
        </w:rPr>
        <w:t xml:space="preserve">Objetivo.</w:t>
      </w:r>
      <w:r>
        <w:rPr>
          <w:rFonts w:ascii="Cambria" w:cs="Cambria" w:eastAsia="Cambria" w:hAnsi="Cambria"/>
          <w:color w:val="000000"/>
          <w:sz w:val="24"/>
          <w:szCs w:val="24"/>
        </w:rPr>
        <w:t xml:space="preserve"> Consolidar las capacidades que permitirán a la organización sostener la transformación sin depender permanentemente del consultor.</w:t>
      </w:r>
    </w:p>
    <w:p>
      <w:pPr>
        <w:spacing w:after="160" w:line="300"/>
        <w:jc w:val="both"/>
      </w:pPr>
      <w:r>
        <w:rPr>
          <w:rFonts w:ascii="Cambria" w:cs="Cambria" w:eastAsia="Cambria" w:hAnsi="Cambria"/>
          <w:b/>
          <w:bCs/>
          <w:color w:val="000000"/>
          <w:sz w:val="24"/>
          <w:szCs w:val="24"/>
        </w:rPr>
        <w:t xml:space="preserve">Preguntas clave.</w:t>
      </w:r>
      <w:r>
        <w:rPr>
          <w:rFonts w:ascii="Cambria" w:cs="Cambria" w:eastAsia="Cambria" w:hAnsi="Cambria"/>
          <w:color w:val="000000"/>
          <w:sz w:val="24"/>
          <w:szCs w:val="24"/>
        </w:rPr>
        <w:t xml:space="preserve"> ¿Qué ha aprendido la organización? ¿Qué procesos internos se han fortalecido? ¿Qué depende todavía de un apoyo externo?</w:t>
      </w:r>
    </w:p>
    <w:p>
      <w:pPr>
        <w:spacing w:after="160" w:line="300"/>
        <w:jc w:val="both"/>
      </w:pPr>
      <w:r>
        <w:rPr>
          <w:rFonts w:ascii="Cambria" w:cs="Cambria" w:eastAsia="Cambria" w:hAnsi="Cambria"/>
          <w:b/>
          <w:bCs/>
          <w:color w:val="000000"/>
          <w:sz w:val="24"/>
          <w:szCs w:val="24"/>
        </w:rPr>
        <w:t xml:space="preserve">Actividades principales.</w:t>
      </w:r>
      <w:r>
        <w:rPr>
          <w:rFonts w:ascii="Cambria" w:cs="Cambria" w:eastAsia="Cambria" w:hAnsi="Cambria"/>
          <w:color w:val="000000"/>
          <w:sz w:val="24"/>
          <w:szCs w:val="24"/>
        </w:rPr>
        <w:t xml:space="preserve"> Transferencia de conocimiento, formación de equipos internos, institucionalización de procesos.</w:t>
      </w:r>
    </w:p>
    <w:p>
      <w:pPr>
        <w:spacing w:after="160" w:line="300"/>
        <w:jc w:val="both"/>
      </w:pPr>
      <w:r>
        <w:rPr>
          <w:rFonts w:ascii="Cambria" w:cs="Cambria" w:eastAsia="Cambria" w:hAnsi="Cambria"/>
          <w:b/>
          <w:bCs/>
          <w:color w:val="000000"/>
          <w:sz w:val="24"/>
          <w:szCs w:val="24"/>
        </w:rPr>
        <w:t xml:space="preserve">Productos esperados.</w:t>
      </w:r>
      <w:r>
        <w:rPr>
          <w:rFonts w:ascii="Cambria" w:cs="Cambria" w:eastAsia="Cambria" w:hAnsi="Cambria"/>
          <w:color w:val="000000"/>
          <w:sz w:val="24"/>
          <w:szCs w:val="24"/>
        </w:rPr>
        <w:t xml:space="preserve"> Procesos y capacidades institucionalizadas dentro de la organización.</w:t>
      </w:r>
    </w:p>
    <w:p>
      <w:pPr>
        <w:spacing w:after="160" w:line="300"/>
        <w:jc w:val="both"/>
      </w:pPr>
      <w:r>
        <w:rPr>
          <w:rFonts w:ascii="Cambria" w:cs="Cambria" w:eastAsia="Cambria" w:hAnsi="Cambria"/>
          <w:b/>
          <w:bCs/>
          <w:color w:val="000000"/>
          <w:sz w:val="24"/>
          <w:szCs w:val="24"/>
        </w:rPr>
        <w:t xml:space="preserve">Modelos asociados.</w:t>
      </w:r>
      <w:r>
        <w:rPr>
          <w:rFonts w:ascii="Cambria" w:cs="Cambria" w:eastAsia="Cambria" w:hAnsi="Cambria"/>
          <w:color w:val="000000"/>
          <w:sz w:val="24"/>
          <w:szCs w:val="24"/>
        </w:rPr>
        <w:t xml:space="preserve"> Modelo de Desarrollo Institucional (en desarrollo, categoría Modelos Organizacionales de la Taxonomía Oficial del Manual de Modelos ODYRA).</w:t>
      </w:r>
    </w:p>
    <w:p>
      <w:pPr>
        <w:spacing w:after="160" w:line="300"/>
        <w:jc w:val="both"/>
      </w:pPr>
      <w:r>
        <w:rPr>
          <w:rFonts w:ascii="Cambria" w:cs="Cambria" w:eastAsia="Cambria" w:hAnsi="Cambria"/>
          <w:b/>
          <w:bCs/>
          <w:color w:val="000000"/>
          <w:sz w:val="24"/>
          <w:szCs w:val="24"/>
        </w:rPr>
        <w:t xml:space="preserve">Herramientas recomendadas.</w:t>
      </w:r>
      <w:r>
        <w:rPr>
          <w:rFonts w:ascii="Cambria" w:cs="Cambria" w:eastAsia="Cambria" w:hAnsi="Cambria"/>
          <w:color w:val="000000"/>
          <w:sz w:val="24"/>
          <w:szCs w:val="24"/>
        </w:rPr>
        <w:t xml:space="preserve"> Planes de transferencia, guías de institucionalización.</w:t>
      </w:r>
    </w:p>
    <w:p>
      <w:pPr>
        <w:spacing w:after="160" w:line="300"/>
        <w:jc w:val="both"/>
      </w:pPr>
      <w:r>
        <w:rPr>
          <w:rFonts w:ascii="Cambria" w:cs="Cambria" w:eastAsia="Cambria" w:hAnsi="Cambria"/>
          <w:b/>
          <w:bCs/>
          <w:color w:val="000000"/>
          <w:sz w:val="24"/>
          <w:szCs w:val="24"/>
        </w:rPr>
        <w:t xml:space="preserve">Evidencias de avance.</w:t>
      </w:r>
      <w:r>
        <w:rPr>
          <w:rFonts w:ascii="Cambria" w:cs="Cambria" w:eastAsia="Cambria" w:hAnsi="Cambria"/>
          <w:color w:val="000000"/>
          <w:sz w:val="24"/>
          <w:szCs w:val="24"/>
        </w:rPr>
        <w:t xml:space="preserve"> Verificación de que la organización aplica los procesos de manera autónoma.</w:t>
      </w:r>
    </w:p>
    <w:p>
      <w:pPr>
        <w:pStyle w:val="Heading3"/>
        <w:spacing w:after="100" w:before="200"/>
      </w:pPr>
      <w:r>
        <w:rPr>
          <w:rFonts w:ascii="Cambria" w:cs="Cambria" w:eastAsia="Cambria" w:hAnsi="Cambria"/>
          <w:b/>
          <w:bCs/>
          <w:color w:val="1E2761"/>
          <w:sz w:val="23"/>
          <w:szCs w:val="23"/>
        </w:rPr>
        <w:t xml:space="preserve">6. Innovar</w:t>
      </w:r>
    </w:p>
    <w:p>
      <w:pPr>
        <w:spacing w:after="160" w:line="300"/>
        <w:jc w:val="both"/>
      </w:pPr>
      <w:r>
        <w:rPr>
          <w:rFonts w:ascii="Cambria" w:cs="Cambria" w:eastAsia="Cambria" w:hAnsi="Cambria"/>
          <w:b/>
          <w:bCs/>
          <w:color w:val="000000"/>
          <w:sz w:val="24"/>
          <w:szCs w:val="24"/>
        </w:rPr>
        <w:t xml:space="preserve">Objetivo.</w:t>
      </w:r>
      <w:r>
        <w:rPr>
          <w:rFonts w:ascii="Cambria" w:cs="Cambria" w:eastAsia="Cambria" w:hAnsi="Cambria"/>
          <w:color w:val="000000"/>
          <w:sz w:val="24"/>
          <w:szCs w:val="24"/>
        </w:rPr>
        <w:t xml:space="preserve"> Incorporar mejora continua y nuevas soluciones a partir del aprendizaje generado durante la intervención.</w:t>
      </w:r>
    </w:p>
    <w:p>
      <w:pPr>
        <w:spacing w:after="160" w:line="300"/>
        <w:jc w:val="both"/>
      </w:pPr>
      <w:r>
        <w:rPr>
          <w:rFonts w:ascii="Cambria" w:cs="Cambria" w:eastAsia="Cambria" w:hAnsi="Cambria"/>
          <w:b/>
          <w:bCs/>
          <w:color w:val="000000"/>
          <w:sz w:val="24"/>
          <w:szCs w:val="24"/>
        </w:rPr>
        <w:t xml:space="preserve">Preguntas clave.</w:t>
      </w:r>
      <w:r>
        <w:rPr>
          <w:rFonts w:ascii="Cambria" w:cs="Cambria" w:eastAsia="Cambria" w:hAnsi="Cambria"/>
          <w:color w:val="000000"/>
          <w:sz w:val="24"/>
          <w:szCs w:val="24"/>
        </w:rPr>
        <w:t xml:space="preserve"> ¿Qué podría funcionar mejor? ¿Qué oportunidades de innovación surgieron durante el proceso?</w:t>
      </w:r>
    </w:p>
    <w:p>
      <w:pPr>
        <w:spacing w:after="160" w:line="300"/>
        <w:jc w:val="both"/>
      </w:pPr>
      <w:r>
        <w:rPr>
          <w:rFonts w:ascii="Cambria" w:cs="Cambria" w:eastAsia="Cambria" w:hAnsi="Cambria"/>
          <w:b/>
          <w:bCs/>
          <w:color w:val="000000"/>
          <w:sz w:val="24"/>
          <w:szCs w:val="24"/>
        </w:rPr>
        <w:t xml:space="preserve">Actividades principales.</w:t>
      </w:r>
      <w:r>
        <w:rPr>
          <w:rFonts w:ascii="Cambria" w:cs="Cambria" w:eastAsia="Cambria" w:hAnsi="Cambria"/>
          <w:color w:val="000000"/>
          <w:sz w:val="24"/>
          <w:szCs w:val="24"/>
        </w:rPr>
        <w:t xml:space="preserve"> Sistematización de aprendizajes, experimentación controlada, incorporación de nuevas herramientas.</w:t>
      </w:r>
    </w:p>
    <w:p>
      <w:pPr>
        <w:spacing w:after="160" w:line="300"/>
        <w:jc w:val="both"/>
      </w:pPr>
      <w:r>
        <w:rPr>
          <w:rFonts w:ascii="Cambria" w:cs="Cambria" w:eastAsia="Cambria" w:hAnsi="Cambria"/>
          <w:b/>
          <w:bCs/>
          <w:color w:val="000000"/>
          <w:sz w:val="24"/>
          <w:szCs w:val="24"/>
        </w:rPr>
        <w:t xml:space="preserve">Productos esperados.</w:t>
      </w:r>
      <w:r>
        <w:rPr>
          <w:rFonts w:ascii="Cambria" w:cs="Cambria" w:eastAsia="Cambria" w:hAnsi="Cambria"/>
          <w:color w:val="000000"/>
          <w:sz w:val="24"/>
          <w:szCs w:val="24"/>
        </w:rPr>
        <w:t xml:space="preserve"> Mejoras documentadas e incorporadas a los procesos de la organización.</w:t>
      </w:r>
    </w:p>
    <w:p>
      <w:pPr>
        <w:spacing w:after="160" w:line="300"/>
        <w:jc w:val="both"/>
      </w:pPr>
      <w:r>
        <w:rPr>
          <w:rFonts w:ascii="Cambria" w:cs="Cambria" w:eastAsia="Cambria" w:hAnsi="Cambria"/>
          <w:b/>
          <w:bCs/>
          <w:color w:val="000000"/>
          <w:sz w:val="24"/>
          <w:szCs w:val="24"/>
        </w:rPr>
        <w:t xml:space="preserve">Modelos asociados.</w:t>
      </w:r>
      <w:r>
        <w:rPr>
          <w:rFonts w:ascii="Cambria" w:cs="Cambria" w:eastAsia="Cambria" w:hAnsi="Cambria"/>
          <w:color w:val="000000"/>
          <w:sz w:val="24"/>
          <w:szCs w:val="24"/>
        </w:rPr>
        <w:t xml:space="preserve"> Modelo de Innovación (en desarrollo, categoría Modelos Metodológicos de la Taxonomía Oficial del Manual de Modelos ODYRA).</w:t>
      </w:r>
    </w:p>
    <w:p>
      <w:pPr>
        <w:spacing w:after="160" w:line="300"/>
        <w:jc w:val="both"/>
      </w:pPr>
      <w:r>
        <w:rPr>
          <w:rFonts w:ascii="Cambria" w:cs="Cambria" w:eastAsia="Cambria" w:hAnsi="Cambria"/>
          <w:b/>
          <w:bCs/>
          <w:color w:val="000000"/>
          <w:sz w:val="24"/>
          <w:szCs w:val="24"/>
        </w:rPr>
        <w:t xml:space="preserve">Herramientas recomendadas.</w:t>
      </w:r>
      <w:r>
        <w:rPr>
          <w:rFonts w:ascii="Cambria" w:cs="Cambria" w:eastAsia="Cambria" w:hAnsi="Cambria"/>
          <w:color w:val="000000"/>
          <w:sz w:val="24"/>
          <w:szCs w:val="24"/>
        </w:rPr>
        <w:t xml:space="preserve"> Protocolos de experimentación, bitácoras de aprendizaje.</w:t>
      </w:r>
    </w:p>
    <w:p>
      <w:pPr>
        <w:spacing w:after="160" w:line="300"/>
        <w:jc w:val="both"/>
      </w:pPr>
      <w:r>
        <w:rPr>
          <w:rFonts w:ascii="Cambria" w:cs="Cambria" w:eastAsia="Cambria" w:hAnsi="Cambria"/>
          <w:b/>
          <w:bCs/>
          <w:color w:val="000000"/>
          <w:sz w:val="24"/>
          <w:szCs w:val="24"/>
        </w:rPr>
        <w:t xml:space="preserve">Evidencias de avance.</w:t>
      </w:r>
      <w:r>
        <w:rPr>
          <w:rFonts w:ascii="Cambria" w:cs="Cambria" w:eastAsia="Cambria" w:hAnsi="Cambria"/>
          <w:color w:val="000000"/>
          <w:sz w:val="24"/>
          <w:szCs w:val="24"/>
        </w:rPr>
        <w:t xml:space="preserve"> Registro de mejoras adoptadas y su impacto observado.</w:t>
      </w:r>
    </w:p>
    <w:p>
      <w:pPr>
        <w:pStyle w:val="Heading3"/>
        <w:spacing w:after="100" w:before="200"/>
      </w:pPr>
      <w:r>
        <w:rPr>
          <w:rFonts w:ascii="Cambria" w:cs="Cambria" w:eastAsia="Cambria" w:hAnsi="Cambria"/>
          <w:b/>
          <w:bCs/>
          <w:color w:val="1E2761"/>
          <w:sz w:val="23"/>
          <w:szCs w:val="23"/>
        </w:rPr>
        <w:t xml:space="preserve">7. Transformar</w:t>
      </w:r>
    </w:p>
    <w:p>
      <w:pPr>
        <w:spacing w:after="160" w:line="300"/>
        <w:jc w:val="both"/>
      </w:pPr>
      <w:r>
        <w:rPr>
          <w:rFonts w:ascii="Cambria" w:cs="Cambria" w:eastAsia="Cambria" w:hAnsi="Cambria"/>
          <w:b/>
          <w:bCs/>
          <w:color w:val="000000"/>
          <w:sz w:val="24"/>
          <w:szCs w:val="24"/>
        </w:rPr>
        <w:t xml:space="preserve">Objetivo.</w:t>
      </w:r>
      <w:r>
        <w:rPr>
          <w:rFonts w:ascii="Cambria" w:cs="Cambria" w:eastAsia="Cambria" w:hAnsi="Cambria"/>
          <w:color w:val="000000"/>
          <w:sz w:val="24"/>
          <w:szCs w:val="24"/>
        </w:rPr>
        <w:t xml:space="preserve"> Consolidar la transformación como una capacidad permanente de la organización, y no como un resultado puntual de la intervención.</w:t>
      </w:r>
    </w:p>
    <w:p>
      <w:pPr>
        <w:spacing w:after="160" w:line="300"/>
        <w:jc w:val="both"/>
      </w:pPr>
      <w:r>
        <w:rPr>
          <w:rFonts w:ascii="Cambria" w:cs="Cambria" w:eastAsia="Cambria" w:hAnsi="Cambria"/>
          <w:b/>
          <w:bCs/>
          <w:color w:val="000000"/>
          <w:sz w:val="24"/>
          <w:szCs w:val="24"/>
        </w:rPr>
        <w:t xml:space="preserve">Preguntas clave.</w:t>
      </w:r>
      <w:r>
        <w:rPr>
          <w:rFonts w:ascii="Cambria" w:cs="Cambria" w:eastAsia="Cambria" w:hAnsi="Cambria"/>
          <w:color w:val="000000"/>
          <w:sz w:val="24"/>
          <w:szCs w:val="24"/>
        </w:rPr>
        <w:t xml:space="preserve"> ¿La organización puede continuar evolucionando por sí misma? ¿Qué nuevo ciclo de transformación se anticipa?</w:t>
      </w:r>
    </w:p>
    <w:p>
      <w:pPr>
        <w:spacing w:after="160" w:line="300"/>
        <w:jc w:val="both"/>
      </w:pPr>
      <w:r>
        <w:rPr>
          <w:rFonts w:ascii="Cambria" w:cs="Cambria" w:eastAsia="Cambria" w:hAnsi="Cambria"/>
          <w:b/>
          <w:bCs/>
          <w:color w:val="000000"/>
          <w:sz w:val="24"/>
          <w:szCs w:val="24"/>
        </w:rPr>
        <w:t xml:space="preserve">Actividades principales.</w:t>
      </w:r>
      <w:r>
        <w:rPr>
          <w:rFonts w:ascii="Cambria" w:cs="Cambria" w:eastAsia="Cambria" w:hAnsi="Cambria"/>
          <w:color w:val="000000"/>
          <w:sz w:val="24"/>
          <w:szCs w:val="24"/>
        </w:rPr>
        <w:t xml:space="preserve"> Evaluación integral de resultados, cierre formal de la intervención, planeación del siguiente ciclo.</w:t>
      </w:r>
    </w:p>
    <w:p>
      <w:pPr>
        <w:spacing w:after="160" w:line="300"/>
        <w:jc w:val="both"/>
      </w:pPr>
      <w:r>
        <w:rPr>
          <w:rFonts w:ascii="Cambria" w:cs="Cambria" w:eastAsia="Cambria" w:hAnsi="Cambria"/>
          <w:b/>
          <w:bCs/>
          <w:color w:val="000000"/>
          <w:sz w:val="24"/>
          <w:szCs w:val="24"/>
        </w:rPr>
        <w:t xml:space="preserve">Productos esperados.</w:t>
      </w:r>
      <w:r>
        <w:rPr>
          <w:rFonts w:ascii="Cambria" w:cs="Cambria" w:eastAsia="Cambria" w:hAnsi="Cambria"/>
          <w:color w:val="000000"/>
          <w:sz w:val="24"/>
          <w:szCs w:val="24"/>
        </w:rPr>
        <w:t xml:space="preserve"> Organización con autonomía demostrada para sostener y continuar su propio proceso de transformación.</w:t>
      </w:r>
    </w:p>
    <w:p>
      <w:pPr>
        <w:spacing w:after="160" w:line="300"/>
        <w:jc w:val="both"/>
      </w:pPr>
      <w:r>
        <w:rPr>
          <w:rFonts w:ascii="Cambria" w:cs="Cambria" w:eastAsia="Cambria" w:hAnsi="Cambria"/>
          <w:b/>
          <w:bCs/>
          <w:color w:val="000000"/>
          <w:sz w:val="24"/>
          <w:szCs w:val="24"/>
        </w:rPr>
        <w:t xml:space="preserve">Modelos asociados.</w:t>
      </w:r>
      <w:r>
        <w:rPr>
          <w:rFonts w:ascii="Cambria" w:cs="Cambria" w:eastAsia="Cambria" w:hAnsi="Cambria"/>
          <w:color w:val="000000"/>
          <w:sz w:val="24"/>
          <w:szCs w:val="24"/>
        </w:rPr>
        <w:t xml:space="preserve"> Modelo de Organización Inteligente (en desarrollo, categoría Modelos Organizacionales de la Taxonomía Oficial del Manual de Modelos ODYRA).</w:t>
      </w:r>
    </w:p>
    <w:p>
      <w:pPr>
        <w:spacing w:after="160" w:line="300"/>
        <w:jc w:val="both"/>
      </w:pPr>
      <w:r>
        <w:rPr>
          <w:rFonts w:ascii="Cambria" w:cs="Cambria" w:eastAsia="Cambria" w:hAnsi="Cambria"/>
          <w:b/>
          <w:bCs/>
          <w:color w:val="000000"/>
          <w:sz w:val="24"/>
          <w:szCs w:val="24"/>
        </w:rPr>
        <w:t xml:space="preserve">Herramientas recomendadas.</w:t>
      </w:r>
      <w:r>
        <w:rPr>
          <w:rFonts w:ascii="Cambria" w:cs="Cambria" w:eastAsia="Cambria" w:hAnsi="Cambria"/>
          <w:color w:val="000000"/>
          <w:sz w:val="24"/>
          <w:szCs w:val="24"/>
        </w:rPr>
        <w:t xml:space="preserve"> Informes de cierre, indicadores de autonomía institucional.</w:t>
      </w:r>
    </w:p>
    <w:p>
      <w:pPr>
        <w:spacing w:after="160" w:line="300"/>
        <w:jc w:val="both"/>
      </w:pPr>
      <w:r>
        <w:rPr>
          <w:rFonts w:ascii="Cambria" w:cs="Cambria" w:eastAsia="Cambria" w:hAnsi="Cambria"/>
          <w:b/>
          <w:bCs/>
          <w:color w:val="000000"/>
          <w:sz w:val="24"/>
          <w:szCs w:val="24"/>
        </w:rPr>
        <w:t xml:space="preserve">Evidencias de avance.</w:t>
      </w:r>
      <w:r>
        <w:rPr>
          <w:rFonts w:ascii="Cambria" w:cs="Cambria" w:eastAsia="Cambria" w:hAnsi="Cambria"/>
          <w:color w:val="000000"/>
          <w:sz w:val="24"/>
          <w:szCs w:val="24"/>
        </w:rPr>
        <w:t xml:space="preserve"> Evaluación final que demuestre fortalecimiento de capacidades y autonomía institucional.</w:t>
      </w:r>
    </w:p>
    <w:p>
      <w:pPr>
        <w:spacing w:after="160" w:line="300"/>
        <w:jc w:val="both"/>
      </w:pPr>
      <w:r>
        <w:rPr>
          <w:rFonts w:ascii="Cambria" w:cs="Cambria" w:eastAsia="Cambria" w:hAnsi="Cambria"/>
          <w:color w:val="000000"/>
          <w:sz w:val="24"/>
          <w:szCs w:val="24"/>
        </w:rPr>
        <w:t xml:space="preserve">Como se establece en el Libro Cero, este ciclo no es lineal: una organización que alcanza la etapa de Transformar no concluye su camino, sino que regresa, desde un nivel superior de comprensión, a la etapa de Comprender, iniciando un nuevo ciclo de transformación.</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ARQUITECTURA DE UNA INTERVENCIÓN ODYRA</w:t>
      </w:r>
    </w:p>
    <w:p>
      <w:pPr>
        <w:spacing w:after="160" w:line="300"/>
        <w:jc w:val="both"/>
      </w:pPr>
      <w:r>
        <w:rPr>
          <w:rFonts w:ascii="Cambria" w:cs="Cambria" w:eastAsia="Cambria" w:hAnsi="Cambria"/>
          <w:color w:val="000000"/>
          <w:sz w:val="24"/>
          <w:szCs w:val="24"/>
        </w:rPr>
        <w:t xml:space="preserve">Independientemente del sector, la escala o el tipo de organización, toda intervención desarrollada bajo el Sistema ODYRA sigue una misma arquitectura de diez momentos. Esta arquitectura no sustituye al Ciclo Metodológico descrito en la Parte II: lo detalla en su dimensión operativa y contractual.</w:t>
      </w:r>
    </w:p>
    <w:p>
      <w:pPr>
        <w:pStyle w:val="ListParagraph"/>
        <w:numPr>
          <w:ilvl w:val="0"/>
          <w:numId w:val="1"/>
        </w:numPr>
        <w:spacing w:after="80"/>
        <w:jc w:val="both"/>
      </w:pPr>
      <w:r>
        <w:rPr>
          <w:rFonts w:ascii="Cambria" w:cs="Cambria" w:eastAsia="Cambria" w:hAnsi="Cambria"/>
          <w:b/>
          <w:bCs/>
          <w:color w:val="000000"/>
          <w:sz w:val="23"/>
          <w:szCs w:val="23"/>
        </w:rPr>
        <w:t xml:space="preserve">Inicio de la intervención.</w:t>
      </w:r>
      <w:r>
        <w:rPr>
          <w:rFonts w:ascii="Cambria" w:cs="Cambria" w:eastAsia="Cambria" w:hAnsi="Cambria"/>
          <w:color w:val="000000"/>
          <w:sz w:val="23"/>
          <w:szCs w:val="23"/>
        </w:rPr>
        <w:t xml:space="preserve"> Se formaliza el acuerdo entre el consultor y la organización, incluyendo alcance, expectativas mutuas y principios éticos aplicables.</w:t>
      </w:r>
    </w:p>
    <w:p>
      <w:pPr>
        <w:pStyle w:val="ListParagraph"/>
        <w:numPr>
          <w:ilvl w:val="0"/>
          <w:numId w:val="1"/>
        </w:numPr>
        <w:spacing w:after="80"/>
        <w:jc w:val="both"/>
      </w:pPr>
      <w:r>
        <w:rPr>
          <w:rFonts w:ascii="Cambria" w:cs="Cambria" w:eastAsia="Cambria" w:hAnsi="Cambria"/>
          <w:b/>
          <w:bCs/>
          <w:color w:val="000000"/>
          <w:sz w:val="23"/>
          <w:szCs w:val="23"/>
        </w:rPr>
        <w:t xml:space="preserve">Diagnóstico estratégico.</w:t>
      </w:r>
      <w:r>
        <w:rPr>
          <w:rFonts w:ascii="Cambria" w:cs="Cambria" w:eastAsia="Cambria" w:hAnsi="Cambria"/>
          <w:color w:val="000000"/>
          <w:sz w:val="23"/>
          <w:szCs w:val="23"/>
        </w:rPr>
        <w:t xml:space="preserve"> Corresponde a la etapa de Comprender del Ciclo Metodológico: se construye una comprensión rigurosa de la realidad inicial.</w:t>
      </w:r>
    </w:p>
    <w:p>
      <w:pPr>
        <w:pStyle w:val="ListParagraph"/>
        <w:numPr>
          <w:ilvl w:val="0"/>
          <w:numId w:val="1"/>
        </w:numPr>
        <w:spacing w:after="80"/>
        <w:jc w:val="both"/>
      </w:pPr>
      <w:r>
        <w:rPr>
          <w:rFonts w:ascii="Cambria" w:cs="Cambria" w:eastAsia="Cambria" w:hAnsi="Cambria"/>
          <w:b/>
          <w:bCs/>
          <w:color w:val="000000"/>
          <w:sz w:val="23"/>
          <w:szCs w:val="23"/>
        </w:rPr>
        <w:t xml:space="preserve">Definición del alcance.</w:t>
      </w:r>
      <w:r>
        <w:rPr>
          <w:rFonts w:ascii="Cambria" w:cs="Cambria" w:eastAsia="Cambria" w:hAnsi="Cambria"/>
          <w:color w:val="000000"/>
          <w:sz w:val="23"/>
          <w:szCs w:val="23"/>
        </w:rPr>
        <w:t xml:space="preserve"> Se acuerdan los límites concretos de la intervención: qué se abordará, qué no, y con qué recursos y tiempos.</w:t>
      </w:r>
    </w:p>
    <w:p>
      <w:pPr>
        <w:pStyle w:val="ListParagraph"/>
        <w:numPr>
          <w:ilvl w:val="0"/>
          <w:numId w:val="1"/>
        </w:numPr>
        <w:spacing w:after="80"/>
        <w:jc w:val="both"/>
      </w:pPr>
      <w:r>
        <w:rPr>
          <w:rFonts w:ascii="Cambria" w:cs="Cambria" w:eastAsia="Cambria" w:hAnsi="Cambria"/>
          <w:b/>
          <w:bCs/>
          <w:color w:val="000000"/>
          <w:sz w:val="23"/>
          <w:szCs w:val="23"/>
        </w:rPr>
        <w:t xml:space="preserve">Diseño metodológico.</w:t>
      </w:r>
      <w:r>
        <w:rPr>
          <w:rFonts w:ascii="Cambria" w:cs="Cambria" w:eastAsia="Cambria" w:hAnsi="Cambria"/>
          <w:color w:val="000000"/>
          <w:sz w:val="23"/>
          <w:szCs w:val="23"/>
        </w:rPr>
        <w:t xml:space="preserve"> Se selecciona y combina la metodología pertinente, conforme a los criterios establecidos en la Parte V de este Marco.</w:t>
      </w:r>
    </w:p>
    <w:p>
      <w:pPr>
        <w:pStyle w:val="ListParagraph"/>
        <w:numPr>
          <w:ilvl w:val="0"/>
          <w:numId w:val="1"/>
        </w:numPr>
        <w:spacing w:after="80"/>
        <w:jc w:val="both"/>
      </w:pPr>
      <w:r>
        <w:rPr>
          <w:rFonts w:ascii="Cambria" w:cs="Cambria" w:eastAsia="Cambria" w:hAnsi="Cambria"/>
          <w:b/>
          <w:bCs/>
          <w:color w:val="000000"/>
          <w:sz w:val="23"/>
          <w:szCs w:val="23"/>
        </w:rPr>
        <w:t xml:space="preserve">Plan de trabajo.</w:t>
      </w:r>
      <w:r>
        <w:rPr>
          <w:rFonts w:ascii="Cambria" w:cs="Cambria" w:eastAsia="Cambria" w:hAnsi="Cambria"/>
          <w:color w:val="000000"/>
          <w:sz w:val="23"/>
          <w:szCs w:val="23"/>
        </w:rPr>
        <w:t xml:space="preserve"> Se formaliza el cronograma, los responsables, los productos y los indicadores de la intervención.</w:t>
      </w:r>
    </w:p>
    <w:p>
      <w:pPr>
        <w:pStyle w:val="ListParagraph"/>
        <w:numPr>
          <w:ilvl w:val="0"/>
          <w:numId w:val="1"/>
        </w:numPr>
        <w:spacing w:after="80"/>
        <w:jc w:val="both"/>
      </w:pPr>
      <w:r>
        <w:rPr>
          <w:rFonts w:ascii="Cambria" w:cs="Cambria" w:eastAsia="Cambria" w:hAnsi="Cambria"/>
          <w:b/>
          <w:bCs/>
          <w:color w:val="000000"/>
          <w:sz w:val="23"/>
          <w:szCs w:val="23"/>
        </w:rPr>
        <w:t xml:space="preserve">Implementación.</w:t>
      </w:r>
      <w:r>
        <w:rPr>
          <w:rFonts w:ascii="Cambria" w:cs="Cambria" w:eastAsia="Cambria" w:hAnsi="Cambria"/>
          <w:color w:val="000000"/>
          <w:sz w:val="23"/>
          <w:szCs w:val="23"/>
        </w:rPr>
        <w:t xml:space="preserve"> Se ejecutan las actividades planeadas, con ajustes continuos conforme lo exige la realidad.</w:t>
      </w:r>
    </w:p>
    <w:p>
      <w:pPr>
        <w:pStyle w:val="ListParagraph"/>
        <w:numPr>
          <w:ilvl w:val="0"/>
          <w:numId w:val="1"/>
        </w:numPr>
        <w:spacing w:after="80"/>
        <w:jc w:val="both"/>
      </w:pPr>
      <w:r>
        <w:rPr>
          <w:rFonts w:ascii="Cambria" w:cs="Cambria" w:eastAsia="Cambria" w:hAnsi="Cambria"/>
          <w:b/>
          <w:bCs/>
          <w:color w:val="000000"/>
          <w:sz w:val="23"/>
          <w:szCs w:val="23"/>
        </w:rPr>
        <w:t xml:space="preserve">Seguimiento.</w:t>
      </w:r>
      <w:r>
        <w:rPr>
          <w:rFonts w:ascii="Cambria" w:cs="Cambria" w:eastAsia="Cambria" w:hAnsi="Cambria"/>
          <w:color w:val="000000"/>
          <w:sz w:val="23"/>
          <w:szCs w:val="23"/>
        </w:rPr>
        <w:t xml:space="preserve"> Se monitorea el avance de manera sistemática, verificando que la ejecución responda al plan y a los objetivos estratégicos.</w:t>
      </w:r>
    </w:p>
    <w:p>
      <w:pPr>
        <w:pStyle w:val="ListParagraph"/>
        <w:numPr>
          <w:ilvl w:val="0"/>
          <w:numId w:val="1"/>
        </w:numPr>
        <w:spacing w:after="80"/>
        <w:jc w:val="both"/>
      </w:pPr>
      <w:r>
        <w:rPr>
          <w:rFonts w:ascii="Cambria" w:cs="Cambria" w:eastAsia="Cambria" w:hAnsi="Cambria"/>
          <w:b/>
          <w:bCs/>
          <w:color w:val="000000"/>
          <w:sz w:val="23"/>
          <w:szCs w:val="23"/>
        </w:rPr>
        <w:t xml:space="preserve">Evaluación.</w:t>
      </w:r>
      <w:r>
        <w:rPr>
          <w:rFonts w:ascii="Cambria" w:cs="Cambria" w:eastAsia="Cambria" w:hAnsi="Cambria"/>
          <w:color w:val="000000"/>
          <w:sz w:val="23"/>
          <w:szCs w:val="23"/>
        </w:rPr>
        <w:t xml:space="preserve"> Se valoran los resultados obtenidos, tanto en productos entregados como en capacidades fortalecidas, conforme a los criterios de la Parte VII.</w:t>
      </w:r>
    </w:p>
    <w:p>
      <w:pPr>
        <w:pStyle w:val="ListParagraph"/>
        <w:numPr>
          <w:ilvl w:val="0"/>
          <w:numId w:val="1"/>
        </w:numPr>
        <w:spacing w:after="80"/>
        <w:jc w:val="both"/>
      </w:pPr>
      <w:r>
        <w:rPr>
          <w:rFonts w:ascii="Cambria" w:cs="Cambria" w:eastAsia="Cambria" w:hAnsi="Cambria"/>
          <w:b/>
          <w:bCs/>
          <w:color w:val="000000"/>
          <w:sz w:val="23"/>
          <w:szCs w:val="23"/>
        </w:rPr>
        <w:t xml:space="preserve">Transferencia de capacidades.</w:t>
      </w:r>
      <w:r>
        <w:rPr>
          <w:rFonts w:ascii="Cambria" w:cs="Cambria" w:eastAsia="Cambria" w:hAnsi="Cambria"/>
          <w:color w:val="000000"/>
          <w:sz w:val="23"/>
          <w:szCs w:val="23"/>
        </w:rPr>
        <w:t xml:space="preserve"> Se consolida el aprendizaje dentro de la organización, asegurando que los procesos puedan sostenerse sin el consultor.</w:t>
      </w:r>
    </w:p>
    <w:p>
      <w:pPr>
        <w:pStyle w:val="ListParagraph"/>
        <w:numPr>
          <w:ilvl w:val="0"/>
          <w:numId w:val="1"/>
        </w:numPr>
        <w:spacing w:after="80"/>
        <w:jc w:val="both"/>
      </w:pPr>
      <w:r>
        <w:rPr>
          <w:rFonts w:ascii="Cambria" w:cs="Cambria" w:eastAsia="Cambria" w:hAnsi="Cambria"/>
          <w:b/>
          <w:bCs/>
          <w:color w:val="000000"/>
          <w:sz w:val="23"/>
          <w:szCs w:val="23"/>
        </w:rPr>
        <w:t xml:space="preserve">Cierre y sostenibilidad.</w:t>
      </w:r>
      <w:r>
        <w:rPr>
          <w:rFonts w:ascii="Cambria" w:cs="Cambria" w:eastAsia="Cambria" w:hAnsi="Cambria"/>
          <w:color w:val="000000"/>
          <w:sz w:val="23"/>
          <w:szCs w:val="23"/>
        </w:rPr>
        <w:t xml:space="preserve"> Se formaliza el cierre de la intervención y se documentan las condiciones que garantizarán la continuidad de los resultados.</w:t>
      </w:r>
    </w:p>
    <w:p>
      <w:pPr>
        <w:spacing w:after="160" w:line="300"/>
        <w:jc w:val="both"/>
      </w:pPr>
      <w:r>
        <w:rPr>
          <w:rFonts w:ascii="Cambria" w:cs="Cambria" w:eastAsia="Cambria" w:hAnsi="Cambria"/>
          <w:color w:val="000000"/>
          <w:sz w:val="24"/>
          <w:szCs w:val="24"/>
        </w:rPr>
        <w:t xml:space="preserve">Esta arquitectura de diez momentos constituye el estándar contractual y operativo mínimo de cualquier intervención que se presente como desarrollada bajo el Sistema ODYRA.</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INTEGRACIÓN DE MODELOS, FRAMEWORKS Y HERRAMIENTAS</w:t>
      </w:r>
    </w:p>
    <w:p>
      <w:pPr>
        <w:spacing w:after="160" w:line="300"/>
        <w:jc w:val="both"/>
      </w:pPr>
      <w:r>
        <w:rPr>
          <w:rFonts w:ascii="Cambria" w:cs="Cambria" w:eastAsia="Cambria" w:hAnsi="Cambria"/>
          <w:color w:val="000000"/>
          <w:sz w:val="24"/>
          <w:szCs w:val="24"/>
        </w:rPr>
        <w:t xml:space="preserve">Ninguna herramienta actúa de forma aislada dentro de una intervención ODYRA. Este es el principio central del Marco Metodológico: todo instrumento —por sencillo que parezca— se integra al servicio del propósito estratégico definido en la etapa de Orientar, y encuentra su fundamento en alguno de los modelos oficiales del Sistema.</w:t>
      </w:r>
    </w:p>
    <w:p>
      <w:pPr>
        <w:spacing w:after="160" w:line="300"/>
        <w:jc w:val="both"/>
      </w:pPr>
      <w:r>
        <w:rPr>
          <w:rFonts w:ascii="Cambria" w:cs="Cambria" w:eastAsia="Cambria" w:hAnsi="Cambria"/>
          <w:color w:val="000000"/>
          <w:sz w:val="24"/>
          <w:szCs w:val="24"/>
        </w:rPr>
        <w:t xml:space="preserve">La integración opera en cuatro niveles, siguiendo la Arquitectura Conceptual del Sistema ODYRA establecida en la Carta Magna:</w:t>
      </w:r>
    </w:p>
    <w:p>
      <w:pPr>
        <w:pStyle w:val="ListParagraph"/>
        <w:numPr>
          <w:ilvl w:val="0"/>
          <w:numId w:val="1"/>
        </w:numPr>
        <w:spacing w:after="80"/>
        <w:jc w:val="both"/>
      </w:pPr>
      <w:r>
        <w:rPr>
          <w:rFonts w:ascii="Cambria" w:cs="Cambria" w:eastAsia="Cambria" w:hAnsi="Cambria"/>
          <w:b/>
          <w:bCs/>
          <w:color w:val="000000"/>
          <w:sz w:val="23"/>
          <w:szCs w:val="23"/>
        </w:rPr>
        <w:t xml:space="preserve">Los modelos</w:t>
      </w:r>
      <w:r>
        <w:rPr>
          <w:rFonts w:ascii="Cambria" w:cs="Cambria" w:eastAsia="Cambria" w:hAnsi="Cambria"/>
          <w:color w:val="000000"/>
          <w:sz w:val="23"/>
          <w:szCs w:val="23"/>
        </w:rPr>
        <w:t xml:space="preserve"> —el Modelo CI–ODYRA, el Tren de Transformación Estratégica y el Marco de Razonamiento Estratégico— proporcionan la comprensión conceptual que fundamenta toda decisión metodológica.</w:t>
      </w:r>
    </w:p>
    <w:p>
      <w:pPr>
        <w:pStyle w:val="ListParagraph"/>
        <w:numPr>
          <w:ilvl w:val="0"/>
          <w:numId w:val="1"/>
        </w:numPr>
        <w:spacing w:after="80"/>
        <w:jc w:val="both"/>
      </w:pPr>
      <w:r>
        <w:rPr>
          <w:rFonts w:ascii="Cambria" w:cs="Cambria" w:eastAsia="Cambria" w:hAnsi="Cambria"/>
          <w:b/>
          <w:bCs/>
          <w:color w:val="000000"/>
          <w:sz w:val="23"/>
          <w:szCs w:val="23"/>
        </w:rPr>
        <w:t xml:space="preserve">Los frameworks</w:t>
      </w:r>
      <w:r>
        <w:rPr>
          <w:rFonts w:ascii="Cambria" w:cs="Cambria" w:eastAsia="Cambria" w:hAnsi="Cambria"/>
          <w:color w:val="000000"/>
          <w:sz w:val="23"/>
          <w:szCs w:val="23"/>
        </w:rPr>
        <w:t xml:space="preserve"> organizan esa comprensión en estructuras prácticas de intervención, articulando varias metodologías o herramientas en torno a un mismo propósito.</w:t>
      </w:r>
    </w:p>
    <w:p>
      <w:pPr>
        <w:pStyle w:val="ListParagraph"/>
        <w:numPr>
          <w:ilvl w:val="0"/>
          <w:numId w:val="1"/>
        </w:numPr>
        <w:spacing w:after="80"/>
        <w:jc w:val="both"/>
      </w:pPr>
      <w:r>
        <w:rPr>
          <w:rFonts w:ascii="Cambria" w:cs="Cambria" w:eastAsia="Cambria" w:hAnsi="Cambria"/>
          <w:b/>
          <w:bCs/>
          <w:color w:val="000000"/>
          <w:sz w:val="23"/>
          <w:szCs w:val="23"/>
        </w:rPr>
        <w:t xml:space="preserve">Las metodologías integradas</w:t>
      </w:r>
      <w:r>
        <w:rPr>
          <w:rFonts w:ascii="Cambria" w:cs="Cambria" w:eastAsia="Cambria" w:hAnsi="Cambria"/>
          <w:color w:val="000000"/>
          <w:sz w:val="23"/>
          <w:szCs w:val="23"/>
        </w:rPr>
        <w:t xml:space="preserve"> —descritas en la Parte V— aportan procedimientos específicos, adaptados de enfoques reconocidos internacionalmente.</w:t>
      </w:r>
    </w:p>
    <w:p>
      <w:pPr>
        <w:pStyle w:val="ListParagraph"/>
        <w:numPr>
          <w:ilvl w:val="0"/>
          <w:numId w:val="1"/>
        </w:numPr>
        <w:spacing w:after="80"/>
        <w:jc w:val="both"/>
      </w:pPr>
      <w:r>
        <w:rPr>
          <w:rFonts w:ascii="Cambria" w:cs="Cambria" w:eastAsia="Cambria" w:hAnsi="Cambria"/>
          <w:b/>
          <w:bCs/>
          <w:color w:val="000000"/>
          <w:sz w:val="23"/>
          <w:szCs w:val="23"/>
        </w:rPr>
        <w:t xml:space="preserve">Las herramientas</w:t>
      </w:r>
      <w:r>
        <w:rPr>
          <w:rFonts w:ascii="Cambria" w:cs="Cambria" w:eastAsia="Cambria" w:hAnsi="Cambria"/>
          <w:color w:val="000000"/>
          <w:sz w:val="23"/>
          <w:szCs w:val="23"/>
        </w:rPr>
        <w:t xml:space="preserve"> —plantillas, matrices, prompts, canvas— constituyen el nivel operativo donde la intervención se ejecuta día a día.</w:t>
      </w:r>
    </w:p>
    <w:p>
      <w:pPr>
        <w:spacing w:after="160" w:line="300"/>
        <w:jc w:val="both"/>
      </w:pPr>
      <w:r>
        <w:rPr>
          <w:rFonts w:ascii="Cambria" w:cs="Cambria" w:eastAsia="Cambria" w:hAnsi="Cambria"/>
          <w:color w:val="000000"/>
          <w:sz w:val="24"/>
          <w:szCs w:val="24"/>
        </w:rPr>
        <w:t xml:space="preserve">La inteligencia artificial atraviesa los cuatro niveles como capacidad transversal, conforme al Modelo CI–ODYRA: amplía el análisis en el nivel de los modelos, acelera el diseño en el nivel de los frameworks, enriquece la aplicación de las metodologías y potencia el uso cotidiano de las herramientas. En ningún nivel sustituye el criterio del consultor: lo amplía.</w:t>
      </w:r>
    </w:p>
    <w:p>
      <w:pPr>
        <w:spacing w:after="160" w:line="300"/>
        <w:jc w:val="both"/>
      </w:pPr>
      <w:r>
        <w:rPr>
          <w:rFonts w:ascii="Cambria" w:cs="Cambria" w:eastAsia="Cambria" w:hAnsi="Cambria"/>
          <w:color w:val="000000"/>
          <w:sz w:val="24"/>
          <w:szCs w:val="24"/>
        </w:rPr>
        <w:t xml:space="preserve">Un consultor ODYRA competente es, ante todo, quien sabe decidir qué modelo, qué framework, qué metodología y qué herramienta corresponden a cada momento de una intervención específica, y por qué. Esa capacidad de integración —no el dominio aislado de una técnica— es lo que distingue una intervención ODYRA de la simple aplicación de instrumentos sueltos.</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METODOLOGÍAS INTEGRADAS</w:t>
      </w:r>
    </w:p>
    <w:p>
      <w:pPr>
        <w:spacing w:after="160" w:line="300"/>
        <w:jc w:val="both"/>
      </w:pPr>
      <w:r>
        <w:rPr>
          <w:rFonts w:ascii="Cambria" w:cs="Cambria" w:eastAsia="Cambria" w:hAnsi="Cambria"/>
          <w:color w:val="000000"/>
          <w:sz w:val="24"/>
          <w:szCs w:val="24"/>
        </w:rPr>
        <w:t xml:space="preserve">El Sistema ODYRA no reemplaza las metodologías reconocidas internacionalmente: las integra. Cada una aporta un valor específico y responde mejor a determinados momentos del Ciclo Metodológico. La siguiente tabla resume su aporte principal y el criterio para su selección.</w:t>
      </w:r>
    </w:p>
    <w:p>
      <w:pPr>
        <w:pStyle w:val="ListParagraph"/>
        <w:numPr>
          <w:ilvl w:val="0"/>
          <w:numId w:val="1"/>
        </w:numPr>
        <w:spacing w:after="80"/>
        <w:jc w:val="both"/>
      </w:pPr>
      <w:r>
        <w:rPr>
          <w:rFonts w:ascii="Cambria" w:cs="Cambria" w:eastAsia="Cambria" w:hAnsi="Cambria"/>
          <w:b/>
          <w:bCs/>
          <w:color w:val="000000"/>
          <w:sz w:val="23"/>
          <w:szCs w:val="23"/>
        </w:rPr>
        <w:t xml:space="preserve">PMBOK.</w:t>
      </w:r>
      <w:r>
        <w:rPr>
          <w:rFonts w:ascii="Cambria" w:cs="Cambria" w:eastAsia="Cambria" w:hAnsi="Cambria"/>
          <w:color w:val="000000"/>
          <w:sz w:val="23"/>
          <w:szCs w:val="23"/>
        </w:rPr>
        <w:t xml:space="preserve"> Aporta disciplina en la planificación, ejecución y control de proyectos. Se recomienda en intervenciones con alcance, tiempo y presupuesto claramente definidos.</w:t>
      </w:r>
    </w:p>
    <w:p>
      <w:pPr>
        <w:pStyle w:val="ListParagraph"/>
        <w:numPr>
          <w:ilvl w:val="0"/>
          <w:numId w:val="1"/>
        </w:numPr>
        <w:spacing w:after="80"/>
        <w:jc w:val="both"/>
      </w:pPr>
      <w:r>
        <w:rPr>
          <w:rFonts w:ascii="Cambria" w:cs="Cambria" w:eastAsia="Cambria" w:hAnsi="Cambria"/>
          <w:b/>
          <w:bCs/>
          <w:color w:val="000000"/>
          <w:sz w:val="23"/>
          <w:szCs w:val="23"/>
        </w:rPr>
        <w:t xml:space="preserve">Marco Lógico.</w:t>
      </w:r>
      <w:r>
        <w:rPr>
          <w:rFonts w:ascii="Cambria" w:cs="Cambria" w:eastAsia="Cambria" w:hAnsi="Cambria"/>
          <w:color w:val="000000"/>
          <w:sz w:val="23"/>
          <w:szCs w:val="23"/>
        </w:rPr>
        <w:t xml:space="preserve"> Aporta una estructura clara para relacionar objetivos, resultados, actividades e indicadores. Es especialmente pertinente en proyectos de cooperación internacional y desarrollo.</w:t>
      </w:r>
    </w:p>
    <w:p>
      <w:pPr>
        <w:pStyle w:val="ListParagraph"/>
        <w:numPr>
          <w:ilvl w:val="0"/>
          <w:numId w:val="1"/>
        </w:numPr>
        <w:spacing w:after="80"/>
        <w:jc w:val="both"/>
      </w:pPr>
      <w:r>
        <w:rPr>
          <w:rFonts w:ascii="Cambria" w:cs="Cambria" w:eastAsia="Cambria" w:hAnsi="Cambria"/>
          <w:b/>
          <w:bCs/>
          <w:color w:val="000000"/>
          <w:sz w:val="23"/>
          <w:szCs w:val="23"/>
        </w:rPr>
        <w:t xml:space="preserve">Design Thinking.</w:t>
      </w:r>
      <w:r>
        <w:rPr>
          <w:rFonts w:ascii="Cambria" w:cs="Cambria" w:eastAsia="Cambria" w:hAnsi="Cambria"/>
          <w:color w:val="000000"/>
          <w:sz w:val="23"/>
          <w:szCs w:val="23"/>
        </w:rPr>
        <w:t xml:space="preserve"> Aporta un proceso centrado en las personas para comprender necesidades y diseñar soluciones innovadoras. Se recomienda en las etapas de Comprender y Diseñar cuando el desafío exige empatía profunda con los usuarios finales.</w:t>
      </w:r>
    </w:p>
    <w:p>
      <w:pPr>
        <w:pStyle w:val="ListParagraph"/>
        <w:numPr>
          <w:ilvl w:val="0"/>
          <w:numId w:val="1"/>
        </w:numPr>
        <w:spacing w:after="80"/>
        <w:jc w:val="both"/>
      </w:pPr>
      <w:r>
        <w:rPr>
          <w:rFonts w:ascii="Cambria" w:cs="Cambria" w:eastAsia="Cambria" w:hAnsi="Cambria"/>
          <w:b/>
          <w:bCs/>
          <w:color w:val="000000"/>
          <w:sz w:val="23"/>
          <w:szCs w:val="23"/>
        </w:rPr>
        <w:t xml:space="preserve">Lean.</w:t>
      </w:r>
      <w:r>
        <w:rPr>
          <w:rFonts w:ascii="Cambria" w:cs="Cambria" w:eastAsia="Cambria" w:hAnsi="Cambria"/>
          <w:color w:val="000000"/>
          <w:sz w:val="23"/>
          <w:szCs w:val="23"/>
        </w:rPr>
        <w:t xml:space="preserve"> Aporta principios para eliminar actividades que no generan valor y optimizar procesos. Es pertinente en organizaciones que buscan eficiencia operativa.</w:t>
      </w:r>
    </w:p>
    <w:p>
      <w:pPr>
        <w:pStyle w:val="ListParagraph"/>
        <w:numPr>
          <w:ilvl w:val="0"/>
          <w:numId w:val="1"/>
        </w:numPr>
        <w:spacing w:after="80"/>
        <w:jc w:val="both"/>
      </w:pPr>
      <w:r>
        <w:rPr>
          <w:rFonts w:ascii="Cambria" w:cs="Cambria" w:eastAsia="Cambria" w:hAnsi="Cambria"/>
          <w:b/>
          <w:bCs/>
          <w:color w:val="000000"/>
          <w:sz w:val="23"/>
          <w:szCs w:val="23"/>
        </w:rPr>
        <w:t xml:space="preserve">Scrum.</w:t>
      </w:r>
      <w:r>
        <w:rPr>
          <w:rFonts w:ascii="Cambria" w:cs="Cambria" w:eastAsia="Cambria" w:hAnsi="Cambria"/>
          <w:color w:val="000000"/>
          <w:sz w:val="23"/>
          <w:szCs w:val="23"/>
        </w:rPr>
        <w:t xml:space="preserve"> Aporta un marco de trabajo iterativo, con ciclos cortos de entrega y aprendizaje. Se recomienda en proyectos de alta incertidumbre que requieren adaptación continua.</w:t>
      </w:r>
    </w:p>
    <w:p>
      <w:pPr>
        <w:pStyle w:val="ListParagraph"/>
        <w:numPr>
          <w:ilvl w:val="0"/>
          <w:numId w:val="1"/>
        </w:numPr>
        <w:spacing w:after="80"/>
        <w:jc w:val="both"/>
      </w:pPr>
      <w:r>
        <w:rPr>
          <w:rFonts w:ascii="Cambria" w:cs="Cambria" w:eastAsia="Cambria" w:hAnsi="Cambria"/>
          <w:b/>
          <w:bCs/>
          <w:color w:val="000000"/>
          <w:sz w:val="23"/>
          <w:szCs w:val="23"/>
        </w:rPr>
        <w:t xml:space="preserve">Agile.</w:t>
      </w:r>
      <w:r>
        <w:rPr>
          <w:rFonts w:ascii="Cambria" w:cs="Cambria" w:eastAsia="Cambria" w:hAnsi="Cambria"/>
          <w:color w:val="000000"/>
          <w:sz w:val="23"/>
          <w:szCs w:val="23"/>
        </w:rPr>
        <w:t xml:space="preserve"> Aporta principios generales de flexibilidad, colaboración y respuesta al cambio, de los cuales Scrum es una de sus expresiones concretas. Orienta intervenciones que deben adaptarse con rapidez a contextos cambiantes.</w:t>
      </w:r>
    </w:p>
    <w:p>
      <w:pPr>
        <w:pStyle w:val="ListParagraph"/>
        <w:numPr>
          <w:ilvl w:val="0"/>
          <w:numId w:val="1"/>
        </w:numPr>
        <w:spacing w:after="80"/>
        <w:jc w:val="both"/>
      </w:pPr>
      <w:r>
        <w:rPr>
          <w:rFonts w:ascii="Cambria" w:cs="Cambria" w:eastAsia="Cambria" w:hAnsi="Cambria"/>
          <w:b/>
          <w:bCs/>
          <w:color w:val="000000"/>
          <w:sz w:val="23"/>
          <w:szCs w:val="23"/>
        </w:rPr>
        <w:t xml:space="preserve">Balanced Scorecard.</w:t>
      </w:r>
      <w:r>
        <w:rPr>
          <w:rFonts w:ascii="Cambria" w:cs="Cambria" w:eastAsia="Cambria" w:hAnsi="Cambria"/>
          <w:color w:val="000000"/>
          <w:sz w:val="23"/>
          <w:szCs w:val="23"/>
        </w:rPr>
        <w:t xml:space="preserve"> Aporta un sistema de indicadores balanceado entre perspectivas financiera, de procesos, de aprendizaje y de resultados. Es pertinente en la etapa de Evaluación descrita en la Parte VII.</w:t>
      </w:r>
    </w:p>
    <w:p>
      <w:pPr>
        <w:pStyle w:val="ListParagraph"/>
        <w:numPr>
          <w:ilvl w:val="0"/>
          <w:numId w:val="1"/>
        </w:numPr>
        <w:spacing w:after="80"/>
        <w:jc w:val="both"/>
      </w:pPr>
      <w:r>
        <w:rPr>
          <w:rFonts w:ascii="Cambria" w:cs="Cambria" w:eastAsia="Cambria" w:hAnsi="Cambria"/>
          <w:b/>
          <w:bCs/>
          <w:color w:val="000000"/>
          <w:sz w:val="23"/>
          <w:szCs w:val="23"/>
        </w:rPr>
        <w:t xml:space="preserve">Teoría del Cambio.</w:t>
      </w:r>
      <w:r>
        <w:rPr>
          <w:rFonts w:ascii="Cambria" w:cs="Cambria" w:eastAsia="Cambria" w:hAnsi="Cambria"/>
          <w:color w:val="000000"/>
          <w:sz w:val="23"/>
          <w:szCs w:val="23"/>
        </w:rPr>
        <w:t xml:space="preserve"> Aporta un razonamiento explícito sobre cómo y por qué una intervención debería producir los resultados esperados. Es especialmente útil en la etapa de Orientar.</w:t>
      </w:r>
    </w:p>
    <w:p>
      <w:pPr>
        <w:pStyle w:val="ListParagraph"/>
        <w:numPr>
          <w:ilvl w:val="0"/>
          <w:numId w:val="1"/>
        </w:numPr>
        <w:spacing w:after="80"/>
        <w:jc w:val="both"/>
      </w:pPr>
      <w:r>
        <w:rPr>
          <w:rFonts w:ascii="Cambria" w:cs="Cambria" w:eastAsia="Cambria" w:hAnsi="Cambria"/>
          <w:b/>
          <w:bCs/>
          <w:color w:val="000000"/>
          <w:sz w:val="23"/>
          <w:szCs w:val="23"/>
        </w:rPr>
        <w:t xml:space="preserve">ISO aplicables.</w:t>
      </w:r>
      <w:r>
        <w:rPr>
          <w:rFonts w:ascii="Cambria" w:cs="Cambria" w:eastAsia="Cambria" w:hAnsi="Cambria"/>
          <w:color w:val="000000"/>
          <w:sz w:val="23"/>
          <w:szCs w:val="23"/>
        </w:rPr>
        <w:t xml:space="preserve"> Aportan estándares de calidad reconocidos internacionalmente. Se recomiendan cuando la organización requiere certificación o alineación con normas específicas de su sector.</w:t>
      </w:r>
    </w:p>
    <w:p>
      <w:pPr>
        <w:pStyle w:val="ListParagraph"/>
        <w:numPr>
          <w:ilvl w:val="0"/>
          <w:numId w:val="1"/>
        </w:numPr>
        <w:spacing w:after="80"/>
        <w:jc w:val="both"/>
      </w:pPr>
      <w:r>
        <w:rPr>
          <w:rFonts w:ascii="Cambria" w:cs="Cambria" w:eastAsia="Cambria" w:hAnsi="Cambria"/>
          <w:b/>
          <w:bCs/>
          <w:color w:val="000000"/>
          <w:sz w:val="23"/>
          <w:szCs w:val="23"/>
        </w:rPr>
        <w:t xml:space="preserve">Gestión del Conocimiento.</w:t>
      </w:r>
      <w:r>
        <w:rPr>
          <w:rFonts w:ascii="Cambria" w:cs="Cambria" w:eastAsia="Cambria" w:hAnsi="Cambria"/>
          <w:color w:val="000000"/>
          <w:sz w:val="23"/>
          <w:szCs w:val="23"/>
        </w:rPr>
        <w:t xml:space="preserve"> Aporta principios y herramientas para capturar, sistematizar y transferir el aprendizaje institucional, en línea con el Ciclo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Prospectiva Estratégica.</w:t>
      </w:r>
      <w:r>
        <w:rPr>
          <w:rFonts w:ascii="Cambria" w:cs="Cambria" w:eastAsia="Cambria" w:hAnsi="Cambria"/>
          <w:color w:val="000000"/>
          <w:sz w:val="23"/>
          <w:szCs w:val="23"/>
        </w:rPr>
        <w:t xml:space="preserve"> Aporta métodos para anticipar escenarios futuros y decidir con visión de largo plazo. Es pertinente en procesos de planeación territorial e institucional.</w:t>
      </w:r>
    </w:p>
    <w:p>
      <w:pPr>
        <w:spacing w:after="160" w:line="300"/>
        <w:jc w:val="both"/>
      </w:pPr>
      <w:r>
        <w:rPr>
          <w:rFonts w:ascii="Cambria" w:cs="Cambria" w:eastAsia="Cambria" w:hAnsi="Cambria"/>
          <w:color w:val="000000"/>
          <w:sz w:val="24"/>
          <w:szCs w:val="24"/>
        </w:rPr>
        <w:t xml:space="preserve">La selección de una o varias metodologías no es discrecional: debe justificarse siempre en función del diagnóstico realizado en la etapa de Comprender y del propósito estratégico definido en la etapa de Orientar. Combinar metodologías sin ese criterio contradice el Principio de Coherencia Conceptual establecido en el Manual de Modelos ODYRA.</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INSTRUMENTOS METODOLÓGICOS</w:t>
      </w:r>
    </w:p>
    <w:p>
      <w:pPr>
        <w:spacing w:after="160" w:line="300"/>
        <w:jc w:val="both"/>
      </w:pPr>
      <w:r>
        <w:rPr>
          <w:rFonts w:ascii="Cambria" w:cs="Cambria" w:eastAsia="Cambria" w:hAnsi="Cambria"/>
          <w:color w:val="000000"/>
          <w:sz w:val="24"/>
          <w:szCs w:val="24"/>
        </w:rPr>
        <w:t xml:space="preserve">El Sistema ODYRA reconoce diez categorías de instrumentos metodológicos oficiales, todos ellos derivados de los modelos y metodologías descritos en las Partes anteriores.</w:t>
      </w:r>
    </w:p>
    <w:p>
      <w:pPr>
        <w:pStyle w:val="ListParagraph"/>
        <w:numPr>
          <w:ilvl w:val="0"/>
          <w:numId w:val="1"/>
        </w:numPr>
        <w:spacing w:after="80"/>
        <w:jc w:val="both"/>
      </w:pPr>
      <w:r>
        <w:rPr>
          <w:rFonts w:ascii="Cambria" w:cs="Cambria" w:eastAsia="Cambria" w:hAnsi="Cambria"/>
          <w:b/>
          <w:bCs/>
          <w:color w:val="000000"/>
          <w:sz w:val="23"/>
          <w:szCs w:val="23"/>
        </w:rPr>
        <w:t xml:space="preserve">Guías metodológicas.</w:t>
      </w:r>
      <w:r>
        <w:rPr>
          <w:rFonts w:ascii="Cambria" w:cs="Cambria" w:eastAsia="Cambria" w:hAnsi="Cambria"/>
          <w:color w:val="000000"/>
          <w:sz w:val="23"/>
          <w:szCs w:val="23"/>
        </w:rPr>
        <w:t xml:space="preserve"> Documentos que explican, paso a paso, cómo aplicar una metodología específica dentro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Canvas ODYRA.</w:t>
      </w:r>
      <w:r>
        <w:rPr>
          <w:rFonts w:ascii="Cambria" w:cs="Cambria" w:eastAsia="Cambria" w:hAnsi="Cambria"/>
          <w:color w:val="000000"/>
          <w:sz w:val="23"/>
          <w:szCs w:val="23"/>
        </w:rPr>
        <w:t xml:space="preserve"> Instrumentos visuales de una página que sintetizan los elementos clave de un análisis o un diseño.</w:t>
      </w:r>
    </w:p>
    <w:p>
      <w:pPr>
        <w:pStyle w:val="ListParagraph"/>
        <w:numPr>
          <w:ilvl w:val="0"/>
          <w:numId w:val="1"/>
        </w:numPr>
        <w:spacing w:after="80"/>
        <w:jc w:val="both"/>
      </w:pPr>
      <w:r>
        <w:rPr>
          <w:rFonts w:ascii="Cambria" w:cs="Cambria" w:eastAsia="Cambria" w:hAnsi="Cambria"/>
          <w:b/>
          <w:bCs/>
          <w:color w:val="000000"/>
          <w:sz w:val="23"/>
          <w:szCs w:val="23"/>
        </w:rPr>
        <w:t xml:space="preserve">Matrices.</w:t>
      </w:r>
      <w:r>
        <w:rPr>
          <w:rFonts w:ascii="Cambria" w:cs="Cambria" w:eastAsia="Cambria" w:hAnsi="Cambria"/>
          <w:color w:val="000000"/>
          <w:sz w:val="23"/>
          <w:szCs w:val="23"/>
        </w:rPr>
        <w:t xml:space="preserve"> Instrumentos de doble entrada utilizados para priorizar, comparar o relacionar variables.</w:t>
      </w:r>
    </w:p>
    <w:p>
      <w:pPr>
        <w:pStyle w:val="ListParagraph"/>
        <w:numPr>
          <w:ilvl w:val="0"/>
          <w:numId w:val="1"/>
        </w:numPr>
        <w:spacing w:after="80"/>
        <w:jc w:val="both"/>
      </w:pPr>
      <w:r>
        <w:rPr>
          <w:rFonts w:ascii="Cambria" w:cs="Cambria" w:eastAsia="Cambria" w:hAnsi="Cambria"/>
          <w:b/>
          <w:bCs/>
          <w:color w:val="000000"/>
          <w:sz w:val="23"/>
          <w:szCs w:val="23"/>
        </w:rPr>
        <w:t xml:space="preserve">Checklists.</w:t>
      </w:r>
      <w:r>
        <w:rPr>
          <w:rFonts w:ascii="Cambria" w:cs="Cambria" w:eastAsia="Cambria" w:hAnsi="Cambria"/>
          <w:color w:val="000000"/>
          <w:sz w:val="23"/>
          <w:szCs w:val="23"/>
        </w:rPr>
        <w:t xml:space="preserve"> Listas de verificación que aseguran que ninguna actividad esencial se omita durante una etapa del ciclo.</w:t>
      </w:r>
    </w:p>
    <w:p>
      <w:pPr>
        <w:pStyle w:val="ListParagraph"/>
        <w:numPr>
          <w:ilvl w:val="0"/>
          <w:numId w:val="1"/>
        </w:numPr>
        <w:spacing w:after="80"/>
        <w:jc w:val="both"/>
      </w:pPr>
      <w:r>
        <w:rPr>
          <w:rFonts w:ascii="Cambria" w:cs="Cambria" w:eastAsia="Cambria" w:hAnsi="Cambria"/>
          <w:b/>
          <w:bCs/>
          <w:color w:val="000000"/>
          <w:sz w:val="23"/>
          <w:szCs w:val="23"/>
        </w:rPr>
        <w:t xml:space="preserve">Plantillas.</w:t>
      </w:r>
      <w:r>
        <w:rPr>
          <w:rFonts w:ascii="Cambria" w:cs="Cambria" w:eastAsia="Cambria" w:hAnsi="Cambria"/>
          <w:color w:val="000000"/>
          <w:sz w:val="23"/>
          <w:szCs w:val="23"/>
        </w:rPr>
        <w:t xml:space="preserve"> Formatos estandarizados para la elaboración de productos recurrentes, como diagnósticos, planes o informes.</w:t>
      </w:r>
    </w:p>
    <w:p>
      <w:pPr>
        <w:pStyle w:val="ListParagraph"/>
        <w:numPr>
          <w:ilvl w:val="0"/>
          <w:numId w:val="1"/>
        </w:numPr>
        <w:spacing w:after="80"/>
        <w:jc w:val="both"/>
      </w:pPr>
      <w:r>
        <w:rPr>
          <w:rFonts w:ascii="Cambria" w:cs="Cambria" w:eastAsia="Cambria" w:hAnsi="Cambria"/>
          <w:b/>
          <w:bCs/>
          <w:color w:val="000000"/>
          <w:sz w:val="23"/>
          <w:szCs w:val="23"/>
        </w:rPr>
        <w:t xml:space="preserve">Protocolos.</w:t>
      </w:r>
      <w:r>
        <w:rPr>
          <w:rFonts w:ascii="Cambria" w:cs="Cambria" w:eastAsia="Cambria" w:hAnsi="Cambria"/>
          <w:color w:val="000000"/>
          <w:sz w:val="23"/>
          <w:szCs w:val="23"/>
        </w:rPr>
        <w:t xml:space="preserve"> Instrucciones detalladas para actividades que exigen consistencia, como entrevistas o talleres participativos.</w:t>
      </w:r>
    </w:p>
    <w:p>
      <w:pPr>
        <w:pStyle w:val="ListParagraph"/>
        <w:numPr>
          <w:ilvl w:val="0"/>
          <w:numId w:val="1"/>
        </w:numPr>
        <w:spacing w:after="80"/>
        <w:jc w:val="both"/>
      </w:pPr>
      <w:r>
        <w:rPr>
          <w:rFonts w:ascii="Cambria" w:cs="Cambria" w:eastAsia="Cambria" w:hAnsi="Cambria"/>
          <w:b/>
          <w:bCs/>
          <w:color w:val="000000"/>
          <w:sz w:val="23"/>
          <w:szCs w:val="23"/>
        </w:rPr>
        <w:t xml:space="preserve">Formularios.</w:t>
      </w:r>
      <w:r>
        <w:rPr>
          <w:rFonts w:ascii="Cambria" w:cs="Cambria" w:eastAsia="Cambria" w:hAnsi="Cambria"/>
          <w:color w:val="000000"/>
          <w:sz w:val="23"/>
          <w:szCs w:val="23"/>
        </w:rPr>
        <w:t xml:space="preserve"> Instrumentos de recolección estructurada de información.</w:t>
      </w:r>
    </w:p>
    <w:p>
      <w:pPr>
        <w:pStyle w:val="ListParagraph"/>
        <w:numPr>
          <w:ilvl w:val="0"/>
          <w:numId w:val="1"/>
        </w:numPr>
        <w:spacing w:after="80"/>
        <w:jc w:val="both"/>
      </w:pPr>
      <w:r>
        <w:rPr>
          <w:rFonts w:ascii="Cambria" w:cs="Cambria" w:eastAsia="Cambria" w:hAnsi="Cambria"/>
          <w:b/>
          <w:bCs/>
          <w:color w:val="000000"/>
          <w:sz w:val="23"/>
          <w:szCs w:val="23"/>
        </w:rPr>
        <w:t xml:space="preserve">Prompts especializados.</w:t>
      </w:r>
      <w:r>
        <w:rPr>
          <w:rFonts w:ascii="Cambria" w:cs="Cambria" w:eastAsia="Cambria" w:hAnsi="Cambria"/>
          <w:color w:val="000000"/>
          <w:sz w:val="23"/>
          <w:szCs w:val="23"/>
        </w:rPr>
        <w:t xml:space="preserve"> Instrucciones diseñadas para orientar el uso de inteligencia artificial dentro de una actividad metodológica específica, conforme al Modelo CI–ODYRA.</w:t>
      </w:r>
    </w:p>
    <w:p>
      <w:pPr>
        <w:pStyle w:val="ListParagraph"/>
        <w:numPr>
          <w:ilvl w:val="0"/>
          <w:numId w:val="1"/>
        </w:numPr>
        <w:spacing w:after="80"/>
        <w:jc w:val="both"/>
      </w:pPr>
      <w:r>
        <w:rPr>
          <w:rFonts w:ascii="Cambria" w:cs="Cambria" w:eastAsia="Cambria" w:hAnsi="Cambria"/>
          <w:b/>
          <w:bCs/>
          <w:color w:val="000000"/>
          <w:sz w:val="23"/>
          <w:szCs w:val="23"/>
        </w:rPr>
        <w:t xml:space="preserve">Tableros de seguimiento.</w:t>
      </w:r>
      <w:r>
        <w:rPr>
          <w:rFonts w:ascii="Cambria" w:cs="Cambria" w:eastAsia="Cambria" w:hAnsi="Cambria"/>
          <w:color w:val="000000"/>
          <w:sz w:val="23"/>
          <w:szCs w:val="23"/>
        </w:rPr>
        <w:t xml:space="preserve"> Instrumentos visuales que permiten monitorear el avance de una intervención en tiempo real.</w:t>
      </w:r>
    </w:p>
    <w:p>
      <w:pPr>
        <w:pStyle w:val="ListParagraph"/>
        <w:numPr>
          <w:ilvl w:val="0"/>
          <w:numId w:val="1"/>
        </w:numPr>
        <w:spacing w:after="80"/>
        <w:jc w:val="both"/>
      </w:pPr>
      <w:r>
        <w:rPr>
          <w:rFonts w:ascii="Cambria" w:cs="Cambria" w:eastAsia="Cambria" w:hAnsi="Cambria"/>
          <w:b/>
          <w:bCs/>
          <w:color w:val="000000"/>
          <w:sz w:val="23"/>
          <w:szCs w:val="23"/>
        </w:rPr>
        <w:t xml:space="preserve">Sistemas de indicadores.</w:t>
      </w:r>
      <w:r>
        <w:rPr>
          <w:rFonts w:ascii="Cambria" w:cs="Cambria" w:eastAsia="Cambria" w:hAnsi="Cambria"/>
          <w:color w:val="000000"/>
          <w:sz w:val="23"/>
          <w:szCs w:val="23"/>
        </w:rPr>
        <w:t xml:space="preserve"> Conjuntos de métricas que permiten evaluar tanto los productos entregados como las capacidades fortalecidas.</w:t>
      </w:r>
    </w:p>
    <w:p>
      <w:pPr>
        <w:spacing w:after="160" w:line="300"/>
        <w:jc w:val="both"/>
      </w:pPr>
      <w:r>
        <w:rPr>
          <w:rFonts w:ascii="Cambria" w:cs="Cambria" w:eastAsia="Cambria" w:hAnsi="Cambria"/>
          <w:color w:val="000000"/>
          <w:sz w:val="24"/>
          <w:szCs w:val="24"/>
        </w:rPr>
        <w:t xml:space="preserve">Todo instrumento oficial del Sistema ODYRA deberá estar estandarizado —siguiendo un formato reconocible como propio de la Escuela— y versionado, conforme a los principios de control documental establecidos en la Carta Magna del Sistema ODYRA.</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EVALUACIÓN Y ASEGURAMIENTO METODOLÓGICO</w:t>
      </w:r>
    </w:p>
    <w:p>
      <w:pPr>
        <w:spacing w:after="160" w:line="300"/>
        <w:jc w:val="both"/>
      </w:pPr>
      <w:r>
        <w:rPr>
          <w:rFonts w:ascii="Cambria" w:cs="Cambria" w:eastAsia="Cambria" w:hAnsi="Cambria"/>
          <w:color w:val="000000"/>
          <w:sz w:val="24"/>
          <w:szCs w:val="24"/>
        </w:rPr>
        <w:t xml:space="preserve">La calidad de una intervención ODYRA no se mide únicamente por el cumplimiento de un cronograma o la entrega de productos. Se mide por el fortalecimiento real de la organización. Esta Parte establece los mecanismos que garantizan esa calidad.</w:t>
      </w:r>
    </w:p>
    <w:p>
      <w:pPr>
        <w:pStyle w:val="ListParagraph"/>
        <w:numPr>
          <w:ilvl w:val="0"/>
          <w:numId w:val="1"/>
        </w:numPr>
        <w:spacing w:after="80"/>
        <w:jc w:val="both"/>
      </w:pPr>
      <w:r>
        <w:rPr>
          <w:rFonts w:ascii="Cambria" w:cs="Cambria" w:eastAsia="Cambria" w:hAnsi="Cambria"/>
          <w:b/>
          <w:bCs/>
          <w:color w:val="000000"/>
          <w:sz w:val="23"/>
          <w:szCs w:val="23"/>
        </w:rPr>
        <w:t xml:space="preserve">Criterios de calidad.</w:t>
      </w:r>
      <w:r>
        <w:rPr>
          <w:rFonts w:ascii="Cambria" w:cs="Cambria" w:eastAsia="Cambria" w:hAnsi="Cambria"/>
          <w:color w:val="000000"/>
          <w:sz w:val="23"/>
          <w:szCs w:val="23"/>
        </w:rPr>
        <w:t xml:space="preserve"> Toda intervención se evalúa según su coherencia con los ocho principios metodológicos establecidos en la Parte I, y con los principios generales del Sistema establecidos en la Carta Magna.</w:t>
      </w:r>
    </w:p>
    <w:p>
      <w:pPr>
        <w:pStyle w:val="ListParagraph"/>
        <w:numPr>
          <w:ilvl w:val="0"/>
          <w:numId w:val="1"/>
        </w:numPr>
        <w:spacing w:after="80"/>
        <w:jc w:val="both"/>
      </w:pPr>
      <w:r>
        <w:rPr>
          <w:rFonts w:ascii="Cambria" w:cs="Cambria" w:eastAsia="Cambria" w:hAnsi="Cambria"/>
          <w:b/>
          <w:bCs/>
          <w:color w:val="000000"/>
          <w:sz w:val="23"/>
          <w:szCs w:val="23"/>
        </w:rPr>
        <w:t xml:space="preserve">Indicadores de desempeño.</w:t>
      </w:r>
      <w:r>
        <w:rPr>
          <w:rFonts w:ascii="Cambria" w:cs="Cambria" w:eastAsia="Cambria" w:hAnsi="Cambria"/>
          <w:color w:val="000000"/>
          <w:sz w:val="23"/>
          <w:szCs w:val="23"/>
        </w:rPr>
        <w:t xml:space="preserve"> Cada intervención deberá definir, desde su diseño, indicadores que permitan verificar el cumplimiento de los objetivos planteados.</w:t>
      </w:r>
    </w:p>
    <w:p>
      <w:pPr>
        <w:pStyle w:val="ListParagraph"/>
        <w:numPr>
          <w:ilvl w:val="0"/>
          <w:numId w:val="1"/>
        </w:numPr>
        <w:spacing w:after="80"/>
        <w:jc w:val="both"/>
      </w:pPr>
      <w:r>
        <w:rPr>
          <w:rFonts w:ascii="Cambria" w:cs="Cambria" w:eastAsia="Cambria" w:hAnsi="Cambria"/>
          <w:b/>
          <w:bCs/>
          <w:color w:val="000000"/>
          <w:sz w:val="23"/>
          <w:szCs w:val="23"/>
        </w:rPr>
        <w:t xml:space="preserve">Evaluación de resultados.</w:t>
      </w:r>
      <w:r>
        <w:rPr>
          <w:rFonts w:ascii="Cambria" w:cs="Cambria" w:eastAsia="Cambria" w:hAnsi="Cambria"/>
          <w:color w:val="000000"/>
          <w:sz w:val="23"/>
          <w:szCs w:val="23"/>
        </w:rPr>
        <w:t xml:space="preserve"> Se valora el grado en que los productos entregados responden a lo planeado y generan el valor esperado.</w:t>
      </w:r>
    </w:p>
    <w:p>
      <w:pPr>
        <w:pStyle w:val="ListParagraph"/>
        <w:numPr>
          <w:ilvl w:val="0"/>
          <w:numId w:val="1"/>
        </w:numPr>
        <w:spacing w:after="80"/>
        <w:jc w:val="both"/>
      </w:pPr>
      <w:r>
        <w:rPr>
          <w:rFonts w:ascii="Cambria" w:cs="Cambria" w:eastAsia="Cambria" w:hAnsi="Cambria"/>
          <w:b/>
          <w:bCs/>
          <w:color w:val="000000"/>
          <w:sz w:val="23"/>
          <w:szCs w:val="23"/>
        </w:rPr>
        <w:t xml:space="preserve">Evaluación de capacidades instaladas.</w:t>
      </w:r>
      <w:r>
        <w:rPr>
          <w:rFonts w:ascii="Cambria" w:cs="Cambria" w:eastAsia="Cambria" w:hAnsi="Cambria"/>
          <w:color w:val="000000"/>
          <w:sz w:val="23"/>
          <w:szCs w:val="23"/>
        </w:rPr>
        <w:t xml:space="preserve"> Se valora, de manera diferenciada, si la organización ha desarrollado capacidades que le permitan sostener los resultados de manera autónoma. Este criterio tiene el mismo peso que la evaluación de resultados, y en caso de conflicto entre ambos, prevalece.</w:t>
      </w:r>
    </w:p>
    <w:p>
      <w:pPr>
        <w:pStyle w:val="ListParagraph"/>
        <w:numPr>
          <w:ilvl w:val="0"/>
          <w:numId w:val="1"/>
        </w:numPr>
        <w:spacing w:after="80"/>
        <w:jc w:val="both"/>
      </w:pPr>
      <w:r>
        <w:rPr>
          <w:rFonts w:ascii="Cambria" w:cs="Cambria" w:eastAsia="Cambria" w:hAnsi="Cambria"/>
          <w:b/>
          <w:bCs/>
          <w:color w:val="000000"/>
          <w:sz w:val="23"/>
          <w:szCs w:val="23"/>
        </w:rPr>
        <w:t xml:space="preserve">Retroalimentación.</w:t>
      </w:r>
      <w:r>
        <w:rPr>
          <w:rFonts w:ascii="Cambria" w:cs="Cambria" w:eastAsia="Cambria" w:hAnsi="Cambria"/>
          <w:color w:val="000000"/>
          <w:sz w:val="23"/>
          <w:szCs w:val="23"/>
        </w:rPr>
        <w:t xml:space="preserve"> Se recoge la perspectiva de la organización y de los equipos involucrados sobre la calidad del proceso, no solamente sobre sus resultados.</w:t>
      </w:r>
    </w:p>
    <w:p>
      <w:pPr>
        <w:pStyle w:val="ListParagraph"/>
        <w:numPr>
          <w:ilvl w:val="0"/>
          <w:numId w:val="1"/>
        </w:numPr>
        <w:spacing w:after="80"/>
        <w:jc w:val="both"/>
      </w:pPr>
      <w:r>
        <w:rPr>
          <w:rFonts w:ascii="Cambria" w:cs="Cambria" w:eastAsia="Cambria" w:hAnsi="Cambria"/>
          <w:b/>
          <w:bCs/>
          <w:color w:val="000000"/>
          <w:sz w:val="23"/>
          <w:szCs w:val="23"/>
        </w:rPr>
        <w:t xml:space="preserve">Lecciones aprendidas.</w:t>
      </w:r>
      <w:r>
        <w:rPr>
          <w:rFonts w:ascii="Cambria" w:cs="Cambria" w:eastAsia="Cambria" w:hAnsi="Cambria"/>
          <w:color w:val="000000"/>
          <w:sz w:val="23"/>
          <w:szCs w:val="23"/>
        </w:rPr>
        <w:t xml:space="preserve"> Toda intervención debe sistematizar sus aprendizajes conforme al Ciclo del Conocimiento ODYRA, alimentando la evolución del propio Sistema.</w:t>
      </w:r>
    </w:p>
    <w:p>
      <w:pPr>
        <w:pStyle w:val="ListParagraph"/>
        <w:numPr>
          <w:ilvl w:val="0"/>
          <w:numId w:val="1"/>
        </w:numPr>
        <w:spacing w:after="80"/>
        <w:jc w:val="both"/>
      </w:pPr>
      <w:r>
        <w:rPr>
          <w:rFonts w:ascii="Cambria" w:cs="Cambria" w:eastAsia="Cambria" w:hAnsi="Cambria"/>
          <w:b/>
          <w:bCs/>
          <w:color w:val="000000"/>
          <w:sz w:val="23"/>
          <w:szCs w:val="23"/>
        </w:rPr>
        <w:t xml:space="preserve">Mejora continua.</w:t>
      </w:r>
      <w:r>
        <w:rPr>
          <w:rFonts w:ascii="Cambria" w:cs="Cambria" w:eastAsia="Cambria" w:hAnsi="Cambria"/>
          <w:color w:val="000000"/>
          <w:sz w:val="23"/>
          <w:szCs w:val="23"/>
        </w:rPr>
        <w:t xml:space="preserve"> Los hallazgos de cada evaluación retroalimentan tanto al consultor como al Marco Metodológico, conforme a los mecanismos de gobernanza establecidos en la Parte IX.</w:t>
      </w:r>
    </w:p>
    <w:p>
      <w:pPr>
        <w:spacing w:after="160" w:line="300"/>
        <w:jc w:val="both"/>
      </w:pPr>
      <w:r>
        <w:rPr>
          <w:rFonts w:ascii="Cambria" w:cs="Cambria" w:eastAsia="Cambria" w:hAnsi="Cambria"/>
          <w:color w:val="000000"/>
          <w:sz w:val="24"/>
          <w:szCs w:val="24"/>
        </w:rPr>
        <w:t xml:space="preserve">El foco de esta evaluación nunca será exclusivamente el producto entregado. Una intervención que cumple todos sus productos, pero no fortalece capacidad institucional alguna, no puede considerarse exitosa conforme a los estándares del Sistema ODYRA.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ADAPTACIÓN DEL MÉTODO A DIFERENTES CONTEXTOS</w:t>
      </w:r>
    </w:p>
    <w:p>
      <w:pPr>
        <w:spacing w:after="160" w:line="300"/>
        <w:jc w:val="both"/>
      </w:pPr>
      <w:r>
        <w:rPr>
          <w:rFonts w:ascii="Cambria" w:cs="Cambria" w:eastAsia="Cambria" w:hAnsi="Cambria"/>
          <w:color w:val="000000"/>
          <w:sz w:val="24"/>
          <w:szCs w:val="24"/>
        </w:rPr>
        <w:t xml:space="preserve">El Marco Metodológico ODYRA mantiene un mismo método en cualquier contexto de aplicación; lo que se adapta es la instrumentación, no los principios. Esta Parte orienta esa adaptación en diez tipos de organizaciones y territorios.</w:t>
      </w:r>
    </w:p>
    <w:p>
      <w:pPr>
        <w:pStyle w:val="ListParagraph"/>
        <w:numPr>
          <w:ilvl w:val="0"/>
          <w:numId w:val="1"/>
        </w:numPr>
        <w:spacing w:after="80"/>
        <w:jc w:val="both"/>
      </w:pPr>
      <w:r>
        <w:rPr>
          <w:rFonts w:ascii="Cambria" w:cs="Cambria" w:eastAsia="Cambria" w:hAnsi="Cambria"/>
          <w:b/>
          <w:bCs/>
          <w:color w:val="000000"/>
          <w:sz w:val="23"/>
          <w:szCs w:val="23"/>
        </w:rPr>
        <w:t xml:space="preserve">Entidades públicas.</w:t>
      </w:r>
      <w:r>
        <w:rPr>
          <w:rFonts w:ascii="Cambria" w:cs="Cambria" w:eastAsia="Cambria" w:hAnsi="Cambria"/>
          <w:color w:val="000000"/>
          <w:sz w:val="23"/>
          <w:szCs w:val="23"/>
        </w:rPr>
        <w:t xml:space="preserve"> La adaptación enfatiza el cumplimiento normativo, la articulación interinstitucional y los tiempos propios de la contratación y ejecución pública.</w:t>
      </w:r>
    </w:p>
    <w:p>
      <w:pPr>
        <w:pStyle w:val="ListParagraph"/>
        <w:numPr>
          <w:ilvl w:val="0"/>
          <w:numId w:val="1"/>
        </w:numPr>
        <w:spacing w:after="80"/>
        <w:jc w:val="both"/>
      </w:pPr>
      <w:r>
        <w:rPr>
          <w:rFonts w:ascii="Cambria" w:cs="Cambria" w:eastAsia="Cambria" w:hAnsi="Cambria"/>
          <w:b/>
          <w:bCs/>
          <w:color w:val="000000"/>
          <w:sz w:val="23"/>
          <w:szCs w:val="23"/>
        </w:rPr>
        <w:t xml:space="preserve">Empresas privadas.</w:t>
      </w:r>
      <w:r>
        <w:rPr>
          <w:rFonts w:ascii="Cambria" w:cs="Cambria" w:eastAsia="Cambria" w:hAnsi="Cambria"/>
          <w:color w:val="000000"/>
          <w:sz w:val="23"/>
          <w:szCs w:val="23"/>
        </w:rPr>
        <w:t xml:space="preserve"> La adaptación enfatiza indicadores de rentabilidad, competitividad y eficiencia operativa, sin renunciar al fortalecimiento de capacidades.</w:t>
      </w:r>
    </w:p>
    <w:p>
      <w:pPr>
        <w:pStyle w:val="ListParagraph"/>
        <w:numPr>
          <w:ilvl w:val="0"/>
          <w:numId w:val="1"/>
        </w:numPr>
        <w:spacing w:after="80"/>
        <w:jc w:val="both"/>
      </w:pPr>
      <w:r>
        <w:rPr>
          <w:rFonts w:ascii="Cambria" w:cs="Cambria" w:eastAsia="Cambria" w:hAnsi="Cambria"/>
          <w:b/>
          <w:bCs/>
          <w:color w:val="000000"/>
          <w:sz w:val="23"/>
          <w:szCs w:val="23"/>
        </w:rPr>
        <w:t xml:space="preserve">Organizaciones sin ánimo de lucro (ESAL).</w:t>
      </w:r>
      <w:r>
        <w:rPr>
          <w:rFonts w:ascii="Cambria" w:cs="Cambria" w:eastAsia="Cambria" w:hAnsi="Cambria"/>
          <w:color w:val="000000"/>
          <w:sz w:val="23"/>
          <w:szCs w:val="23"/>
        </w:rPr>
        <w:t xml:space="preserve"> La adaptación enfatiza la sostenibilidad financiera, la gobernanza asociativa y la relación con donantes y cooperantes.</w:t>
      </w:r>
    </w:p>
    <w:p>
      <w:pPr>
        <w:pStyle w:val="ListParagraph"/>
        <w:numPr>
          <w:ilvl w:val="0"/>
          <w:numId w:val="1"/>
        </w:numPr>
        <w:spacing w:after="80"/>
        <w:jc w:val="both"/>
      </w:pPr>
      <w:r>
        <w:rPr>
          <w:rFonts w:ascii="Cambria" w:cs="Cambria" w:eastAsia="Cambria" w:hAnsi="Cambria"/>
          <w:b/>
          <w:bCs/>
          <w:color w:val="000000"/>
          <w:sz w:val="23"/>
          <w:szCs w:val="23"/>
        </w:rPr>
        <w:t xml:space="preserve">Asociaciones.</w:t>
      </w:r>
      <w:r>
        <w:rPr>
          <w:rFonts w:ascii="Cambria" w:cs="Cambria" w:eastAsia="Cambria" w:hAnsi="Cambria"/>
          <w:color w:val="000000"/>
          <w:sz w:val="23"/>
          <w:szCs w:val="23"/>
        </w:rPr>
        <w:t xml:space="preserve"> La adaptación enfatiza la construcción de acuerdos colectivos y la gestión democrática de las decisiones.</w:t>
      </w:r>
    </w:p>
    <w:p>
      <w:pPr>
        <w:pStyle w:val="ListParagraph"/>
        <w:numPr>
          <w:ilvl w:val="0"/>
          <w:numId w:val="1"/>
        </w:numPr>
        <w:spacing w:after="80"/>
        <w:jc w:val="both"/>
      </w:pPr>
      <w:r>
        <w:rPr>
          <w:rFonts w:ascii="Cambria" w:cs="Cambria" w:eastAsia="Cambria" w:hAnsi="Cambria"/>
          <w:b/>
          <w:bCs/>
          <w:color w:val="000000"/>
          <w:sz w:val="23"/>
          <w:szCs w:val="23"/>
        </w:rPr>
        <w:t xml:space="preserve">Cooperativas.</w:t>
      </w:r>
      <w:r>
        <w:rPr>
          <w:rFonts w:ascii="Cambria" w:cs="Cambria" w:eastAsia="Cambria" w:hAnsi="Cambria"/>
          <w:color w:val="000000"/>
          <w:sz w:val="23"/>
          <w:szCs w:val="23"/>
        </w:rPr>
        <w:t xml:space="preserve"> La adaptación enfatiza los principios cooperativos de participación económica y gestión democrática propios de este modelo organizativo.</w:t>
      </w:r>
    </w:p>
    <w:p>
      <w:pPr>
        <w:pStyle w:val="ListParagraph"/>
        <w:numPr>
          <w:ilvl w:val="0"/>
          <w:numId w:val="1"/>
        </w:numPr>
        <w:spacing w:after="80"/>
        <w:jc w:val="both"/>
      </w:pPr>
      <w:r>
        <w:rPr>
          <w:rFonts w:ascii="Cambria" w:cs="Cambria" w:eastAsia="Cambria" w:hAnsi="Cambria"/>
          <w:b/>
          <w:bCs/>
          <w:color w:val="000000"/>
          <w:sz w:val="23"/>
          <w:szCs w:val="23"/>
        </w:rPr>
        <w:t xml:space="preserve">Redes territoriales.</w:t>
      </w:r>
      <w:r>
        <w:rPr>
          <w:rFonts w:ascii="Cambria" w:cs="Cambria" w:eastAsia="Cambria" w:hAnsi="Cambria"/>
          <w:color w:val="000000"/>
          <w:sz w:val="23"/>
          <w:szCs w:val="23"/>
        </w:rPr>
        <w:t xml:space="preserve"> La adaptación enfatiza la articulación entre múltiples actores con intereses distintos, en función de un propósito territorial compartido.</w:t>
      </w:r>
    </w:p>
    <w:p>
      <w:pPr>
        <w:pStyle w:val="ListParagraph"/>
        <w:numPr>
          <w:ilvl w:val="0"/>
          <w:numId w:val="1"/>
        </w:numPr>
        <w:spacing w:after="80"/>
        <w:jc w:val="both"/>
      </w:pPr>
      <w:r>
        <w:rPr>
          <w:rFonts w:ascii="Cambria" w:cs="Cambria" w:eastAsia="Cambria" w:hAnsi="Cambria"/>
          <w:b/>
          <w:bCs/>
          <w:color w:val="000000"/>
          <w:sz w:val="23"/>
          <w:szCs w:val="23"/>
        </w:rPr>
        <w:t xml:space="preserve">Instituciones educativas.</w:t>
      </w:r>
      <w:r>
        <w:rPr>
          <w:rFonts w:ascii="Cambria" w:cs="Cambria" w:eastAsia="Cambria" w:hAnsi="Cambria"/>
          <w:color w:val="000000"/>
          <w:sz w:val="23"/>
          <w:szCs w:val="23"/>
        </w:rPr>
        <w:t xml:space="preserve"> La adaptación enfatiza los ciclos académicos y la formación de comunidades de aprendizaje.</w:t>
      </w:r>
    </w:p>
    <w:p>
      <w:pPr>
        <w:pStyle w:val="ListParagraph"/>
        <w:numPr>
          <w:ilvl w:val="0"/>
          <w:numId w:val="1"/>
        </w:numPr>
        <w:spacing w:after="80"/>
        <w:jc w:val="both"/>
      </w:pPr>
      <w:r>
        <w:rPr>
          <w:rFonts w:ascii="Cambria" w:cs="Cambria" w:eastAsia="Cambria" w:hAnsi="Cambria"/>
          <w:b/>
          <w:bCs/>
          <w:color w:val="000000"/>
          <w:sz w:val="23"/>
          <w:szCs w:val="23"/>
        </w:rPr>
        <w:t xml:space="preserve">Organismos internacionales.</w:t>
      </w:r>
      <w:r>
        <w:rPr>
          <w:rFonts w:ascii="Cambria" w:cs="Cambria" w:eastAsia="Cambria" w:hAnsi="Cambria"/>
          <w:color w:val="000000"/>
          <w:sz w:val="23"/>
          <w:szCs w:val="23"/>
        </w:rPr>
        <w:t xml:space="preserve"> La adaptación enfatiza los marcos de resultados propios de la cooperación internacional y los estándares de reporte exigidos.</w:t>
      </w:r>
    </w:p>
    <w:p>
      <w:pPr>
        <w:pStyle w:val="ListParagraph"/>
        <w:numPr>
          <w:ilvl w:val="0"/>
          <w:numId w:val="1"/>
        </w:numPr>
        <w:spacing w:after="80"/>
        <w:jc w:val="both"/>
      </w:pPr>
      <w:r>
        <w:rPr>
          <w:rFonts w:ascii="Cambria" w:cs="Cambria" w:eastAsia="Cambria" w:hAnsi="Cambria"/>
          <w:b/>
          <w:bCs/>
          <w:color w:val="000000"/>
          <w:sz w:val="23"/>
          <w:szCs w:val="23"/>
        </w:rPr>
        <w:t xml:space="preserve">Procesos comunitarios.</w:t>
      </w:r>
      <w:r>
        <w:rPr>
          <w:rFonts w:ascii="Cambria" w:cs="Cambria" w:eastAsia="Cambria" w:hAnsi="Cambria"/>
          <w:color w:val="000000"/>
          <w:sz w:val="23"/>
          <w:szCs w:val="23"/>
        </w:rPr>
        <w:t xml:space="preserve"> La adaptación enfatiza la construcción de confianza, la participación amplia y los tiempos propios de la deliberación comunitaria.</w:t>
      </w:r>
    </w:p>
    <w:p>
      <w:pPr>
        <w:pStyle w:val="ListParagraph"/>
        <w:numPr>
          <w:ilvl w:val="0"/>
          <w:numId w:val="1"/>
        </w:numPr>
        <w:spacing w:after="80"/>
        <w:jc w:val="both"/>
      </w:pPr>
      <w:r>
        <w:rPr>
          <w:rFonts w:ascii="Cambria" w:cs="Cambria" w:eastAsia="Cambria" w:hAnsi="Cambria"/>
          <w:b/>
          <w:bCs/>
          <w:color w:val="000000"/>
          <w:sz w:val="23"/>
          <w:szCs w:val="23"/>
        </w:rPr>
        <w:t xml:space="preserve">Emprendimientos.</w:t>
      </w:r>
      <w:r>
        <w:rPr>
          <w:rFonts w:ascii="Cambria" w:cs="Cambria" w:eastAsia="Cambria" w:hAnsi="Cambria"/>
          <w:color w:val="000000"/>
          <w:sz w:val="23"/>
          <w:szCs w:val="23"/>
        </w:rPr>
        <w:t xml:space="preserve"> La adaptación enfatiza la validación temprana, la iteración rápida y la gestión de la incertidumbre propia de una organización en formación.</w:t>
      </w:r>
    </w:p>
    <w:p>
      <w:pPr>
        <w:spacing w:after="160" w:line="300"/>
        <w:jc w:val="both"/>
      </w:pPr>
      <w:r>
        <w:rPr>
          <w:rFonts w:ascii="Cambria" w:cs="Cambria" w:eastAsia="Cambria" w:hAnsi="Cambria"/>
          <w:color w:val="000000"/>
          <w:sz w:val="24"/>
          <w:szCs w:val="24"/>
        </w:rPr>
        <w:t xml:space="preserve">En todos los casos, las siete etapas del Ciclo Metodológico ODYRA permanecen inalteradas. Lo que cambia es la profundidad, el ritmo y las herramientas específicas que se emplean en cada una.</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GOBERNANZA METODOLÓGICA</w:t>
      </w:r>
    </w:p>
    <w:p>
      <w:pPr>
        <w:spacing w:after="160" w:line="300"/>
        <w:jc w:val="both"/>
      </w:pPr>
      <w:r>
        <w:rPr>
          <w:rFonts w:ascii="Cambria" w:cs="Cambria" w:eastAsia="Cambria" w:hAnsi="Cambria"/>
          <w:color w:val="000000"/>
          <w:sz w:val="24"/>
          <w:szCs w:val="24"/>
        </w:rPr>
        <w:t xml:space="preserve">El Marco Metodológico ODYRA no es un documento estático. Su evolución sigue reglas institucionales explícitas, que garantizan que los cambios fortalezcan el Sistema en lugar de fragmentarlo.</w:t>
      </w:r>
    </w:p>
    <w:p>
      <w:pPr>
        <w:pStyle w:val="ListParagraph"/>
        <w:numPr>
          <w:ilvl w:val="0"/>
          <w:numId w:val="1"/>
        </w:numPr>
        <w:spacing w:after="80"/>
        <w:jc w:val="both"/>
      </w:pPr>
      <w:r>
        <w:rPr>
          <w:rFonts w:ascii="Cambria" w:cs="Cambria" w:eastAsia="Cambria" w:hAnsi="Cambria"/>
          <w:b/>
          <w:bCs/>
          <w:color w:val="000000"/>
          <w:sz w:val="23"/>
          <w:szCs w:val="23"/>
        </w:rPr>
        <w:t xml:space="preserve">Control de versiones.</w:t>
      </w:r>
      <w:r>
        <w:rPr>
          <w:rFonts w:ascii="Cambria" w:cs="Cambria" w:eastAsia="Cambria" w:hAnsi="Cambria"/>
          <w:color w:val="000000"/>
          <w:sz w:val="23"/>
          <w:szCs w:val="23"/>
        </w:rPr>
        <w:t xml:space="preserve"> Toda modificación sustantiva al Marco genera una nueva versión numerada, conservando el historial de versiones anteriores.</w:t>
      </w:r>
    </w:p>
    <w:p>
      <w:pPr>
        <w:pStyle w:val="ListParagraph"/>
        <w:numPr>
          <w:ilvl w:val="0"/>
          <w:numId w:val="1"/>
        </w:numPr>
        <w:spacing w:after="80"/>
        <w:jc w:val="both"/>
      </w:pPr>
      <w:r>
        <w:rPr>
          <w:rFonts w:ascii="Cambria" w:cs="Cambria" w:eastAsia="Cambria" w:hAnsi="Cambria"/>
          <w:b/>
          <w:bCs/>
          <w:color w:val="000000"/>
          <w:sz w:val="23"/>
          <w:szCs w:val="23"/>
        </w:rPr>
        <w:t xml:space="preserve">Comité metodológico.</w:t>
      </w:r>
      <w:r>
        <w:rPr>
          <w:rFonts w:ascii="Cambria" w:cs="Cambria" w:eastAsia="Cambria" w:hAnsi="Cambria"/>
          <w:color w:val="000000"/>
          <w:sz w:val="23"/>
          <w:szCs w:val="23"/>
        </w:rPr>
        <w:t xml:space="preserve"> Un comité es responsable de evaluar y aprobar cualquier cambio propuesto al Marco, verificando su coherencia con los principios del Sistema.</w:t>
      </w:r>
    </w:p>
    <w:p>
      <w:pPr>
        <w:pStyle w:val="ListParagraph"/>
        <w:numPr>
          <w:ilvl w:val="0"/>
          <w:numId w:val="1"/>
        </w:numPr>
        <w:spacing w:after="80"/>
        <w:jc w:val="both"/>
      </w:pPr>
      <w:r>
        <w:rPr>
          <w:rFonts w:ascii="Cambria" w:cs="Cambria" w:eastAsia="Cambria" w:hAnsi="Cambria"/>
          <w:b/>
          <w:bCs/>
          <w:color w:val="000000"/>
          <w:sz w:val="23"/>
          <w:szCs w:val="23"/>
        </w:rPr>
        <w:t xml:space="preserve">Incorporación de nuevas metodologías.</w:t>
      </w:r>
      <w:r>
        <w:rPr>
          <w:rFonts w:ascii="Cambria" w:cs="Cambria" w:eastAsia="Cambria" w:hAnsi="Cambria"/>
          <w:color w:val="000000"/>
          <w:sz w:val="23"/>
          <w:szCs w:val="23"/>
        </w:rPr>
        <w:t xml:space="preserve"> Toda metodología externa que se proponga integrar deberá justificar su aporte específico y su compatibilidad con los principios establecidos en la Parte I, y deberá experimentarse previamente en el LAB ODYRA, conforme al Principio de Puerta Única de Innovación establecido en el Laboratorio de Innovación, Consultoría e Inteligencia Aplicada.</w:t>
      </w:r>
    </w:p>
    <w:p>
      <w:pPr>
        <w:pStyle w:val="ListParagraph"/>
        <w:numPr>
          <w:ilvl w:val="0"/>
          <w:numId w:val="1"/>
        </w:numPr>
        <w:spacing w:after="80"/>
        <w:jc w:val="both"/>
      </w:pPr>
      <w:r>
        <w:rPr>
          <w:rFonts w:ascii="Cambria" w:cs="Cambria" w:eastAsia="Cambria" w:hAnsi="Cambria"/>
          <w:b/>
          <w:bCs/>
          <w:color w:val="000000"/>
          <w:sz w:val="23"/>
          <w:szCs w:val="23"/>
        </w:rPr>
        <w:t xml:space="preserve">Actualización de herramientas.</w:t>
      </w:r>
      <w:r>
        <w:rPr>
          <w:rFonts w:ascii="Cambria" w:cs="Cambria" w:eastAsia="Cambria" w:hAnsi="Cambria"/>
          <w:color w:val="000000"/>
          <w:sz w:val="23"/>
          <w:szCs w:val="23"/>
        </w:rPr>
        <w:t xml:space="preserve"> Los instrumentos descritos en la Parte VI se revisan y actualizan de manera periódica, incorporando los aprendizajes generados por su uso y los desarrollos validados por el LAB ODYRA.</w:t>
      </w:r>
    </w:p>
    <w:p>
      <w:pPr>
        <w:pStyle w:val="ListParagraph"/>
        <w:numPr>
          <w:ilvl w:val="0"/>
          <w:numId w:val="1"/>
        </w:numPr>
        <w:spacing w:after="80"/>
        <w:jc w:val="both"/>
      </w:pPr>
      <w:r>
        <w:rPr>
          <w:rFonts w:ascii="Cambria" w:cs="Cambria" w:eastAsia="Cambria" w:hAnsi="Cambria"/>
          <w:b/>
          <w:bCs/>
          <w:color w:val="000000"/>
          <w:sz w:val="23"/>
          <w:szCs w:val="23"/>
        </w:rPr>
        <w:t xml:space="preserve">Validación de buenas prácticas.</w:t>
      </w:r>
      <w:r>
        <w:rPr>
          <w:rFonts w:ascii="Cambria" w:cs="Cambria" w:eastAsia="Cambria" w:hAnsi="Cambria"/>
          <w:color w:val="000000"/>
          <w:sz w:val="23"/>
          <w:szCs w:val="23"/>
        </w:rPr>
        <w:t xml:space="preserve"> Las prácticas exitosas documentadas en distintas intervenciones podrán proponerse como nuevos instrumentos oficiales, siguiendo el proceso de validación del LAB ODYRA correspondiente.</w:t>
      </w:r>
    </w:p>
    <w:p>
      <w:pPr>
        <w:pStyle w:val="ListParagraph"/>
        <w:numPr>
          <w:ilvl w:val="0"/>
          <w:numId w:val="1"/>
        </w:numPr>
        <w:spacing w:after="80"/>
        <w:jc w:val="both"/>
      </w:pPr>
      <w:r>
        <w:rPr>
          <w:rFonts w:ascii="Cambria" w:cs="Cambria" w:eastAsia="Cambria" w:hAnsi="Cambria"/>
          <w:b/>
          <w:bCs/>
          <w:color w:val="000000"/>
          <w:sz w:val="23"/>
          <w:szCs w:val="23"/>
        </w:rPr>
        <w:t xml:space="preserve">Integración con el Canon Intelectual.</w:t>
      </w:r>
      <w:r>
        <w:rPr>
          <w:rFonts w:ascii="Cambria" w:cs="Cambria" w:eastAsia="Cambria" w:hAnsi="Cambria"/>
          <w:color w:val="000000"/>
          <w:sz w:val="23"/>
          <w:szCs w:val="23"/>
        </w:rPr>
        <w:t xml:space="preserve"> Ninguna disposición de este Marco podrá contradecir los principios, postulados o compromisos establecidos en el Canon Intelectual ODYRA.</w:t>
      </w:r>
    </w:p>
    <w:p>
      <w:pPr>
        <w:pStyle w:val="ListParagraph"/>
        <w:numPr>
          <w:ilvl w:val="0"/>
          <w:numId w:val="1"/>
        </w:numPr>
        <w:spacing w:after="80"/>
        <w:jc w:val="both"/>
      </w:pPr>
      <w:r>
        <w:rPr>
          <w:rFonts w:ascii="Cambria" w:cs="Cambria" w:eastAsia="Cambria" w:hAnsi="Cambria"/>
          <w:b/>
          <w:bCs/>
          <w:color w:val="000000"/>
          <w:sz w:val="23"/>
          <w:szCs w:val="23"/>
        </w:rPr>
        <w:t xml:space="preserve">Relación con la Arquitectura del Conocimiento.</w:t>
      </w:r>
      <w:r>
        <w:rPr>
          <w:rFonts w:ascii="Cambria" w:cs="Cambria" w:eastAsia="Cambria" w:hAnsi="Cambria"/>
          <w:color w:val="000000"/>
          <w:sz w:val="23"/>
          <w:szCs w:val="23"/>
        </w:rPr>
        <w:t xml:space="preserve"> Toda actualización metodológica deberá registrarse conforme a los mecanismos de gobernanza del conocimiento establecidos en la Arquitectura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Procedimiento de revisión permanente.</w:t>
      </w:r>
      <w:r>
        <w:rPr>
          <w:rFonts w:ascii="Cambria" w:cs="Cambria" w:eastAsia="Cambria" w:hAnsi="Cambria"/>
          <w:color w:val="000000"/>
          <w:sz w:val="23"/>
          <w:szCs w:val="23"/>
        </w:rPr>
        <w:t xml:space="preserve"> El Marco Metodológico se somete a revisión periódica, incorporando la evidencia generada por las intervenciones realizadas y las investigaciones desarrolladas dentro del Sistema.</w:t>
      </w:r>
    </w:p>
    <w:p>
      <w:pPr>
        <w:spacing w:after="160" w:line="300"/>
        <w:jc w:val="both"/>
      </w:pPr>
      <w:r>
        <w:rPr>
          <w:rFonts w:ascii="Cambria" w:cs="Cambria" w:eastAsia="Cambria" w:hAnsi="Cambria"/>
          <w:color w:val="000000"/>
          <w:sz w:val="24"/>
          <w:szCs w:val="24"/>
        </w:rPr>
        <w:t xml:space="preserve">Esta gobernanza asegura que el Marco Metodológico evolucione con la misma disciplina que exige a quienes lo aplican.</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pStyle w:val="Heading2"/>
        <w:spacing w:after="120" w:before="260"/>
      </w:pPr>
      <w:r>
        <w:rPr>
          <w:rFonts w:ascii="Cambria" w:cs="Cambria" w:eastAsia="Cambria" w:hAnsi="Cambria"/>
          <w:b/>
          <w:bCs/>
          <w:color w:val="1E2761"/>
          <w:sz w:val="26"/>
          <w:szCs w:val="26"/>
        </w:rPr>
        <w:t xml:space="preserve">La metodología como inteligencia en acción</w:t>
      </w:r>
    </w:p>
    <w:p>
      <w:pPr>
        <w:spacing w:after="160" w:line="300"/>
        <w:jc w:val="both"/>
      </w:pPr>
      <w:r>
        <w:rPr>
          <w:rFonts w:ascii="Cambria" w:cs="Cambria" w:eastAsia="Cambria" w:hAnsi="Cambria"/>
          <w:color w:val="000000"/>
          <w:sz w:val="24"/>
          <w:szCs w:val="24"/>
        </w:rPr>
        <w:t xml:space="preserve">Una metodología no es un conjunto de procedimientos aislados. Es una forma organizada de pensar y actuar. El Marco Metodológico ODYRA representa el puente entre los principios de la Escuela de Pensamiento y la transformación efectiva de organizaciones, proyectos y territorios.</w:t>
      </w:r>
    </w:p>
    <w:p>
      <w:pPr>
        <w:spacing w:after="160" w:line="300"/>
        <w:jc w:val="both"/>
      </w:pPr>
      <w:r>
        <w:rPr>
          <w:rFonts w:ascii="Cambria" w:cs="Cambria" w:eastAsia="Cambria" w:hAnsi="Cambria"/>
          <w:color w:val="000000"/>
          <w:sz w:val="24"/>
          <w:szCs w:val="24"/>
        </w:rPr>
        <w:t xml:space="preserve">Su propósito no es estandarizar la creatividad del consultor, sino ofrecerle un lenguaje común, una estructura coherente y una guía para que el conocimiento, las metodologías y la inteligencia artificial converjan al servicio de decisiones más inteligentes y de un desarrollo sostenible. Cada intervención que se realice conforme a este Marco no solo aplicará un método: pondrá en acción la inteligencia que toda la arquitectura del Sistema ODYRA existe para construir.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MARCO METODOLÓGICO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2026-07-22T22:26:20.206Z</dcterms:created>
  <dcterms:modified xsi:type="dcterms:W3CDTF">2026-07-22T22:26:20.206Z</dcterms:modified>
</cp:coreProperties>
</file>

<file path=docProps/custom.xml><?xml version="1.0" encoding="utf-8"?>
<Properties xmlns="http://schemas.openxmlformats.org/officeDocument/2006/custom-properties" xmlns:vt="http://schemas.openxmlformats.org/officeDocument/2006/docPropsVTypes"/>
</file>