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2761" w:sz="6" w:space="4"/>
        </w:pBdr>
        <w:spacing w:after="240" w:before="60"/>
      </w:pPr>
      <w:r>
        <w:rPr>
          <w:rFonts w:ascii="Cambria" w:cs="Cambria" w:eastAsia="Cambria" w:hAnsi="Cambria"/>
          <w:b/>
          <w:bCs/>
          <w:color w:val="1E2761"/>
          <w:sz w:val="28"/>
          <w:szCs w:val="28"/>
        </w:rPr>
        <w:t xml:space="preserve">BIBLIOTECA OFICIAL DE CASOS DE ESTUDIO ODYRA</w:t>
      </w:r>
    </w:p>
    <w:p>
      <w:pPr>
        <w:spacing w:after="120" w:before="40"/>
        <w:jc w:val="center"/>
      </w:pPr>
      <w:r>
        <w:rPr>
          <w:rFonts w:ascii="Cambria" w:cs="Cambria" w:eastAsia="Cambria" w:hAnsi="Cambria"/>
          <w:i/>
          <w:iCs/>
          <w:color w:val="6B7280"/>
          <w:sz w:val="22"/>
          <w:szCs w:val="22"/>
        </w:rPr>
        <w:t xml:space="preserve">Aprendizajes para la Transformación Estratégica de Organizaciones y Territorios</w:t>
      </w:r>
    </w:p>
    <w:p>
      <w:pPr>
        <w:spacing w:after="120" w:before="40"/>
        <w:jc w:val="center"/>
      </w:pPr>
      <w:r>
        <w:rPr>
          <w:rFonts w:ascii="Cambria" w:cs="Cambria" w:eastAsia="Cambria" w:hAnsi="Cambria"/>
          <w:i/>
          <w:iCs/>
          <w:color w:val="6B7280"/>
          <w:sz w:val="22"/>
          <w:szCs w:val="22"/>
        </w:rPr>
        <w:t xml:space="preserve">Versión 1.0</w:t>
      </w:r>
    </w:p>
    <w:p>
      <w:pPr>
        <w:pStyle w:val="Heading1"/>
        <w:pBdr>
          <w:bottom w:val="single" w:color="1E2761" w:sz="6" w:space="4"/>
        </w:pBdr>
        <w:spacing w:after="240" w:before="60"/>
      </w:pPr>
      <w:r>
        <w:rPr>
          <w:rFonts w:ascii="Cambria" w:cs="Cambria" w:eastAsia="Cambria" w:hAnsi="Cambria"/>
          <w:b/>
          <w:bCs/>
          <w:color w:val="1E2761"/>
          <w:sz w:val="28"/>
          <w:szCs w:val="28"/>
        </w:rPr>
        <w:t xml:space="preserve">PRÓLOGO</w:t>
      </w:r>
    </w:p>
    <w:p>
      <w:pPr>
        <w:pStyle w:val="Heading2"/>
        <w:spacing w:after="120" w:before="260"/>
      </w:pPr>
      <w:r>
        <w:rPr>
          <w:rFonts w:ascii="Cambria" w:cs="Cambria" w:eastAsia="Cambria" w:hAnsi="Cambria"/>
          <w:b/>
          <w:bCs/>
          <w:color w:val="1E2761"/>
          <w:sz w:val="26"/>
          <w:szCs w:val="26"/>
        </w:rPr>
        <w:t xml:space="preserve">La experiencia como fuente de conocimiento</w:t>
      </w:r>
    </w:p>
    <w:p>
      <w:pPr>
        <w:spacing w:after="160" w:line="300"/>
        <w:jc w:val="both"/>
      </w:pPr>
      <w:r>
        <w:rPr>
          <w:rFonts w:ascii="Cambria" w:cs="Cambria" w:eastAsia="Cambria" w:hAnsi="Cambria"/>
          <w:color w:val="000000"/>
          <w:sz w:val="24"/>
          <w:szCs w:val="24"/>
        </w:rPr>
        <w:t xml:space="preserve">Toda metodología alcanza su verdadera madurez cuando demuestra su capacidad para transformar la realidad. Los principios, los modelos y los marcos conceptuales proporcionan dirección; sin embargo, es en la práctica donde esos elementos se validan, evolucionan y adquieren significado. Por ello, el Sistema ODYRA reconoce los casos de estudio como una de sus principales fuentes de generación de conocimiento aplicado.</w:t>
      </w:r>
    </w:p>
    <w:p>
      <w:pPr>
        <w:spacing w:after="160" w:line="300"/>
        <w:jc w:val="both"/>
      </w:pPr>
      <w:r>
        <w:rPr>
          <w:rFonts w:ascii="Cambria" w:cs="Cambria" w:eastAsia="Cambria" w:hAnsi="Cambria"/>
          <w:color w:val="000000"/>
          <w:sz w:val="24"/>
          <w:szCs w:val="24"/>
        </w:rPr>
        <w:t xml:space="preserve">Esta Biblioteca Oficial no es una colección de historias de éxito ni un repositorio de experiencias aisladas. Es un sistema de aprendizaje que documenta procesos reales de transformación, analiza decisiones, identifica factores críticos y convierte la experiencia en conocimiento transferible. Cada caso representa una oportunidad para comprender cómo los principios del Método ODYRA se materializan en organizaciones, proyectos, territorios y comunidades.</w:t>
      </w:r>
    </w:p>
    <w:p>
      <w:pPr>
        <w:spacing w:after="160" w:line="300"/>
        <w:jc w:val="both"/>
      </w:pPr>
      <w:r>
        <w:rPr>
          <w:rFonts w:ascii="Cambria" w:cs="Cambria" w:eastAsia="Cambria" w:hAnsi="Cambria"/>
          <w:color w:val="000000"/>
          <w:sz w:val="24"/>
          <w:szCs w:val="24"/>
        </w:rPr>
        <w:t xml:space="preserve">Los casos de estudio cumplen una doble función: fortalecen el aprendizaje de los consultores y enriquecen la evolución permanente del Sistema ODYRA. Cada intervención documentada se convierte en evidencia para mejorar modelos, metodologías y herramientas, asegurando que el conocimiento permanezca vivo y conectado con la realidad.</w:t>
      </w:r>
    </w:p>
    <w:p>
      <w:pPr>
        <w:spacing w:after="160" w:line="300"/>
        <w:jc w:val="both"/>
      </w:pPr>
      <w:r>
        <w:rPr>
          <w:rFonts w:ascii="Cambria" w:cs="Cambria" w:eastAsia="Cambria" w:hAnsi="Cambria"/>
          <w:color w:val="000000"/>
          <w:sz w:val="24"/>
          <w:szCs w:val="24"/>
        </w:rPr>
        <w:t xml:space="preserve">Este documento desarrolla, para el conocimiento experimental del Sistema, lo que la Arquitectura del Conocimiento ODYRA establece de manera general: que ninguna idea se considera válida hasta que la experiencia la confirma. La Biblioteca Oficial de Casos ODYRA es, precisamente, el mecanismo mediante el cual esa confirmación ocurre.</w:t>
      </w:r>
    </w:p>
    <w:p>
      <w:pPr>
        <w:pStyle w:val="Heading1"/>
        <w:pageBreakBefore/>
        <w:spacing w:after="60" w:before="200"/>
      </w:pPr>
      <w:r>
        <w:rPr>
          <w:rFonts w:ascii="Cambria" w:cs="Cambria" w:eastAsia="Cambria" w:hAnsi="Cambria"/>
          <w:b/>
          <w:bCs/>
          <w:color w:val="1E2761"/>
          <w:sz w:val="22"/>
          <w:szCs w:val="22"/>
        </w:rPr>
        <w:t xml:space="preserve">PARTE I</w:t>
      </w:r>
    </w:p>
    <w:p>
      <w:pPr>
        <w:pStyle w:val="Heading2"/>
        <w:spacing w:after="120" w:before="260"/>
      </w:pPr>
      <w:r>
        <w:rPr>
          <w:rFonts w:ascii="Cambria" w:cs="Cambria" w:eastAsia="Cambria" w:hAnsi="Cambria"/>
          <w:b/>
          <w:bCs/>
          <w:color w:val="1E2761"/>
          <w:sz w:val="26"/>
          <w:szCs w:val="26"/>
        </w:rPr>
        <w:t xml:space="preserve">FUNDAMENTOS DE LOS CASOS DE ESTUDIO ODYRA</w:t>
      </w:r>
    </w:p>
    <w:p>
      <w:pPr>
        <w:pStyle w:val="Heading3"/>
        <w:spacing w:after="100" w:before="200"/>
      </w:pPr>
      <w:r>
        <w:rPr>
          <w:rFonts w:ascii="Cambria" w:cs="Cambria" w:eastAsia="Cambria" w:hAnsi="Cambria"/>
          <w:b/>
          <w:bCs/>
          <w:color w:val="1E2761"/>
          <w:sz w:val="23"/>
          <w:szCs w:val="23"/>
        </w:rPr>
        <w:t xml:space="preserve">Capítulo 1. El valor del aprendizaje basado en la experiencia</w:t>
      </w:r>
    </w:p>
    <w:p>
      <w:pPr>
        <w:spacing w:after="160" w:line="300"/>
        <w:jc w:val="both"/>
      </w:pPr>
      <w:r>
        <w:rPr>
          <w:rFonts w:ascii="Cambria" w:cs="Cambria" w:eastAsia="Cambria" w:hAnsi="Cambria"/>
          <w:color w:val="000000"/>
          <w:sz w:val="24"/>
          <w:szCs w:val="24"/>
        </w:rPr>
        <w:t xml:space="preserve">El conocimiento aplicado constituye uno de los pilares del Sistema ODYRA. Si bien la investigación aporta fundamentos y las metodologías proporcionan estructura, la experiencia demuestra qué funciona, bajo qué condiciones y por qué.</w:t>
      </w:r>
    </w:p>
    <w:p>
      <w:pPr>
        <w:spacing w:after="160" w:line="300"/>
        <w:jc w:val="both"/>
      </w:pPr>
      <w:r>
        <w:rPr>
          <w:rFonts w:ascii="Cambria" w:cs="Cambria" w:eastAsia="Cambria" w:hAnsi="Cambria"/>
          <w:color w:val="000000"/>
          <w:sz w:val="24"/>
          <w:szCs w:val="24"/>
        </w:rPr>
        <w:t xml:space="preserve">Los casos de estudio permiten transformar una intervención concreta en un recurso de aprendizaje para toda la comunidad. Cada caso documenta no solo los resultados obtenidos, sino también el contexto, las decisiones tomadas, los desafíos enfrentados, los errores cometidos y las lecciones aprendidas. Un caso que solo documenta éxitos empobrece el aprendizaje que puede ofrecer; un caso riguroso documenta también lo que no funcionó y por qué.</w:t>
      </w:r>
    </w:p>
    <w:p>
      <w:pPr>
        <w:spacing w:after="160" w:line="300"/>
        <w:jc w:val="both"/>
      </w:pPr>
      <w:r>
        <w:rPr>
          <w:rFonts w:ascii="Cambria" w:cs="Cambria" w:eastAsia="Cambria" w:hAnsi="Cambria"/>
          <w:color w:val="000000"/>
          <w:sz w:val="24"/>
          <w:szCs w:val="24"/>
        </w:rPr>
        <w:t xml:space="preserve">En ODYRA, un caso de estudio no busca demostrar que una organización alcanzó el éxito. Busca explicar el proceso mediante el cual construyó capacidades para avanzar hacia él. Esta distinción es la misma que orienta al resto del Sistema: el éxito de una intervención no se mide por sus productos, sino por las capacidades que deja instaladas.</w:t>
      </w:r>
    </w:p>
    <w:p>
      <w:pPr>
        <w:pStyle w:val="Heading3"/>
        <w:spacing w:after="100" w:before="200"/>
      </w:pPr>
      <w:r>
        <w:rPr>
          <w:rFonts w:ascii="Cambria" w:cs="Cambria" w:eastAsia="Cambria" w:hAnsi="Cambria"/>
          <w:b/>
          <w:bCs/>
          <w:color w:val="1E2761"/>
          <w:sz w:val="23"/>
          <w:szCs w:val="23"/>
        </w:rPr>
        <w:t xml:space="preserve">Capítulo 2. Principios de los Casos de Estudio ODYRA</w:t>
      </w:r>
    </w:p>
    <w:p>
      <w:pPr>
        <w:spacing w:after="160" w:line="300"/>
        <w:jc w:val="both"/>
      </w:pPr>
      <w:r>
        <w:rPr>
          <w:rFonts w:ascii="Cambria" w:cs="Cambria" w:eastAsia="Cambria" w:hAnsi="Cambria"/>
          <w:color w:val="000000"/>
          <w:sz w:val="24"/>
          <w:szCs w:val="24"/>
        </w:rPr>
        <w:t xml:space="preserve">Todo caso oficial deberá construirse conforme a los siguientes ocho principios:</w:t>
      </w:r>
    </w:p>
    <w:p>
      <w:pPr>
        <w:pStyle w:val="ListParagraph"/>
        <w:numPr>
          <w:ilvl w:val="0"/>
          <w:numId w:val="1"/>
        </w:numPr>
        <w:spacing w:after="80"/>
        <w:jc w:val="both"/>
      </w:pPr>
      <w:r>
        <w:rPr>
          <w:rFonts w:ascii="Cambria" w:cs="Cambria" w:eastAsia="Cambria" w:hAnsi="Cambria"/>
          <w:b/>
          <w:bCs/>
          <w:color w:val="000000"/>
          <w:sz w:val="23"/>
          <w:szCs w:val="23"/>
        </w:rPr>
        <w:t xml:space="preserve">Basado en evidencia verificable.</w:t>
      </w:r>
      <w:r>
        <w:rPr>
          <w:rFonts w:ascii="Cambria" w:cs="Cambria" w:eastAsia="Cambria" w:hAnsi="Cambria"/>
          <w:color w:val="000000"/>
          <w:sz w:val="23"/>
          <w:szCs w:val="23"/>
        </w:rPr>
        <w:t xml:space="preserve"> Ningún caso se construye sobre suposiciones o relatos no documentados; toda afirmación debe poder sustentarse con información verificable.</w:t>
      </w:r>
    </w:p>
    <w:p>
      <w:pPr>
        <w:pStyle w:val="ListParagraph"/>
        <w:numPr>
          <w:ilvl w:val="0"/>
          <w:numId w:val="1"/>
        </w:numPr>
        <w:spacing w:after="80"/>
        <w:jc w:val="both"/>
      </w:pPr>
      <w:r>
        <w:rPr>
          <w:rFonts w:ascii="Cambria" w:cs="Cambria" w:eastAsia="Cambria" w:hAnsi="Cambria"/>
          <w:b/>
          <w:bCs/>
          <w:color w:val="000000"/>
          <w:sz w:val="23"/>
          <w:szCs w:val="23"/>
        </w:rPr>
        <w:t xml:space="preserve">Centrado en el aprendizaje organizacional.</w:t>
      </w:r>
      <w:r>
        <w:rPr>
          <w:rFonts w:ascii="Cambria" w:cs="Cambria" w:eastAsia="Cambria" w:hAnsi="Cambria"/>
          <w:color w:val="000000"/>
          <w:sz w:val="23"/>
          <w:szCs w:val="23"/>
        </w:rPr>
        <w:t xml:space="preserve"> El propósito de un caso no es exhibir al consultor, sino documentar lo que la organización aprendió y desarrolló durante el proceso.</w:t>
      </w:r>
    </w:p>
    <w:p>
      <w:pPr>
        <w:pStyle w:val="ListParagraph"/>
        <w:numPr>
          <w:ilvl w:val="0"/>
          <w:numId w:val="1"/>
        </w:numPr>
        <w:spacing w:after="80"/>
        <w:jc w:val="both"/>
      </w:pPr>
      <w:r>
        <w:rPr>
          <w:rFonts w:ascii="Cambria" w:cs="Cambria" w:eastAsia="Cambria" w:hAnsi="Cambria"/>
          <w:b/>
          <w:bCs/>
          <w:color w:val="000000"/>
          <w:sz w:val="23"/>
          <w:szCs w:val="23"/>
        </w:rPr>
        <w:t xml:space="preserve">Documentado con rigurosidad metodológica.</w:t>
      </w:r>
      <w:r>
        <w:rPr>
          <w:rFonts w:ascii="Cambria" w:cs="Cambria" w:eastAsia="Cambria" w:hAnsi="Cambria"/>
          <w:color w:val="000000"/>
          <w:sz w:val="23"/>
          <w:szCs w:val="23"/>
        </w:rPr>
        <w:t xml:space="preserve"> Todo caso sigue la estructura estándar establecida en la Parte II de este documento, sin omitir ninguno de sus componentes esenciales.</w:t>
      </w:r>
    </w:p>
    <w:p>
      <w:pPr>
        <w:pStyle w:val="ListParagraph"/>
        <w:numPr>
          <w:ilvl w:val="0"/>
          <w:numId w:val="1"/>
        </w:numPr>
        <w:spacing w:after="80"/>
        <w:jc w:val="both"/>
      </w:pPr>
      <w:r>
        <w:rPr>
          <w:rFonts w:ascii="Cambria" w:cs="Cambria" w:eastAsia="Cambria" w:hAnsi="Cambria"/>
          <w:b/>
          <w:bCs/>
          <w:color w:val="000000"/>
          <w:sz w:val="23"/>
          <w:szCs w:val="23"/>
        </w:rPr>
        <w:t xml:space="preserve">Contextualizado según la realidad de la organización.</w:t>
      </w:r>
      <w:r>
        <w:rPr>
          <w:rFonts w:ascii="Cambria" w:cs="Cambria" w:eastAsia="Cambria" w:hAnsi="Cambria"/>
          <w:color w:val="000000"/>
          <w:sz w:val="23"/>
          <w:szCs w:val="23"/>
        </w:rPr>
        <w:t xml:space="preserve"> Ningún caso se presenta como una fórmula universal; siempre se documentan las condiciones específicas que hicieron posible un resultado.</w:t>
      </w:r>
    </w:p>
    <w:p>
      <w:pPr>
        <w:pStyle w:val="ListParagraph"/>
        <w:numPr>
          <w:ilvl w:val="0"/>
          <w:numId w:val="1"/>
        </w:numPr>
        <w:spacing w:after="80"/>
        <w:jc w:val="both"/>
      </w:pPr>
      <w:r>
        <w:rPr>
          <w:rFonts w:ascii="Cambria" w:cs="Cambria" w:eastAsia="Cambria" w:hAnsi="Cambria"/>
          <w:b/>
          <w:bCs/>
          <w:color w:val="000000"/>
          <w:sz w:val="23"/>
          <w:szCs w:val="23"/>
        </w:rPr>
        <w:t xml:space="preserve">Orientado a la construcción de capacidades.</w:t>
      </w:r>
      <w:r>
        <w:rPr>
          <w:rFonts w:ascii="Cambria" w:cs="Cambria" w:eastAsia="Cambria" w:hAnsi="Cambria"/>
          <w:color w:val="000000"/>
          <w:sz w:val="23"/>
          <w:szCs w:val="23"/>
        </w:rPr>
        <w:t xml:space="preserve"> Un caso demuestra su valor cuando explica qué capacidad quedó instalada en la organización, no solo qué producto se entregó.</w:t>
      </w:r>
    </w:p>
    <w:p>
      <w:pPr>
        <w:pStyle w:val="ListParagraph"/>
        <w:numPr>
          <w:ilvl w:val="0"/>
          <w:numId w:val="1"/>
        </w:numPr>
        <w:spacing w:after="80"/>
        <w:jc w:val="both"/>
      </w:pPr>
      <w:r>
        <w:rPr>
          <w:rFonts w:ascii="Cambria" w:cs="Cambria" w:eastAsia="Cambria" w:hAnsi="Cambria"/>
          <w:b/>
          <w:bCs/>
          <w:color w:val="000000"/>
          <w:sz w:val="23"/>
          <w:szCs w:val="23"/>
        </w:rPr>
        <w:t xml:space="preserve">Respetuoso de la confidencialidad y la ética profesional.</w:t>
      </w:r>
      <w:r>
        <w:rPr>
          <w:rFonts w:ascii="Cambria" w:cs="Cambria" w:eastAsia="Cambria" w:hAnsi="Cambria"/>
          <w:color w:val="000000"/>
          <w:sz w:val="23"/>
          <w:szCs w:val="23"/>
        </w:rPr>
        <w:t xml:space="preserve"> Ningún caso se publica sin el consentimiento de la organización involucrada, conforme a la Parte VIII de este documento.</w:t>
      </w:r>
    </w:p>
    <w:p>
      <w:pPr>
        <w:pStyle w:val="ListParagraph"/>
        <w:numPr>
          <w:ilvl w:val="0"/>
          <w:numId w:val="1"/>
        </w:numPr>
        <w:spacing w:after="80"/>
        <w:jc w:val="both"/>
      </w:pPr>
      <w:r>
        <w:rPr>
          <w:rFonts w:ascii="Cambria" w:cs="Cambria" w:eastAsia="Cambria" w:hAnsi="Cambria"/>
          <w:b/>
          <w:bCs/>
          <w:color w:val="000000"/>
          <w:sz w:val="23"/>
          <w:szCs w:val="23"/>
        </w:rPr>
        <w:t xml:space="preserve">Elaborado desde una perspectiva de mejora continua.</w:t>
      </w:r>
      <w:r>
        <w:rPr>
          <w:rFonts w:ascii="Cambria" w:cs="Cambria" w:eastAsia="Cambria" w:hAnsi="Cambria"/>
          <w:color w:val="000000"/>
          <w:sz w:val="23"/>
          <w:szCs w:val="23"/>
        </w:rPr>
        <w:t xml:space="preserve"> Un caso documenta también los errores y las dificultades, porque de ellos se extraen los aprendizajes más valiosos para el Sistema.</w:t>
      </w:r>
    </w:p>
    <w:p>
      <w:pPr>
        <w:pStyle w:val="ListParagraph"/>
        <w:numPr>
          <w:ilvl w:val="0"/>
          <w:numId w:val="1"/>
        </w:numPr>
        <w:spacing w:after="80"/>
        <w:jc w:val="both"/>
      </w:pPr>
      <w:r>
        <w:rPr>
          <w:rFonts w:ascii="Cambria" w:cs="Cambria" w:eastAsia="Cambria" w:hAnsi="Cambria"/>
          <w:b/>
          <w:bCs/>
          <w:color w:val="000000"/>
          <w:sz w:val="23"/>
          <w:szCs w:val="23"/>
        </w:rPr>
        <w:t xml:space="preserve">Vinculado con los modelos y principios del Sistema ODYRA.</w:t>
      </w:r>
      <w:r>
        <w:rPr>
          <w:rFonts w:ascii="Cambria" w:cs="Cambria" w:eastAsia="Cambria" w:hAnsi="Cambria"/>
          <w:color w:val="000000"/>
          <w:sz w:val="23"/>
          <w:szCs w:val="23"/>
        </w:rPr>
        <w:t xml:space="preserve"> Todo caso debe explicitar qué modelos, metodologías y herramientas oficiales se aplicaron, y cómo.</w:t>
      </w:r>
    </w:p>
    <w:p>
      <w:pPr>
        <w:pStyle w:val="Heading1"/>
        <w:pageBreakBefore/>
        <w:spacing w:after="60" w:before="200"/>
      </w:pPr>
      <w:r>
        <w:rPr>
          <w:rFonts w:ascii="Cambria" w:cs="Cambria" w:eastAsia="Cambria" w:hAnsi="Cambria"/>
          <w:b/>
          <w:bCs/>
          <w:color w:val="1E2761"/>
          <w:sz w:val="22"/>
          <w:szCs w:val="22"/>
        </w:rPr>
        <w:t xml:space="preserve">PARTE II</w:t>
      </w:r>
    </w:p>
    <w:p>
      <w:pPr>
        <w:pStyle w:val="Heading2"/>
        <w:spacing w:after="120" w:before="260"/>
      </w:pPr>
      <w:r>
        <w:rPr>
          <w:rFonts w:ascii="Cambria" w:cs="Cambria" w:eastAsia="Cambria" w:hAnsi="Cambria"/>
          <w:b/>
          <w:bCs/>
          <w:color w:val="1E2761"/>
          <w:sz w:val="26"/>
          <w:szCs w:val="26"/>
        </w:rPr>
        <w:t xml:space="preserve">METODOLOGÍA OFICIAL PARA LA CONSTRUCCIÓN DE CASOS</w:t>
      </w:r>
    </w:p>
    <w:p>
      <w:pPr>
        <w:pStyle w:val="Heading3"/>
        <w:spacing w:after="100" w:before="200"/>
      </w:pPr>
      <w:r>
        <w:rPr>
          <w:rFonts w:ascii="Cambria" w:cs="Cambria" w:eastAsia="Cambria" w:hAnsi="Cambria"/>
          <w:b/>
          <w:bCs/>
          <w:color w:val="1E2761"/>
          <w:sz w:val="23"/>
          <w:szCs w:val="23"/>
        </w:rPr>
        <w:t xml:space="preserve">Capítulo 3. Estructura estándar de un Caso ODYRA</w:t>
      </w:r>
    </w:p>
    <w:p>
      <w:pPr>
        <w:spacing w:after="160" w:line="300"/>
        <w:jc w:val="both"/>
      </w:pPr>
      <w:r>
        <w:rPr>
          <w:rFonts w:ascii="Cambria" w:cs="Cambria" w:eastAsia="Cambria" w:hAnsi="Cambria"/>
          <w:color w:val="000000"/>
          <w:sz w:val="24"/>
          <w:szCs w:val="24"/>
        </w:rPr>
        <w:t xml:space="preserve">Todo caso oficial deberá documentarse conforme a una misma estructura de diez secciones. Esta estandarización permite que cualquier consultor, investigador o estudiante pueda leer, comparar y aprender de cualquier caso del Banco Oficial, sin importar el sector o el país donde haya ocurrido.</w:t>
      </w:r>
    </w:p>
    <w:p>
      <w:pPr>
        <w:spacing w:after="160" w:line="300"/>
        <w:jc w:val="both"/>
      </w:pPr>
      <w:r>
        <w:rPr>
          <w:rFonts w:ascii="Cambria" w:cs="Cambria" w:eastAsia="Cambria" w:hAnsi="Cambria"/>
          <w:b/>
          <w:bCs/>
          <w:color w:val="000000"/>
          <w:sz w:val="24"/>
          <w:szCs w:val="24"/>
        </w:rPr>
        <w:t xml:space="preserve">1. Información general.</w:t>
      </w:r>
      <w:r>
        <w:rPr>
          <w:rFonts w:ascii="Cambria" w:cs="Cambria" w:eastAsia="Cambria" w:hAnsi="Cambria"/>
          <w:color w:val="000000"/>
          <w:sz w:val="24"/>
          <w:szCs w:val="24"/>
        </w:rPr>
        <w:t xml:space="preserve"> Nombre del caso, organización o territorio, sector, año, equipo consultor, duración y nivel de confidencialidad.</w:t>
      </w:r>
    </w:p>
    <w:p>
      <w:pPr>
        <w:spacing w:after="160" w:line="300"/>
        <w:jc w:val="both"/>
      </w:pPr>
      <w:r>
        <w:rPr>
          <w:rFonts w:ascii="Cambria" w:cs="Cambria" w:eastAsia="Cambria" w:hAnsi="Cambria"/>
          <w:b/>
          <w:bCs/>
          <w:color w:val="000000"/>
          <w:sz w:val="24"/>
          <w:szCs w:val="24"/>
        </w:rPr>
        <w:t xml:space="preserve">2. Contexto.</w:t>
      </w:r>
      <w:r>
        <w:rPr>
          <w:rFonts w:ascii="Cambria" w:cs="Cambria" w:eastAsia="Cambria" w:hAnsi="Cambria"/>
          <w:color w:val="000000"/>
          <w:sz w:val="24"/>
          <w:szCs w:val="24"/>
        </w:rPr>
        <w:t xml:space="preserve"> Descripción del entorno, los antecedentes y la situación inicial de la organización antes de la intervención.</w:t>
      </w:r>
    </w:p>
    <w:p>
      <w:pPr>
        <w:spacing w:after="160" w:line="300"/>
        <w:jc w:val="both"/>
      </w:pPr>
      <w:r>
        <w:rPr>
          <w:rFonts w:ascii="Cambria" w:cs="Cambria" w:eastAsia="Cambria" w:hAnsi="Cambria"/>
          <w:b/>
          <w:bCs/>
          <w:color w:val="000000"/>
          <w:sz w:val="24"/>
          <w:szCs w:val="24"/>
        </w:rPr>
        <w:t xml:space="preserve">3. Desafío estratégico.</w:t>
      </w:r>
      <w:r>
        <w:rPr>
          <w:rFonts w:ascii="Cambria" w:cs="Cambria" w:eastAsia="Cambria" w:hAnsi="Cambria"/>
          <w:color w:val="000000"/>
          <w:sz w:val="24"/>
          <w:szCs w:val="24"/>
        </w:rPr>
        <w:t xml:space="preserve"> El problema, la necesidad o la oportunidad que dio origen a la intervención, formulado con la misma claridad que exige la etapa de Comprender del Ciclo Metodológico ODYRA.</w:t>
      </w:r>
    </w:p>
    <w:p>
      <w:pPr>
        <w:spacing w:after="160" w:line="300"/>
        <w:jc w:val="both"/>
      </w:pPr>
      <w:r>
        <w:rPr>
          <w:rFonts w:ascii="Cambria" w:cs="Cambria" w:eastAsia="Cambria" w:hAnsi="Cambria"/>
          <w:b/>
          <w:bCs/>
          <w:color w:val="000000"/>
          <w:sz w:val="24"/>
          <w:szCs w:val="24"/>
        </w:rPr>
        <w:t xml:space="preserve">4. Diagnóstico.</w:t>
      </w:r>
      <w:r>
        <w:rPr>
          <w:rFonts w:ascii="Cambria" w:cs="Cambria" w:eastAsia="Cambria" w:hAnsi="Cambria"/>
          <w:color w:val="000000"/>
          <w:sz w:val="24"/>
          <w:szCs w:val="24"/>
        </w:rPr>
        <w:t xml:space="preserve"> El análisis desarrollado mediante el Método ODYRA para comprender la realidad inicial de la organización.</w:t>
      </w:r>
    </w:p>
    <w:p>
      <w:pPr>
        <w:spacing w:after="160" w:line="300"/>
        <w:jc w:val="both"/>
      </w:pPr>
      <w:r>
        <w:rPr>
          <w:rFonts w:ascii="Cambria" w:cs="Cambria" w:eastAsia="Cambria" w:hAnsi="Cambria"/>
          <w:b/>
          <w:bCs/>
          <w:color w:val="000000"/>
          <w:sz w:val="24"/>
          <w:szCs w:val="24"/>
        </w:rPr>
        <w:t xml:space="preserve">5. Diseño de la intervención.</w:t>
      </w:r>
      <w:r>
        <w:rPr>
          <w:rFonts w:ascii="Cambria" w:cs="Cambria" w:eastAsia="Cambria" w:hAnsi="Cambria"/>
          <w:color w:val="000000"/>
          <w:sz w:val="24"/>
          <w:szCs w:val="24"/>
        </w:rPr>
        <w:t xml:space="preserve"> Los modelos aplicados, los frameworks utilizados, las herramientas empleadas y, cuando corresponda, la participación específica del Modelo CI–ODYRA en el diseño de la solución.</w:t>
      </w:r>
    </w:p>
    <w:p>
      <w:pPr>
        <w:spacing w:after="160" w:line="300"/>
        <w:jc w:val="both"/>
      </w:pPr>
      <w:r>
        <w:rPr>
          <w:rFonts w:ascii="Cambria" w:cs="Cambria" w:eastAsia="Cambria" w:hAnsi="Cambria"/>
          <w:b/>
          <w:bCs/>
          <w:color w:val="000000"/>
          <w:sz w:val="24"/>
          <w:szCs w:val="24"/>
        </w:rPr>
        <w:t xml:space="preserve">6. Implementación.</w:t>
      </w:r>
      <w:r>
        <w:rPr>
          <w:rFonts w:ascii="Cambria" w:cs="Cambria" w:eastAsia="Cambria" w:hAnsi="Cambria"/>
          <w:color w:val="000000"/>
          <w:sz w:val="24"/>
          <w:szCs w:val="24"/>
        </w:rPr>
        <w:t xml:space="preserve"> Las actividades desarrolladas, la participación de los actores involucrados, las dificultades encontradas y las adaptaciones realizadas sobre la marcha.</w:t>
      </w:r>
    </w:p>
    <w:p>
      <w:pPr>
        <w:spacing w:after="160" w:line="300"/>
        <w:jc w:val="both"/>
      </w:pPr>
      <w:r>
        <w:rPr>
          <w:rFonts w:ascii="Cambria" w:cs="Cambria" w:eastAsia="Cambria" w:hAnsi="Cambria"/>
          <w:b/>
          <w:bCs/>
          <w:color w:val="000000"/>
          <w:sz w:val="24"/>
          <w:szCs w:val="24"/>
        </w:rPr>
        <w:t xml:space="preserve">7. Resultados.</w:t>
      </w:r>
      <w:r>
        <w:rPr>
          <w:rFonts w:ascii="Cambria" w:cs="Cambria" w:eastAsia="Cambria" w:hAnsi="Cambria"/>
          <w:color w:val="000000"/>
          <w:sz w:val="24"/>
          <w:szCs w:val="24"/>
        </w:rPr>
        <w:t xml:space="preserve"> Los resultados tangibles obtenidos, los resultados intangibles, las capacidades desarrolladas y las transformaciones observadas en la organización.</w:t>
      </w:r>
    </w:p>
    <w:p>
      <w:pPr>
        <w:spacing w:after="160" w:line="300"/>
        <w:jc w:val="both"/>
      </w:pPr>
      <w:r>
        <w:rPr>
          <w:rFonts w:ascii="Cambria" w:cs="Cambria" w:eastAsia="Cambria" w:hAnsi="Cambria"/>
          <w:b/>
          <w:bCs/>
          <w:color w:val="000000"/>
          <w:sz w:val="24"/>
          <w:szCs w:val="24"/>
        </w:rPr>
        <w:t xml:space="preserve">8. Lecciones aprendidas.</w:t>
      </w:r>
      <w:r>
        <w:rPr>
          <w:rFonts w:ascii="Cambria" w:cs="Cambria" w:eastAsia="Cambria" w:hAnsi="Cambria"/>
          <w:color w:val="000000"/>
          <w:sz w:val="24"/>
          <w:szCs w:val="24"/>
        </w:rPr>
        <w:t xml:space="preserve"> Los aspectos exitosos del proceso, los errores cometidos, los aprendizajes extraídos y las recomendaciones para intervenciones futuras similares.</w:t>
      </w:r>
    </w:p>
    <w:p>
      <w:pPr>
        <w:spacing w:after="160" w:line="300"/>
        <w:jc w:val="both"/>
      </w:pPr>
      <w:r>
        <w:rPr>
          <w:rFonts w:ascii="Cambria" w:cs="Cambria" w:eastAsia="Cambria" w:hAnsi="Cambria"/>
          <w:b/>
          <w:bCs/>
          <w:color w:val="000000"/>
          <w:sz w:val="24"/>
          <w:szCs w:val="24"/>
        </w:rPr>
        <w:t xml:space="preserve">9. Relación con el Sistema ODYRA.</w:t>
      </w:r>
      <w:r>
        <w:rPr>
          <w:rFonts w:ascii="Cambria" w:cs="Cambria" w:eastAsia="Cambria" w:hAnsi="Cambria"/>
          <w:color w:val="000000"/>
          <w:sz w:val="24"/>
          <w:szCs w:val="24"/>
        </w:rPr>
        <w:t xml:space="preserve"> Los pilares del Método utilizados, los modelos aplicados, las competencias del consultor desarrolladas durante la intervención y el conocimiento generado para el Sistema.</w:t>
      </w:r>
    </w:p>
    <w:p>
      <w:pPr>
        <w:spacing w:after="160" w:line="300"/>
        <w:jc w:val="both"/>
      </w:pPr>
      <w:r>
        <w:rPr>
          <w:rFonts w:ascii="Cambria" w:cs="Cambria" w:eastAsia="Cambria" w:hAnsi="Cambria"/>
          <w:b/>
          <w:bCs/>
          <w:color w:val="000000"/>
          <w:sz w:val="24"/>
          <w:szCs w:val="24"/>
        </w:rPr>
        <w:t xml:space="preserve">10. Potencial de replicabilidad.</w:t>
      </w:r>
      <w:r>
        <w:rPr>
          <w:rFonts w:ascii="Cambria" w:cs="Cambria" w:eastAsia="Cambria" w:hAnsi="Cambria"/>
          <w:color w:val="000000"/>
          <w:sz w:val="24"/>
          <w:szCs w:val="24"/>
        </w:rPr>
        <w:t xml:space="preserve"> Las condiciones necesarias para aplicar el caso, o partes de él, en otros contextos, sectores o territorios.</w:t>
      </w:r>
    </w:p>
    <w:p>
      <w:pPr>
        <w:spacing w:after="160" w:line="300"/>
        <w:jc w:val="both"/>
      </w:pPr>
      <w:r>
        <w:rPr>
          <w:rFonts w:ascii="Cambria" w:cs="Cambria" w:eastAsia="Cambria" w:hAnsi="Cambria"/>
          <w:color w:val="000000"/>
          <w:sz w:val="24"/>
          <w:szCs w:val="24"/>
        </w:rPr>
        <w:t xml:space="preserve">Ningún caso podrá incorporarse al Banco Oficial de Casos, descrito en la Parte V, si omite alguna de estas diez secciones.</w:t>
      </w:r>
    </w:p>
    <w:p>
      <w:pPr>
        <w:pStyle w:val="Heading1"/>
        <w:pageBreakBefore/>
        <w:spacing w:after="60" w:before="200"/>
      </w:pPr>
      <w:r>
        <w:rPr>
          <w:rFonts w:ascii="Cambria" w:cs="Cambria" w:eastAsia="Cambria" w:hAnsi="Cambria"/>
          <w:b/>
          <w:bCs/>
          <w:color w:val="1E2761"/>
          <w:sz w:val="22"/>
          <w:szCs w:val="22"/>
        </w:rPr>
        <w:t xml:space="preserve">PARTE III</w:t>
      </w:r>
    </w:p>
    <w:p>
      <w:pPr>
        <w:pStyle w:val="Heading2"/>
        <w:spacing w:after="120" w:before="260"/>
      </w:pPr>
      <w:r>
        <w:rPr>
          <w:rFonts w:ascii="Cambria" w:cs="Cambria" w:eastAsia="Cambria" w:hAnsi="Cambria"/>
          <w:b/>
          <w:bCs/>
          <w:color w:val="1E2761"/>
          <w:sz w:val="26"/>
          <w:szCs w:val="26"/>
        </w:rPr>
        <w:t xml:space="preserve">TIPOLOGÍA OFICIAL DE CASOS</w:t>
      </w:r>
    </w:p>
    <w:p>
      <w:pPr>
        <w:spacing w:after="160" w:line="300"/>
        <w:jc w:val="both"/>
      </w:pPr>
      <w:r>
        <w:rPr>
          <w:rFonts w:ascii="Cambria" w:cs="Cambria" w:eastAsia="Cambria" w:hAnsi="Cambria"/>
          <w:color w:val="000000"/>
          <w:sz w:val="24"/>
          <w:szCs w:val="24"/>
        </w:rPr>
        <w:t xml:space="preserve">Los casos oficiales del Sistema ODYRA se clasifican en ocho categorías. Esta tipología no es excluyente: un mismo caso puede pertenecer a más de una categoría cuando su naturaleza así lo exija.</w:t>
      </w:r>
    </w:p>
    <w:p>
      <w:pPr>
        <w:pStyle w:val="ListParagraph"/>
        <w:numPr>
          <w:ilvl w:val="0"/>
          <w:numId w:val="1"/>
        </w:numPr>
        <w:spacing w:after="80"/>
        <w:jc w:val="both"/>
      </w:pPr>
      <w:r>
        <w:rPr>
          <w:rFonts w:ascii="Cambria" w:cs="Cambria" w:eastAsia="Cambria" w:hAnsi="Cambria"/>
          <w:b/>
          <w:bCs/>
          <w:color w:val="000000"/>
          <w:sz w:val="23"/>
          <w:szCs w:val="23"/>
        </w:rPr>
        <w:t xml:space="preserve">Casos de Asociatividad.</w:t>
      </w:r>
      <w:r>
        <w:rPr>
          <w:rFonts w:ascii="Cambria" w:cs="Cambria" w:eastAsia="Cambria" w:hAnsi="Cambria"/>
          <w:color w:val="000000"/>
          <w:sz w:val="23"/>
          <w:szCs w:val="23"/>
        </w:rPr>
        <w:t xml:space="preserve"> Documentan procesos de fortalecimiento de asociaciones, cooperativas, redes y organizaciones de base, centrados en la construcción de acuerdos colectivos y gobernanza compartida.</w:t>
      </w:r>
    </w:p>
    <w:p>
      <w:pPr>
        <w:pStyle w:val="ListParagraph"/>
        <w:numPr>
          <w:ilvl w:val="0"/>
          <w:numId w:val="1"/>
        </w:numPr>
        <w:spacing w:after="80"/>
        <w:jc w:val="both"/>
      </w:pPr>
      <w:r>
        <w:rPr>
          <w:rFonts w:ascii="Cambria" w:cs="Cambria" w:eastAsia="Cambria" w:hAnsi="Cambria"/>
          <w:b/>
          <w:bCs/>
          <w:color w:val="000000"/>
          <w:sz w:val="23"/>
          <w:szCs w:val="23"/>
        </w:rPr>
        <w:t xml:space="preserve">Casos de Desarrollo Organizacional.</w:t>
      </w:r>
      <w:r>
        <w:rPr>
          <w:rFonts w:ascii="Cambria" w:cs="Cambria" w:eastAsia="Cambria" w:hAnsi="Cambria"/>
          <w:color w:val="000000"/>
          <w:sz w:val="23"/>
          <w:szCs w:val="23"/>
        </w:rPr>
        <w:t xml:space="preserve"> Documentan procesos de modernización institucional, transformación organizacional, cambio cultural y fortalecimiento de la gobernanza interna.</w:t>
      </w:r>
    </w:p>
    <w:p>
      <w:pPr>
        <w:pStyle w:val="ListParagraph"/>
        <w:numPr>
          <w:ilvl w:val="0"/>
          <w:numId w:val="1"/>
        </w:numPr>
        <w:spacing w:after="80"/>
        <w:jc w:val="both"/>
      </w:pPr>
      <w:r>
        <w:rPr>
          <w:rFonts w:ascii="Cambria" w:cs="Cambria" w:eastAsia="Cambria" w:hAnsi="Cambria"/>
          <w:b/>
          <w:bCs/>
          <w:color w:val="000000"/>
          <w:sz w:val="23"/>
          <w:szCs w:val="23"/>
        </w:rPr>
        <w:t xml:space="preserve">Casos de Planeación Estratégica.</w:t>
      </w:r>
      <w:r>
        <w:rPr>
          <w:rFonts w:ascii="Cambria" w:cs="Cambria" w:eastAsia="Cambria" w:hAnsi="Cambria"/>
          <w:color w:val="000000"/>
          <w:sz w:val="23"/>
          <w:szCs w:val="23"/>
        </w:rPr>
        <w:t xml:space="preserve"> Documentan la formulación de planes estratégicos, ejercicios de prospectiva, diseño de modelos de gestión y procesos de direccionamiento institucional.</w:t>
      </w:r>
    </w:p>
    <w:p>
      <w:pPr>
        <w:pStyle w:val="ListParagraph"/>
        <w:numPr>
          <w:ilvl w:val="0"/>
          <w:numId w:val="1"/>
        </w:numPr>
        <w:spacing w:after="80"/>
        <w:jc w:val="both"/>
      </w:pPr>
      <w:r>
        <w:rPr>
          <w:rFonts w:ascii="Cambria" w:cs="Cambria" w:eastAsia="Cambria" w:hAnsi="Cambria"/>
          <w:b/>
          <w:bCs/>
          <w:color w:val="000000"/>
          <w:sz w:val="23"/>
          <w:szCs w:val="23"/>
        </w:rPr>
        <w:t xml:space="preserve">Casos de Gestión de Proyectos.</w:t>
      </w:r>
      <w:r>
        <w:rPr>
          <w:rFonts w:ascii="Cambria" w:cs="Cambria" w:eastAsia="Cambria" w:hAnsi="Cambria"/>
          <w:color w:val="000000"/>
          <w:sz w:val="23"/>
          <w:szCs w:val="23"/>
        </w:rPr>
        <w:t xml:space="preserve"> Documentan procesos de diseño, formulación, ejecución, seguimiento y evaluación de proyectos, conforme a las metodologías integradas en el Marco Metodológico ODYRA.</w:t>
      </w:r>
    </w:p>
    <w:p>
      <w:pPr>
        <w:pStyle w:val="ListParagraph"/>
        <w:numPr>
          <w:ilvl w:val="0"/>
          <w:numId w:val="1"/>
        </w:numPr>
        <w:spacing w:after="80"/>
        <w:jc w:val="both"/>
      </w:pPr>
      <w:r>
        <w:rPr>
          <w:rFonts w:ascii="Cambria" w:cs="Cambria" w:eastAsia="Cambria" w:hAnsi="Cambria"/>
          <w:b/>
          <w:bCs/>
          <w:color w:val="000000"/>
          <w:sz w:val="23"/>
          <w:szCs w:val="23"/>
        </w:rPr>
        <w:t xml:space="preserve">Casos de Innovación.</w:t>
      </w:r>
      <w:r>
        <w:rPr>
          <w:rFonts w:ascii="Cambria" w:cs="Cambria" w:eastAsia="Cambria" w:hAnsi="Cambria"/>
          <w:color w:val="000000"/>
          <w:sz w:val="23"/>
          <w:szCs w:val="23"/>
        </w:rPr>
        <w:t xml:space="preserve"> Documentan procesos de innovación pública, empresarial, social o territorial, evidenciando cómo una organización incorporó nuevas soluciones a sus desafíos.</w:t>
      </w:r>
    </w:p>
    <w:p>
      <w:pPr>
        <w:pStyle w:val="ListParagraph"/>
        <w:numPr>
          <w:ilvl w:val="0"/>
          <w:numId w:val="1"/>
        </w:numPr>
        <w:spacing w:after="80"/>
        <w:jc w:val="both"/>
      </w:pPr>
      <w:r>
        <w:rPr>
          <w:rFonts w:ascii="Cambria" w:cs="Cambria" w:eastAsia="Cambria" w:hAnsi="Cambria"/>
          <w:b/>
          <w:bCs/>
          <w:color w:val="000000"/>
          <w:sz w:val="23"/>
          <w:szCs w:val="23"/>
        </w:rPr>
        <w:t xml:space="preserve">Casos de Inteligencia Artificial Aplicada.</w:t>
      </w:r>
      <w:r>
        <w:rPr>
          <w:rFonts w:ascii="Cambria" w:cs="Cambria" w:eastAsia="Cambria" w:hAnsi="Cambria"/>
          <w:color w:val="000000"/>
          <w:sz w:val="23"/>
          <w:szCs w:val="23"/>
        </w:rPr>
        <w:t xml:space="preserve"> Documentan el uso del Modelo CI–ODYRA, procesos de automatización, implementación de asistentes inteligentes o aplicaciones de gestión del conocimiento apoyadas en inteligencia artificial.</w:t>
      </w:r>
    </w:p>
    <w:p>
      <w:pPr>
        <w:pStyle w:val="ListParagraph"/>
        <w:numPr>
          <w:ilvl w:val="0"/>
          <w:numId w:val="1"/>
        </w:numPr>
        <w:spacing w:after="80"/>
        <w:jc w:val="both"/>
      </w:pPr>
      <w:r>
        <w:rPr>
          <w:rFonts w:ascii="Cambria" w:cs="Cambria" w:eastAsia="Cambria" w:hAnsi="Cambria"/>
          <w:b/>
          <w:bCs/>
          <w:color w:val="000000"/>
          <w:sz w:val="23"/>
          <w:szCs w:val="23"/>
        </w:rPr>
        <w:t xml:space="preserve">Casos de Desarrollo Territorial.</w:t>
      </w:r>
      <w:r>
        <w:rPr>
          <w:rFonts w:ascii="Cambria" w:cs="Cambria" w:eastAsia="Cambria" w:hAnsi="Cambria"/>
          <w:color w:val="000000"/>
          <w:sz w:val="23"/>
          <w:szCs w:val="23"/>
        </w:rPr>
        <w:t xml:space="preserve"> Documentan procesos de gobernanza territorial, competitividad regional, desarrollo económico local o articulación interinstitucional en un territorio específico.</w:t>
      </w:r>
    </w:p>
    <w:p>
      <w:pPr>
        <w:pStyle w:val="ListParagraph"/>
        <w:numPr>
          <w:ilvl w:val="0"/>
          <w:numId w:val="1"/>
        </w:numPr>
        <w:spacing w:after="80"/>
        <w:jc w:val="both"/>
      </w:pPr>
      <w:r>
        <w:rPr>
          <w:rFonts w:ascii="Cambria" w:cs="Cambria" w:eastAsia="Cambria" w:hAnsi="Cambria"/>
          <w:b/>
          <w:bCs/>
          <w:color w:val="000000"/>
          <w:sz w:val="23"/>
          <w:szCs w:val="23"/>
        </w:rPr>
        <w:t xml:space="preserve">Casos de Gestión del Conocimiento.</w:t>
      </w:r>
      <w:r>
        <w:rPr>
          <w:rFonts w:ascii="Cambria" w:cs="Cambria" w:eastAsia="Cambria" w:hAnsi="Cambria"/>
          <w:color w:val="000000"/>
          <w:sz w:val="23"/>
          <w:szCs w:val="23"/>
        </w:rPr>
        <w:t xml:space="preserve"> Documentan el diseño de arquitecturas de conocimiento, repositorios institucionales, procesos de sistematización o construcción de memoria institucional.</w:t>
      </w:r>
    </w:p>
    <w:p>
      <w:pPr>
        <w:pStyle w:val="Heading1"/>
        <w:pageBreakBefore/>
        <w:spacing w:after="60" w:before="200"/>
      </w:pPr>
      <w:r>
        <w:rPr>
          <w:rFonts w:ascii="Cambria" w:cs="Cambria" w:eastAsia="Cambria" w:hAnsi="Cambria"/>
          <w:b/>
          <w:bCs/>
          <w:color w:val="1E2761"/>
          <w:sz w:val="22"/>
          <w:szCs w:val="22"/>
        </w:rPr>
        <w:t xml:space="preserve">PARTE IV</w:t>
      </w:r>
    </w:p>
    <w:p>
      <w:pPr>
        <w:pStyle w:val="Heading2"/>
        <w:spacing w:after="120" w:before="260"/>
      </w:pPr>
      <w:r>
        <w:rPr>
          <w:rFonts w:ascii="Cambria" w:cs="Cambria" w:eastAsia="Cambria" w:hAnsi="Cambria"/>
          <w:b/>
          <w:bCs/>
          <w:color w:val="1E2761"/>
          <w:sz w:val="26"/>
          <w:szCs w:val="26"/>
        </w:rPr>
        <w:t xml:space="preserve">SISTEMA DE CLASIFICACIÓN</w:t>
      </w:r>
    </w:p>
    <w:p>
      <w:pPr>
        <w:spacing w:after="160" w:line="300"/>
        <w:jc w:val="both"/>
      </w:pPr>
      <w:r>
        <w:rPr>
          <w:rFonts w:ascii="Cambria" w:cs="Cambria" w:eastAsia="Cambria" w:hAnsi="Cambria"/>
          <w:color w:val="000000"/>
          <w:sz w:val="24"/>
          <w:szCs w:val="24"/>
        </w:rPr>
        <w:t xml:space="preserve">Todo caso incorporado al Banco Oficial deberá documentarse mediante una </w:t>
      </w:r>
      <w:r>
        <w:rPr>
          <w:rFonts w:ascii="Cambria" w:cs="Cambria" w:eastAsia="Cambria" w:hAnsi="Cambria"/>
          <w:b/>
          <w:bCs/>
          <w:color w:val="000000"/>
          <w:sz w:val="24"/>
          <w:szCs w:val="24"/>
        </w:rPr>
        <w:t xml:space="preserve">Ficha de Clasificación de Caso (FCC)</w:t>
      </w:r>
      <w:r>
        <w:rPr>
          <w:rFonts w:ascii="Cambria" w:cs="Cambria" w:eastAsia="Cambria" w:hAnsi="Cambria"/>
          <w:color w:val="000000"/>
          <w:sz w:val="24"/>
          <w:szCs w:val="24"/>
        </w:rPr>
        <w:t xml:space="preserve">: un instrumento estandarizado que resume, en diez campos, la identidad de un caso y facilita su búsqueda, comparación y uso pedagógico. La FCC del Caso no debe confundirse con la Ficha Oficial de Modelo (FOM) establecida en el Manual de Modelos ODYRA: la FOM documenta un modelo conceptual: la FCC documenta una experiencia real de aplicación.</w:t>
      </w:r>
    </w:p>
    <w:p>
      <w:pPr>
        <w:spacing w:after="160" w:line="300"/>
        <w:jc w:val="both"/>
      </w:pPr>
      <w:r>
        <w:rPr>
          <w:rFonts w:ascii="Cambria" w:cs="Cambria" w:eastAsia="Cambria" w:hAnsi="Cambria"/>
          <w:color w:val="000000"/>
          <w:sz w:val="24"/>
          <w:szCs w:val="24"/>
        </w:rPr>
        <w:t xml:space="preserve">Toda FCC contiene los siguientes diez campos:</w:t>
      </w:r>
    </w:p>
    <w:p>
      <w:pPr>
        <w:pStyle w:val="ListParagraph"/>
        <w:numPr>
          <w:ilvl w:val="0"/>
          <w:numId w:val="1"/>
        </w:numPr>
        <w:spacing w:after="80"/>
        <w:jc w:val="both"/>
      </w:pPr>
      <w:r>
        <w:rPr>
          <w:rFonts w:ascii="Cambria" w:cs="Cambria" w:eastAsia="Cambria" w:hAnsi="Cambria"/>
          <w:b/>
          <w:bCs/>
          <w:color w:val="000000"/>
          <w:sz w:val="23"/>
          <w:szCs w:val="23"/>
        </w:rPr>
        <w:t xml:space="preserve">Código ODYRA.</w:t>
      </w:r>
      <w:r>
        <w:rPr>
          <w:rFonts w:ascii="Cambria" w:cs="Cambria" w:eastAsia="Cambria" w:hAnsi="Cambria"/>
          <w:color w:val="000000"/>
          <w:sz w:val="23"/>
          <w:szCs w:val="23"/>
        </w:rPr>
        <w:t xml:space="preserve"> Identificador único del caso dentro del Banco Oficial.</w:t>
      </w:r>
    </w:p>
    <w:p>
      <w:pPr>
        <w:pStyle w:val="ListParagraph"/>
        <w:numPr>
          <w:ilvl w:val="0"/>
          <w:numId w:val="1"/>
        </w:numPr>
        <w:spacing w:after="80"/>
        <w:jc w:val="both"/>
      </w:pPr>
      <w:r>
        <w:rPr>
          <w:rFonts w:ascii="Cambria" w:cs="Cambria" w:eastAsia="Cambria" w:hAnsi="Cambria"/>
          <w:b/>
          <w:bCs/>
          <w:color w:val="000000"/>
          <w:sz w:val="23"/>
          <w:szCs w:val="23"/>
        </w:rPr>
        <w:t xml:space="preserve">Línea temática.</w:t>
      </w:r>
      <w:r>
        <w:rPr>
          <w:rFonts w:ascii="Cambria" w:cs="Cambria" w:eastAsia="Cambria" w:hAnsi="Cambria"/>
          <w:color w:val="000000"/>
          <w:sz w:val="23"/>
          <w:szCs w:val="23"/>
        </w:rPr>
        <w:t xml:space="preserve"> La categoría o categorías de la Tipología Oficial descrita en la Parte III a las que pertenece el caso.</w:t>
      </w:r>
    </w:p>
    <w:p>
      <w:pPr>
        <w:pStyle w:val="ListParagraph"/>
        <w:numPr>
          <w:ilvl w:val="0"/>
          <w:numId w:val="1"/>
        </w:numPr>
        <w:spacing w:after="80"/>
        <w:jc w:val="both"/>
      </w:pPr>
      <w:r>
        <w:rPr>
          <w:rFonts w:ascii="Cambria" w:cs="Cambria" w:eastAsia="Cambria" w:hAnsi="Cambria"/>
          <w:b/>
          <w:bCs/>
          <w:color w:val="000000"/>
          <w:sz w:val="23"/>
          <w:szCs w:val="23"/>
        </w:rPr>
        <w:t xml:space="preserve">Nivel de complejidad.</w:t>
      </w:r>
      <w:r>
        <w:rPr>
          <w:rFonts w:ascii="Cambria" w:cs="Cambria" w:eastAsia="Cambria" w:hAnsi="Cambria"/>
          <w:color w:val="000000"/>
          <w:sz w:val="23"/>
          <w:szCs w:val="23"/>
        </w:rPr>
        <w:t xml:space="preserve"> Una valoración de la dificultad técnica y organizacional que representó la intervención.</w:t>
      </w:r>
    </w:p>
    <w:p>
      <w:pPr>
        <w:pStyle w:val="ListParagraph"/>
        <w:numPr>
          <w:ilvl w:val="0"/>
          <w:numId w:val="1"/>
        </w:numPr>
        <w:spacing w:after="80"/>
        <w:jc w:val="both"/>
      </w:pPr>
      <w:r>
        <w:rPr>
          <w:rFonts w:ascii="Cambria" w:cs="Cambria" w:eastAsia="Cambria" w:hAnsi="Cambria"/>
          <w:b/>
          <w:bCs/>
          <w:color w:val="000000"/>
          <w:sz w:val="23"/>
          <w:szCs w:val="23"/>
        </w:rPr>
        <w:t xml:space="preserve">Nivel de innovación.</w:t>
      </w:r>
      <w:r>
        <w:rPr>
          <w:rFonts w:ascii="Cambria" w:cs="Cambria" w:eastAsia="Cambria" w:hAnsi="Cambria"/>
          <w:color w:val="000000"/>
          <w:sz w:val="23"/>
          <w:szCs w:val="23"/>
        </w:rPr>
        <w:t xml:space="preserve"> Una valoración del grado de novedad metodológica o conceptual que aportó el caso.</w:t>
      </w:r>
    </w:p>
    <w:p>
      <w:pPr>
        <w:pStyle w:val="ListParagraph"/>
        <w:numPr>
          <w:ilvl w:val="0"/>
          <w:numId w:val="1"/>
        </w:numPr>
        <w:spacing w:after="80"/>
        <w:jc w:val="both"/>
      </w:pPr>
      <w:r>
        <w:rPr>
          <w:rFonts w:ascii="Cambria" w:cs="Cambria" w:eastAsia="Cambria" w:hAnsi="Cambria"/>
          <w:b/>
          <w:bCs/>
          <w:color w:val="000000"/>
          <w:sz w:val="23"/>
          <w:szCs w:val="23"/>
        </w:rPr>
        <w:t xml:space="preserve">Modelos utilizados.</w:t>
      </w:r>
      <w:r>
        <w:rPr>
          <w:rFonts w:ascii="Cambria" w:cs="Cambria" w:eastAsia="Cambria" w:hAnsi="Cambria"/>
          <w:color w:val="000000"/>
          <w:sz w:val="23"/>
          <w:szCs w:val="23"/>
        </w:rPr>
        <w:t xml:space="preserve"> Los modelos oficiales del Sistema ODYRA aplicados durante la intervención.</w:t>
      </w:r>
    </w:p>
    <w:p>
      <w:pPr>
        <w:pStyle w:val="ListParagraph"/>
        <w:numPr>
          <w:ilvl w:val="0"/>
          <w:numId w:val="1"/>
        </w:numPr>
        <w:spacing w:after="80"/>
        <w:jc w:val="both"/>
      </w:pPr>
      <w:r>
        <w:rPr>
          <w:rFonts w:ascii="Cambria" w:cs="Cambria" w:eastAsia="Cambria" w:hAnsi="Cambria"/>
          <w:b/>
          <w:bCs/>
          <w:color w:val="000000"/>
          <w:sz w:val="23"/>
          <w:szCs w:val="23"/>
        </w:rPr>
        <w:t xml:space="preserve">Frameworks utilizados.</w:t>
      </w:r>
      <w:r>
        <w:rPr>
          <w:rFonts w:ascii="Cambria" w:cs="Cambria" w:eastAsia="Cambria" w:hAnsi="Cambria"/>
          <w:color w:val="000000"/>
          <w:sz w:val="23"/>
          <w:szCs w:val="23"/>
        </w:rPr>
        <w:t xml:space="preserve"> Los frameworks metodológicos empleados en el diseño o la ejecución.</w:t>
      </w:r>
    </w:p>
    <w:p>
      <w:pPr>
        <w:pStyle w:val="ListParagraph"/>
        <w:numPr>
          <w:ilvl w:val="0"/>
          <w:numId w:val="1"/>
        </w:numPr>
        <w:spacing w:after="80"/>
        <w:jc w:val="both"/>
      </w:pPr>
      <w:r>
        <w:rPr>
          <w:rFonts w:ascii="Cambria" w:cs="Cambria" w:eastAsia="Cambria" w:hAnsi="Cambria"/>
          <w:b/>
          <w:bCs/>
          <w:color w:val="000000"/>
          <w:sz w:val="23"/>
          <w:szCs w:val="23"/>
        </w:rPr>
        <w:t xml:space="preserve">Herramientas utilizadas.</w:t>
      </w:r>
      <w:r>
        <w:rPr>
          <w:rFonts w:ascii="Cambria" w:cs="Cambria" w:eastAsia="Cambria" w:hAnsi="Cambria"/>
          <w:color w:val="000000"/>
          <w:sz w:val="23"/>
          <w:szCs w:val="23"/>
        </w:rPr>
        <w:t xml:space="preserve"> Los instrumentos metodológicos oficiales descritos en el Marco Metodológico ODYRA que se aplicaron.</w:t>
      </w:r>
    </w:p>
    <w:p>
      <w:pPr>
        <w:pStyle w:val="ListParagraph"/>
        <w:numPr>
          <w:ilvl w:val="0"/>
          <w:numId w:val="1"/>
        </w:numPr>
        <w:spacing w:after="80"/>
        <w:jc w:val="both"/>
      </w:pPr>
      <w:r>
        <w:rPr>
          <w:rFonts w:ascii="Cambria" w:cs="Cambria" w:eastAsia="Cambria" w:hAnsi="Cambria"/>
          <w:b/>
          <w:bCs/>
          <w:color w:val="000000"/>
          <w:sz w:val="23"/>
          <w:szCs w:val="23"/>
        </w:rPr>
        <w:t xml:space="preserve">Competencias desarrolladas.</w:t>
      </w:r>
      <w:r>
        <w:rPr>
          <w:rFonts w:ascii="Cambria" w:cs="Cambria" w:eastAsia="Cambria" w:hAnsi="Cambria"/>
          <w:color w:val="000000"/>
          <w:sz w:val="23"/>
          <w:szCs w:val="23"/>
        </w:rPr>
        <w:t xml:space="preserve"> Las Skills de IA o las competencias del Sistema Oficial de Certificación ODYRA que el consultor responsable puso en práctica.</w:t>
      </w:r>
    </w:p>
    <w:p>
      <w:pPr>
        <w:pStyle w:val="ListParagraph"/>
        <w:numPr>
          <w:ilvl w:val="0"/>
          <w:numId w:val="1"/>
        </w:numPr>
        <w:spacing w:after="80"/>
        <w:jc w:val="both"/>
      </w:pPr>
      <w:r>
        <w:rPr>
          <w:rFonts w:ascii="Cambria" w:cs="Cambria" w:eastAsia="Cambria" w:hAnsi="Cambria"/>
          <w:b/>
          <w:bCs/>
          <w:color w:val="000000"/>
          <w:sz w:val="23"/>
          <w:szCs w:val="23"/>
        </w:rPr>
        <w:t xml:space="preserve">Nivel de impacto.</w:t>
      </w:r>
      <w:r>
        <w:rPr>
          <w:rFonts w:ascii="Cambria" w:cs="Cambria" w:eastAsia="Cambria" w:hAnsi="Cambria"/>
          <w:color w:val="000000"/>
          <w:sz w:val="23"/>
          <w:szCs w:val="23"/>
        </w:rPr>
        <w:t xml:space="preserve"> Una valoración del alcance de la transformación lograda en la organización o el territorio.</w:t>
      </w:r>
    </w:p>
    <w:p>
      <w:pPr>
        <w:pStyle w:val="ListParagraph"/>
        <w:numPr>
          <w:ilvl w:val="0"/>
          <w:numId w:val="1"/>
        </w:numPr>
        <w:spacing w:after="80"/>
        <w:jc w:val="both"/>
      </w:pPr>
      <w:r>
        <w:rPr>
          <w:rFonts w:ascii="Cambria" w:cs="Cambria" w:eastAsia="Cambria" w:hAnsi="Cambria"/>
          <w:b/>
          <w:bCs/>
          <w:color w:val="000000"/>
          <w:sz w:val="23"/>
          <w:szCs w:val="23"/>
        </w:rPr>
        <w:t xml:space="preserve">Estado del caso.</w:t>
      </w:r>
      <w:r>
        <w:rPr>
          <w:rFonts w:ascii="Cambria" w:cs="Cambria" w:eastAsia="Cambria" w:hAnsi="Cambria"/>
          <w:color w:val="000000"/>
          <w:sz w:val="23"/>
          <w:szCs w:val="23"/>
        </w:rPr>
        <w:t xml:space="preserve"> Si el caso se encuentra en revisión, validado, publicado o en actualización, conforme al proceso descrito en la Parte VII.</w:t>
      </w:r>
    </w:p>
    <w:p>
      <w:pPr>
        <w:spacing w:after="160" w:line="300"/>
        <w:jc w:val="both"/>
      </w:pPr>
      <w:r>
        <w:rPr>
          <w:rFonts w:ascii="Cambria" w:cs="Cambria" w:eastAsia="Cambria" w:hAnsi="Cambria"/>
          <w:color w:val="000000"/>
          <w:sz w:val="24"/>
          <w:szCs w:val="24"/>
        </w:rPr>
        <w:t xml:space="preserve">La FCC de cada caso se incorpora al Banco Oficial de Casos junto con el documento completo, permitiendo que cualquier consultor pueda ubicar rápidamente los casos pertinentes para una intervención, una investigación o un proceso de formación específico.</w:t>
      </w:r>
    </w:p>
    <w:p>
      <w:pPr>
        <w:pStyle w:val="Heading1"/>
        <w:pageBreakBefore/>
        <w:spacing w:after="60" w:before="200"/>
      </w:pPr>
      <w:r>
        <w:rPr>
          <w:rFonts w:ascii="Cambria" w:cs="Cambria" w:eastAsia="Cambria" w:hAnsi="Cambria"/>
          <w:b/>
          <w:bCs/>
          <w:color w:val="1E2761"/>
          <w:sz w:val="22"/>
          <w:szCs w:val="22"/>
        </w:rPr>
        <w:t xml:space="preserve">PARTE V</w:t>
      </w:r>
    </w:p>
    <w:p>
      <w:pPr>
        <w:pStyle w:val="Heading2"/>
        <w:spacing w:after="120" w:before="260"/>
      </w:pPr>
      <w:r>
        <w:rPr>
          <w:rFonts w:ascii="Cambria" w:cs="Cambria" w:eastAsia="Cambria" w:hAnsi="Cambria"/>
          <w:b/>
          <w:bCs/>
          <w:color w:val="1E2761"/>
          <w:sz w:val="26"/>
          <w:szCs w:val="26"/>
        </w:rPr>
        <w:t xml:space="preserve">BANCO OFICIAL DE CASOS</w:t>
      </w:r>
    </w:p>
    <w:p>
      <w:pPr>
        <w:spacing w:after="160" w:line="300"/>
        <w:jc w:val="both"/>
      </w:pPr>
      <w:r>
        <w:rPr>
          <w:rFonts w:ascii="Cambria" w:cs="Cambria" w:eastAsia="Cambria" w:hAnsi="Cambria"/>
          <w:color w:val="000000"/>
          <w:sz w:val="24"/>
          <w:szCs w:val="24"/>
        </w:rPr>
        <w:t xml:space="preserve">Se establece el </w:t>
      </w:r>
      <w:r>
        <w:rPr>
          <w:rFonts w:ascii="Cambria" w:cs="Cambria" w:eastAsia="Cambria" w:hAnsi="Cambria"/>
          <w:b/>
          <w:bCs/>
          <w:color w:val="000000"/>
          <w:sz w:val="24"/>
          <w:szCs w:val="24"/>
        </w:rPr>
        <w:t xml:space="preserve">Banco Oficial de Casos ODYRA</w:t>
      </w:r>
      <w:r>
        <w:rPr>
          <w:rFonts w:ascii="Cambria" w:cs="Cambria" w:eastAsia="Cambria" w:hAnsi="Cambria"/>
          <w:color w:val="000000"/>
          <w:sz w:val="24"/>
          <w:szCs w:val="24"/>
        </w:rPr>
        <w:t xml:space="preserve">, organizado en cuatro niveles que reconocen la diferente naturaleza y el diferente propósito de cada experiencia documentada.</w:t>
      </w:r>
    </w:p>
    <w:p>
      <w:pPr>
        <w:pStyle w:val="Heading3"/>
        <w:spacing w:after="100" w:before="200"/>
      </w:pPr>
      <w:r>
        <w:rPr>
          <w:rFonts w:ascii="Cambria" w:cs="Cambria" w:eastAsia="Cambria" w:hAnsi="Cambria"/>
          <w:b/>
          <w:bCs/>
          <w:color w:val="1E2761"/>
          <w:sz w:val="23"/>
          <w:szCs w:val="23"/>
        </w:rPr>
        <w:t xml:space="preserve">Nivel I — Casos Formativos</w:t>
      </w:r>
    </w:p>
    <w:p>
      <w:pPr>
        <w:spacing w:after="160" w:line="300"/>
        <w:jc w:val="both"/>
      </w:pPr>
      <w:r>
        <w:rPr>
          <w:rFonts w:ascii="Cambria" w:cs="Cambria" w:eastAsia="Cambria" w:hAnsi="Cambria"/>
          <w:color w:val="000000"/>
          <w:sz w:val="24"/>
          <w:szCs w:val="24"/>
        </w:rPr>
        <w:t xml:space="preserve">Diseñados específicamente para procesos de aprendizaje y certificación. Un Caso Formativo puede documentar una intervención real simplificada, o construirse a partir de un ejercicio supervisado durante la Ruta Oficial de Formación descrita en el Sistema Oficial de Certificación ODYRA. Su función es pedagógica antes que evidencial.</w:t>
      </w:r>
    </w:p>
    <w:p>
      <w:pPr>
        <w:pStyle w:val="Heading3"/>
        <w:spacing w:after="100" w:before="200"/>
      </w:pPr>
      <w:r>
        <w:rPr>
          <w:rFonts w:ascii="Cambria" w:cs="Cambria" w:eastAsia="Cambria" w:hAnsi="Cambria"/>
          <w:b/>
          <w:bCs/>
          <w:color w:val="1E2761"/>
          <w:sz w:val="23"/>
          <w:szCs w:val="23"/>
        </w:rPr>
        <w:t xml:space="preserve">Nivel II — Casos Profesionales</w:t>
      </w:r>
    </w:p>
    <w:p>
      <w:pPr>
        <w:spacing w:after="160" w:line="300"/>
        <w:jc w:val="both"/>
      </w:pPr>
      <w:r>
        <w:rPr>
          <w:rFonts w:ascii="Cambria" w:cs="Cambria" w:eastAsia="Cambria" w:hAnsi="Cambria"/>
          <w:color w:val="000000"/>
          <w:sz w:val="24"/>
          <w:szCs w:val="24"/>
        </w:rPr>
        <w:t xml:space="preserve">Intervenciones reales documentadas con fines de consulta y formación. Constituyen el grueso del Banco Oficial y representan la aplicación cotidiana del Método ODYRA en organizaciones y proyectos concretos.</w:t>
      </w:r>
    </w:p>
    <w:p>
      <w:pPr>
        <w:pStyle w:val="Heading3"/>
        <w:spacing w:after="100" w:before="200"/>
      </w:pPr>
      <w:r>
        <w:rPr>
          <w:rFonts w:ascii="Cambria" w:cs="Cambria" w:eastAsia="Cambria" w:hAnsi="Cambria"/>
          <w:b/>
          <w:bCs/>
          <w:color w:val="1E2761"/>
          <w:sz w:val="23"/>
          <w:szCs w:val="23"/>
        </w:rPr>
        <w:t xml:space="preserve">Nivel III — Casos Estratégicos</w:t>
      </w:r>
    </w:p>
    <w:p>
      <w:pPr>
        <w:spacing w:after="160" w:line="300"/>
        <w:jc w:val="both"/>
      </w:pPr>
      <w:r>
        <w:rPr>
          <w:rFonts w:ascii="Cambria" w:cs="Cambria" w:eastAsia="Cambria" w:hAnsi="Cambria"/>
          <w:color w:val="000000"/>
          <w:sz w:val="24"/>
          <w:szCs w:val="24"/>
        </w:rPr>
        <w:t xml:space="preserve">Experiencias de alta complejidad, con impacto institucional o territorial significativo. Su documentación exige mayor rigor y detalle, y suelen convertirse en referencia obligatoria para intervenciones similares.</w:t>
      </w:r>
    </w:p>
    <w:p>
      <w:pPr>
        <w:pStyle w:val="Heading3"/>
        <w:spacing w:after="100" w:before="200"/>
      </w:pPr>
      <w:r>
        <w:rPr>
          <w:rFonts w:ascii="Cambria" w:cs="Cambria" w:eastAsia="Cambria" w:hAnsi="Cambria"/>
          <w:b/>
          <w:bCs/>
          <w:color w:val="1E2761"/>
          <w:sz w:val="23"/>
          <w:szCs w:val="23"/>
        </w:rPr>
        <w:t xml:space="preserve">Nivel IV — Casos Emblemáticos</w:t>
      </w:r>
    </w:p>
    <w:p>
      <w:pPr>
        <w:spacing w:after="160" w:line="300"/>
        <w:jc w:val="both"/>
      </w:pPr>
      <w:r>
        <w:rPr>
          <w:rFonts w:ascii="Cambria" w:cs="Cambria" w:eastAsia="Cambria" w:hAnsi="Cambria"/>
          <w:color w:val="000000"/>
          <w:sz w:val="24"/>
          <w:szCs w:val="24"/>
        </w:rPr>
        <w:t xml:space="preserve">Casos que representan hitos en la evolución del Sistema ODYRA. No se distinguen únicamente por su complejidad, sino por haber marcado el desarrollo de un nuevo modelo, una nueva metodología o una nueva comprensión dentro de la Escuela. Sirven como referentes permanentes para la comunidad profesional.</w:t>
      </w:r>
    </w:p>
    <w:p>
      <w:pPr>
        <w:spacing w:after="160" w:line="300"/>
        <w:jc w:val="both"/>
      </w:pPr>
      <w:r>
        <w:rPr>
          <w:rFonts w:ascii="Cambria" w:cs="Cambria" w:eastAsia="Cambria" w:hAnsi="Cambria"/>
          <w:color w:val="000000"/>
          <w:sz w:val="24"/>
          <w:szCs w:val="24"/>
        </w:rPr>
        <w:t xml:space="preserve">Un mismo caso puede ascender de nivel con el tiempo: un Caso Profesional puede convertirse en Caso Estratégico si su impacto se documenta y amplía, y un Caso Estratégico puede llegar a reconocerse como Emblemático si su influencia en la evolución del Sistema resulta suficientemente significativa, conforme al proceso de actualización descrito en la Parte VII.</w:t>
      </w:r>
    </w:p>
    <w:p>
      <w:pPr>
        <w:pStyle w:val="Heading1"/>
        <w:pageBreakBefore/>
        <w:spacing w:after="60" w:before="200"/>
      </w:pPr>
      <w:r>
        <w:rPr>
          <w:rFonts w:ascii="Cambria" w:cs="Cambria" w:eastAsia="Cambria" w:hAnsi="Cambria"/>
          <w:b/>
          <w:bCs/>
          <w:color w:val="1E2761"/>
          <w:sz w:val="22"/>
          <w:szCs w:val="22"/>
        </w:rPr>
        <w:t xml:space="preserve">PARTE VI</w:t>
      </w:r>
    </w:p>
    <w:p>
      <w:pPr>
        <w:pStyle w:val="Heading2"/>
        <w:spacing w:after="120" w:before="260"/>
      </w:pPr>
      <w:r>
        <w:rPr>
          <w:rFonts w:ascii="Cambria" w:cs="Cambria" w:eastAsia="Cambria" w:hAnsi="Cambria"/>
          <w:b/>
          <w:bCs/>
          <w:color w:val="1E2761"/>
          <w:sz w:val="26"/>
          <w:szCs w:val="26"/>
        </w:rPr>
        <w:t xml:space="preserve">USO ACADÉMICO DE LOS CASOS</w:t>
      </w:r>
    </w:p>
    <w:p>
      <w:pPr>
        <w:spacing w:after="160" w:line="300"/>
        <w:jc w:val="both"/>
      </w:pPr>
      <w:r>
        <w:rPr>
          <w:rFonts w:ascii="Cambria" w:cs="Cambria" w:eastAsia="Cambria" w:hAnsi="Cambria"/>
          <w:color w:val="000000"/>
          <w:sz w:val="24"/>
          <w:szCs w:val="24"/>
        </w:rPr>
        <w:t xml:space="preserve">Los casos de estudio constituyen el principal recurso pedagógico del Sistema ODYRA. Su aplicación se extiende a ocho ámbitos:</w:t>
      </w:r>
    </w:p>
    <w:p>
      <w:pPr>
        <w:pStyle w:val="ListParagraph"/>
        <w:numPr>
          <w:ilvl w:val="0"/>
          <w:numId w:val="1"/>
        </w:numPr>
        <w:spacing w:after="80"/>
        <w:jc w:val="both"/>
      </w:pPr>
      <w:r>
        <w:rPr>
          <w:rFonts w:ascii="Cambria" w:cs="Cambria" w:eastAsia="Cambria" w:hAnsi="Cambria"/>
          <w:b/>
          <w:bCs/>
          <w:color w:val="000000"/>
          <w:sz w:val="23"/>
          <w:szCs w:val="23"/>
        </w:rPr>
        <w:t xml:space="preserve">Programas de formación.</w:t>
      </w:r>
      <w:r>
        <w:rPr>
          <w:rFonts w:ascii="Cambria" w:cs="Cambria" w:eastAsia="Cambria" w:hAnsi="Cambria"/>
          <w:color w:val="000000"/>
          <w:sz w:val="23"/>
          <w:szCs w:val="23"/>
        </w:rPr>
        <w:t xml:space="preserve"> Todo programa formativo del Sistema ODYRA deberá incorporar casos reales como herramienta central de aprendizaje, y no limitarse a la exposición teórica de modelos y principios.</w:t>
      </w:r>
    </w:p>
    <w:p>
      <w:pPr>
        <w:pStyle w:val="ListParagraph"/>
        <w:numPr>
          <w:ilvl w:val="0"/>
          <w:numId w:val="1"/>
        </w:numPr>
        <w:spacing w:after="80"/>
        <w:jc w:val="both"/>
      </w:pPr>
      <w:r>
        <w:rPr>
          <w:rFonts w:ascii="Cambria" w:cs="Cambria" w:eastAsia="Cambria" w:hAnsi="Cambria"/>
          <w:b/>
          <w:bCs/>
          <w:color w:val="000000"/>
          <w:sz w:val="23"/>
          <w:szCs w:val="23"/>
        </w:rPr>
        <w:t xml:space="preserve">Certificaciones.</w:t>
      </w:r>
      <w:r>
        <w:rPr>
          <w:rFonts w:ascii="Cambria" w:cs="Cambria" w:eastAsia="Cambria" w:hAnsi="Cambria"/>
          <w:color w:val="000000"/>
          <w:sz w:val="23"/>
          <w:szCs w:val="23"/>
        </w:rPr>
        <w:t xml:space="preserve"> Los Casos Formativos y Profesionales constituyen insumo directo para el Proyecto Aplicado exigido en el Modelo Oficial de Evaluación del Sistema Oficial de Certificación ODYRA.</w:t>
      </w:r>
    </w:p>
    <w:p>
      <w:pPr>
        <w:pStyle w:val="ListParagraph"/>
        <w:numPr>
          <w:ilvl w:val="0"/>
          <w:numId w:val="1"/>
        </w:numPr>
        <w:spacing w:after="80"/>
        <w:jc w:val="both"/>
      </w:pPr>
      <w:r>
        <w:rPr>
          <w:rFonts w:ascii="Cambria" w:cs="Cambria" w:eastAsia="Cambria" w:hAnsi="Cambria"/>
          <w:b/>
          <w:bCs/>
          <w:color w:val="000000"/>
          <w:sz w:val="23"/>
          <w:szCs w:val="23"/>
        </w:rPr>
        <w:t xml:space="preserve">Mentorías.</w:t>
      </w:r>
      <w:r>
        <w:rPr>
          <w:rFonts w:ascii="Cambria" w:cs="Cambria" w:eastAsia="Cambria" w:hAnsi="Cambria"/>
          <w:color w:val="000000"/>
          <w:sz w:val="23"/>
          <w:szCs w:val="23"/>
        </w:rPr>
        <w:t xml:space="preserve"> Los mentores utilizan casos documentados para ilustrar decisiones metodológicas y acompañar la formación de nuevos consultores.</w:t>
      </w:r>
    </w:p>
    <w:p>
      <w:pPr>
        <w:pStyle w:val="ListParagraph"/>
        <w:numPr>
          <w:ilvl w:val="0"/>
          <w:numId w:val="1"/>
        </w:numPr>
        <w:spacing w:after="80"/>
        <w:jc w:val="both"/>
      </w:pPr>
      <w:r>
        <w:rPr>
          <w:rFonts w:ascii="Cambria" w:cs="Cambria" w:eastAsia="Cambria" w:hAnsi="Cambria"/>
          <w:b/>
          <w:bCs/>
          <w:color w:val="000000"/>
          <w:sz w:val="23"/>
          <w:szCs w:val="23"/>
        </w:rPr>
        <w:t xml:space="preserve">Laboratorios.</w:t>
      </w:r>
      <w:r>
        <w:rPr>
          <w:rFonts w:ascii="Cambria" w:cs="Cambria" w:eastAsia="Cambria" w:hAnsi="Cambria"/>
          <w:color w:val="000000"/>
          <w:sz w:val="23"/>
          <w:szCs w:val="23"/>
        </w:rPr>
        <w:t xml:space="preserve"> El Laboratorio ODYRA de Inteligencia Aplicada (LOIA) y otros laboratorios del Sistema utilizan casos para validar nuevas herramientas y modelos frente a experiencias reales ya documentadas.</w:t>
      </w:r>
    </w:p>
    <w:p>
      <w:pPr>
        <w:pStyle w:val="ListParagraph"/>
        <w:numPr>
          <w:ilvl w:val="0"/>
          <w:numId w:val="1"/>
        </w:numPr>
        <w:spacing w:after="80"/>
        <w:jc w:val="both"/>
      </w:pPr>
      <w:r>
        <w:rPr>
          <w:rFonts w:ascii="Cambria" w:cs="Cambria" w:eastAsia="Cambria" w:hAnsi="Cambria"/>
          <w:b/>
          <w:bCs/>
          <w:color w:val="000000"/>
          <w:sz w:val="23"/>
          <w:szCs w:val="23"/>
        </w:rPr>
        <w:t xml:space="preserve">Simulaciones.</w:t>
      </w:r>
      <w:r>
        <w:rPr>
          <w:rFonts w:ascii="Cambria" w:cs="Cambria" w:eastAsia="Cambria" w:hAnsi="Cambria"/>
          <w:color w:val="000000"/>
          <w:sz w:val="23"/>
          <w:szCs w:val="23"/>
        </w:rPr>
        <w:t xml:space="preserve"> Los casos formativos pueden adaptarse como ejercicios simulados dentro de procesos de formación, permitiendo practicar decisiones sin intervenir directamente en una organización real.</w:t>
      </w:r>
    </w:p>
    <w:p>
      <w:pPr>
        <w:pStyle w:val="ListParagraph"/>
        <w:numPr>
          <w:ilvl w:val="0"/>
          <w:numId w:val="1"/>
        </w:numPr>
        <w:spacing w:after="80"/>
        <w:jc w:val="both"/>
      </w:pPr>
      <w:r>
        <w:rPr>
          <w:rFonts w:ascii="Cambria" w:cs="Cambria" w:eastAsia="Cambria" w:hAnsi="Cambria"/>
          <w:b/>
          <w:bCs/>
          <w:color w:val="000000"/>
          <w:sz w:val="23"/>
          <w:szCs w:val="23"/>
        </w:rPr>
        <w:t xml:space="preserve">Investigaciones.</w:t>
      </w:r>
      <w:r>
        <w:rPr>
          <w:rFonts w:ascii="Cambria" w:cs="Cambria" w:eastAsia="Cambria" w:hAnsi="Cambria"/>
          <w:color w:val="000000"/>
          <w:sz w:val="23"/>
          <w:szCs w:val="23"/>
        </w:rPr>
        <w:t xml:space="preserve"> Los casos constituyen evidencia primaria para las investigaciones aplicadas descritas en la Arquitectura del Conocimiento ODYRA.</w:t>
      </w:r>
    </w:p>
    <w:p>
      <w:pPr>
        <w:pStyle w:val="ListParagraph"/>
        <w:numPr>
          <w:ilvl w:val="0"/>
          <w:numId w:val="1"/>
        </w:numPr>
        <w:spacing w:after="80"/>
        <w:jc w:val="both"/>
      </w:pPr>
      <w:r>
        <w:rPr>
          <w:rFonts w:ascii="Cambria" w:cs="Cambria" w:eastAsia="Cambria" w:hAnsi="Cambria"/>
          <w:b/>
          <w:bCs/>
          <w:color w:val="000000"/>
          <w:sz w:val="23"/>
          <w:szCs w:val="23"/>
        </w:rPr>
        <w:t xml:space="preserve">Comunidades de práctica.</w:t>
      </w:r>
      <w:r>
        <w:rPr>
          <w:rFonts w:ascii="Cambria" w:cs="Cambria" w:eastAsia="Cambria" w:hAnsi="Cambria"/>
          <w:color w:val="000000"/>
          <w:sz w:val="23"/>
          <w:szCs w:val="23"/>
        </w:rPr>
        <w:t xml:space="preserve"> El intercambio de casos entre consultores certificados fortalece la inteligencia colectiva de la comunidad profesional ODYRA.</w:t>
      </w:r>
    </w:p>
    <w:p>
      <w:pPr>
        <w:pStyle w:val="ListParagraph"/>
        <w:numPr>
          <w:ilvl w:val="0"/>
          <w:numId w:val="1"/>
        </w:numPr>
        <w:spacing w:after="80"/>
        <w:jc w:val="both"/>
      </w:pPr>
      <w:r>
        <w:rPr>
          <w:rFonts w:ascii="Cambria" w:cs="Cambria" w:eastAsia="Cambria" w:hAnsi="Cambria"/>
          <w:b/>
          <w:bCs/>
          <w:color w:val="000000"/>
          <w:sz w:val="23"/>
          <w:szCs w:val="23"/>
        </w:rPr>
        <w:t xml:space="preserve">Publicaciones académicas.</w:t>
      </w:r>
      <w:r>
        <w:rPr>
          <w:rFonts w:ascii="Cambria" w:cs="Cambria" w:eastAsia="Cambria" w:hAnsi="Cambria"/>
          <w:color w:val="000000"/>
          <w:sz w:val="23"/>
          <w:szCs w:val="23"/>
        </w:rPr>
        <w:t xml:space="preserve"> Los Casos Estratégicos y Emblemáticos constituyen la base para artículos, libros y materiales de divulgación de la Escuela de Pensamiento ODYRA.</w:t>
      </w:r>
    </w:p>
    <w:p>
      <w:pPr>
        <w:pStyle w:val="Heading1"/>
        <w:pageBreakBefore/>
        <w:spacing w:after="60" w:before="200"/>
      </w:pPr>
      <w:r>
        <w:rPr>
          <w:rFonts w:ascii="Cambria" w:cs="Cambria" w:eastAsia="Cambria" w:hAnsi="Cambria"/>
          <w:b/>
          <w:bCs/>
          <w:color w:val="1E2761"/>
          <w:sz w:val="22"/>
          <w:szCs w:val="22"/>
        </w:rPr>
        <w:t xml:space="preserve">PARTE VII</w:t>
      </w:r>
    </w:p>
    <w:p>
      <w:pPr>
        <w:pStyle w:val="Heading2"/>
        <w:spacing w:after="120" w:before="260"/>
      </w:pPr>
      <w:r>
        <w:rPr>
          <w:rFonts w:ascii="Cambria" w:cs="Cambria" w:eastAsia="Cambria" w:hAnsi="Cambria"/>
          <w:b/>
          <w:bCs/>
          <w:color w:val="1E2761"/>
          <w:sz w:val="26"/>
          <w:szCs w:val="26"/>
        </w:rPr>
        <w:t xml:space="preserve">ACTUALIZACIÓN Y EVOLUCIÓN</w:t>
      </w:r>
    </w:p>
    <w:p>
      <w:pPr>
        <w:spacing w:after="160" w:line="300"/>
        <w:jc w:val="both"/>
      </w:pPr>
      <w:r>
        <w:rPr>
          <w:rFonts w:ascii="Cambria" w:cs="Cambria" w:eastAsia="Cambria" w:hAnsi="Cambria"/>
          <w:color w:val="000000"/>
          <w:sz w:val="24"/>
          <w:szCs w:val="24"/>
        </w:rPr>
        <w:t xml:space="preserve">La Biblioteca Oficial de Casos es un sistema dinámico y en permanente crecimiento. Cada nueva consultoría desarrollada bajo el Método ODYRA podrá convertirse, previa validación metodológica y autorización correspondiente, en un nuevo caso de estudio.</w:t>
      </w:r>
    </w:p>
    <w:p>
      <w:pPr>
        <w:spacing w:after="160" w:line="300"/>
        <w:jc w:val="both"/>
      </w:pPr>
      <w:r>
        <w:rPr>
          <w:rFonts w:ascii="Cambria" w:cs="Cambria" w:eastAsia="Cambria" w:hAnsi="Cambria"/>
          <w:color w:val="000000"/>
          <w:sz w:val="24"/>
          <w:szCs w:val="24"/>
        </w:rPr>
        <w:t xml:space="preserve">Este proceso de incorporación se articula directamente con el Ciclo del Conocimiento ODYRA (CCO) establecido en la Arquitectura del Conocimiento ODYRA: cada caso documentado corresponde a la etapa de Sistematizar de ese ciclo, y su análisis posterior —cuando revela oportunidades de mejora para un modelo o una metodología— retroalimenta la etapa de Mejorar, cerrando así el aprendizaje institucional de la Escuela.</w:t>
      </w:r>
    </w:p>
    <w:p>
      <w:pPr>
        <w:spacing w:after="160" w:line="300"/>
        <w:jc w:val="both"/>
      </w:pPr>
      <w:r>
        <w:rPr>
          <w:rFonts w:ascii="Cambria" w:cs="Cambria" w:eastAsia="Cambria" w:hAnsi="Cambria"/>
          <w:color w:val="000000"/>
          <w:sz w:val="24"/>
          <w:szCs w:val="24"/>
        </w:rPr>
        <w:t xml:space="preserve">Los casos podrán actualizarse cuando existan nuevos resultados, aprendizajes o desarrollos que enriquezcan el conocimiento institucional. Un caso desactualizado, que ya no refleje el estado actual del Sistema ODYRA o de la organización que documenta, deberá marcarse como tal en su Ficha de Clasificación de Caso hasta que se revise o se archive. De esta manera, la experiencia acumulada fortalecerá continuamente el Sistema ODYRA y contribuirá a la evolución de sus modelos, metodologías y herramientas.</w:t>
      </w:r>
    </w:p>
    <w:p>
      <w:pPr>
        <w:pStyle w:val="Heading1"/>
        <w:pageBreakBefore/>
        <w:spacing w:after="60" w:before="200"/>
      </w:pPr>
      <w:r>
        <w:rPr>
          <w:rFonts w:ascii="Cambria" w:cs="Cambria" w:eastAsia="Cambria" w:hAnsi="Cambria"/>
          <w:b/>
          <w:bCs/>
          <w:color w:val="1E2761"/>
          <w:sz w:val="22"/>
          <w:szCs w:val="22"/>
        </w:rPr>
        <w:t xml:space="preserve">PARTE VIII</w:t>
      </w:r>
    </w:p>
    <w:p>
      <w:pPr>
        <w:pStyle w:val="Heading2"/>
        <w:spacing w:after="120" w:before="260"/>
      </w:pPr>
      <w:r>
        <w:rPr>
          <w:rFonts w:ascii="Cambria" w:cs="Cambria" w:eastAsia="Cambria" w:hAnsi="Cambria"/>
          <w:b/>
          <w:bCs/>
          <w:color w:val="1E2761"/>
          <w:sz w:val="26"/>
          <w:szCs w:val="26"/>
        </w:rPr>
        <w:t xml:space="preserve">GOBERNANZA Y ÉTICA DE LOS CASOS</w:t>
      </w:r>
    </w:p>
    <w:p>
      <w:pPr>
        <w:spacing w:after="160" w:line="300"/>
        <w:jc w:val="both"/>
      </w:pPr>
      <w:r>
        <w:rPr>
          <w:rFonts w:ascii="Cambria" w:cs="Cambria" w:eastAsia="Cambria" w:hAnsi="Cambria"/>
          <w:color w:val="000000"/>
          <w:sz w:val="24"/>
          <w:szCs w:val="24"/>
        </w:rPr>
        <w:t xml:space="preserve">La documentación de experiencias reales exige un estándar ético explícito, dado que todo caso involucra información de organizaciones, comunidades y personas que confiaron su realidad a un consultor ODYRA.</w:t>
      </w:r>
    </w:p>
    <w:p>
      <w:pPr>
        <w:pStyle w:val="ListParagraph"/>
        <w:numPr>
          <w:ilvl w:val="0"/>
          <w:numId w:val="1"/>
        </w:numPr>
        <w:spacing w:after="80"/>
        <w:jc w:val="both"/>
      </w:pPr>
      <w:r>
        <w:rPr>
          <w:rFonts w:ascii="Cambria" w:cs="Cambria" w:eastAsia="Cambria" w:hAnsi="Cambria"/>
          <w:b/>
          <w:bCs/>
          <w:color w:val="000000"/>
          <w:sz w:val="23"/>
          <w:szCs w:val="23"/>
        </w:rPr>
        <w:t xml:space="preserve">Consentimiento informado.</w:t>
      </w:r>
      <w:r>
        <w:rPr>
          <w:rFonts w:ascii="Cambria" w:cs="Cambria" w:eastAsia="Cambria" w:hAnsi="Cambria"/>
          <w:color w:val="000000"/>
          <w:sz w:val="23"/>
          <w:szCs w:val="23"/>
        </w:rPr>
        <w:t xml:space="preserve"> Ningún caso se documenta ni se publica sin la autorización expresa de la organización involucrada, que deberá conocer el alcance, el nivel de confidencialidad y el uso previsto del caso.</w:t>
      </w:r>
    </w:p>
    <w:p>
      <w:pPr>
        <w:pStyle w:val="ListParagraph"/>
        <w:numPr>
          <w:ilvl w:val="0"/>
          <w:numId w:val="1"/>
        </w:numPr>
        <w:spacing w:after="80"/>
        <w:jc w:val="both"/>
      </w:pPr>
      <w:r>
        <w:rPr>
          <w:rFonts w:ascii="Cambria" w:cs="Cambria" w:eastAsia="Cambria" w:hAnsi="Cambria"/>
          <w:b/>
          <w:bCs/>
          <w:color w:val="000000"/>
          <w:sz w:val="23"/>
          <w:szCs w:val="23"/>
        </w:rPr>
        <w:t xml:space="preserve">Niveles de confidencialidad.</w:t>
      </w:r>
      <w:r>
        <w:rPr>
          <w:rFonts w:ascii="Cambria" w:cs="Cambria" w:eastAsia="Cambria" w:hAnsi="Cambria"/>
          <w:color w:val="000000"/>
          <w:sz w:val="23"/>
          <w:szCs w:val="23"/>
        </w:rPr>
        <w:t xml:space="preserve"> Todo caso deberá clasificarse en un nivel de confidencialidad —público, restringido a la comunidad certificada, o confidencial con datos anonimizados— definido de común acuerdo con la organización.</w:t>
      </w:r>
    </w:p>
    <w:p>
      <w:pPr>
        <w:pStyle w:val="ListParagraph"/>
        <w:numPr>
          <w:ilvl w:val="0"/>
          <w:numId w:val="1"/>
        </w:numPr>
        <w:spacing w:after="80"/>
        <w:jc w:val="both"/>
      </w:pPr>
      <w:r>
        <w:rPr>
          <w:rFonts w:ascii="Cambria" w:cs="Cambria" w:eastAsia="Cambria" w:hAnsi="Cambria"/>
          <w:b/>
          <w:bCs/>
          <w:color w:val="000000"/>
          <w:sz w:val="23"/>
          <w:szCs w:val="23"/>
        </w:rPr>
        <w:t xml:space="preserve">Anonimización.</w:t>
      </w:r>
      <w:r>
        <w:rPr>
          <w:rFonts w:ascii="Cambria" w:cs="Cambria" w:eastAsia="Cambria" w:hAnsi="Cambria"/>
          <w:color w:val="000000"/>
          <w:sz w:val="23"/>
          <w:szCs w:val="23"/>
        </w:rPr>
        <w:t xml:space="preserve"> Cuando la organización lo solicite, el caso podrá documentarse anonimizando nombres, cifras sensibles o cualquier información que permita identificarla, sin sacrificar el valor pedagógico del aprendizaje documentado.</w:t>
      </w:r>
    </w:p>
    <w:p>
      <w:pPr>
        <w:pStyle w:val="ListParagraph"/>
        <w:numPr>
          <w:ilvl w:val="0"/>
          <w:numId w:val="1"/>
        </w:numPr>
        <w:spacing w:after="80"/>
        <w:jc w:val="both"/>
      </w:pPr>
      <w:r>
        <w:rPr>
          <w:rFonts w:ascii="Cambria" w:cs="Cambria" w:eastAsia="Cambria" w:hAnsi="Cambria"/>
          <w:b/>
          <w:bCs/>
          <w:color w:val="000000"/>
          <w:sz w:val="23"/>
          <w:szCs w:val="23"/>
        </w:rPr>
        <w:t xml:space="preserve">Revisión y validación.</w:t>
      </w:r>
      <w:r>
        <w:rPr>
          <w:rFonts w:ascii="Cambria" w:cs="Cambria" w:eastAsia="Cambria" w:hAnsi="Cambria"/>
          <w:color w:val="000000"/>
          <w:sz w:val="23"/>
          <w:szCs w:val="23"/>
        </w:rPr>
        <w:t xml:space="preserve"> Todo caso pasa por un proceso de revisión metodológica antes de incorporarse al Banco Oficial, verificando su coherencia con los principios establecidos en la Parte I y con la estructura establecida en la Parte II.</w:t>
      </w:r>
    </w:p>
    <w:p>
      <w:pPr>
        <w:pStyle w:val="ListParagraph"/>
        <w:numPr>
          <w:ilvl w:val="0"/>
          <w:numId w:val="1"/>
        </w:numPr>
        <w:spacing w:after="80"/>
        <w:jc w:val="both"/>
      </w:pPr>
      <w:r>
        <w:rPr>
          <w:rFonts w:ascii="Cambria" w:cs="Cambria" w:eastAsia="Cambria" w:hAnsi="Cambria"/>
          <w:b/>
          <w:bCs/>
          <w:color w:val="000000"/>
          <w:sz w:val="23"/>
          <w:szCs w:val="23"/>
        </w:rPr>
        <w:t xml:space="preserve">Propiedad intelectual.</w:t>
      </w:r>
      <w:r>
        <w:rPr>
          <w:rFonts w:ascii="Cambria" w:cs="Cambria" w:eastAsia="Cambria" w:hAnsi="Cambria"/>
          <w:color w:val="000000"/>
          <w:sz w:val="23"/>
          <w:szCs w:val="23"/>
        </w:rPr>
        <w:t xml:space="preserve"> Los casos documentados constituyen patrimonio intelectual conjunto del consultor que los desarrolla y de la Escuela de Pensamiento ODYRA, sin perjuicio de la información confidencial que pertenece a la organización documentada.</w:t>
      </w:r>
    </w:p>
    <w:p>
      <w:pPr>
        <w:pStyle w:val="ListParagraph"/>
        <w:numPr>
          <w:ilvl w:val="0"/>
          <w:numId w:val="1"/>
        </w:numPr>
        <w:spacing w:after="80"/>
        <w:jc w:val="both"/>
      </w:pPr>
      <w:r>
        <w:rPr>
          <w:rFonts w:ascii="Cambria" w:cs="Cambria" w:eastAsia="Cambria" w:hAnsi="Cambria"/>
          <w:b/>
          <w:bCs/>
          <w:color w:val="000000"/>
          <w:sz w:val="23"/>
          <w:szCs w:val="23"/>
        </w:rPr>
        <w:t xml:space="preserve">Responsabilidad del consultor.</w:t>
      </w:r>
      <w:r>
        <w:rPr>
          <w:rFonts w:ascii="Cambria" w:cs="Cambria" w:eastAsia="Cambria" w:hAnsi="Cambria"/>
          <w:color w:val="000000"/>
          <w:sz w:val="23"/>
          <w:szCs w:val="23"/>
        </w:rPr>
        <w:t xml:space="preserve"> El consultor que documenta un caso es responsable de la exactitud de su contenido y de haber obtenido las autorizaciones correspondientes, conforme a los principios éticos establecidos en el Canon Intelectual ODYRA.</w:t>
      </w:r>
    </w:p>
    <w:p>
      <w:pPr>
        <w:pStyle w:val="ListParagraph"/>
        <w:numPr>
          <w:ilvl w:val="0"/>
          <w:numId w:val="1"/>
        </w:numPr>
        <w:spacing w:after="80"/>
        <w:jc w:val="both"/>
      </w:pPr>
      <w:r>
        <w:rPr>
          <w:rFonts w:ascii="Cambria" w:cs="Cambria" w:eastAsia="Cambria" w:hAnsi="Cambria"/>
          <w:b/>
          <w:bCs/>
          <w:color w:val="000000"/>
          <w:sz w:val="23"/>
          <w:szCs w:val="23"/>
        </w:rPr>
        <w:t xml:space="preserve">Uso indebido.</w:t>
      </w:r>
      <w:r>
        <w:rPr>
          <w:rFonts w:ascii="Cambria" w:cs="Cambria" w:eastAsia="Cambria" w:hAnsi="Cambria"/>
          <w:color w:val="000000"/>
          <w:sz w:val="23"/>
          <w:szCs w:val="23"/>
        </w:rPr>
        <w:t xml:space="preserve"> Ningún caso podrá utilizarse para desprestigiar a una organización, exponer información sensible no autorizada, o con fines ajenos al aprendizaje institucional que da sentido a esta Biblioteca.</w:t>
      </w:r>
    </w:p>
    <w:p>
      <w:pPr>
        <w:pStyle w:val="Heading1"/>
        <w:pBdr>
          <w:bottom w:val="single" w:color="1E2761" w:sz="6" w:space="4"/>
        </w:pBdr>
        <w:spacing w:after="240" w:before="60"/>
      </w:pPr>
      <w:r>
        <w:rPr>
          <w:rFonts w:ascii="Cambria" w:cs="Cambria" w:eastAsia="Cambria" w:hAnsi="Cambria"/>
          <w:b/>
          <w:bCs/>
          <w:color w:val="1E2761"/>
          <w:sz w:val="28"/>
          <w:szCs w:val="28"/>
        </w:rPr>
        <w:t xml:space="preserve">EPÍLOGO</w:t>
      </w:r>
    </w:p>
    <w:p>
      <w:pPr>
        <w:pStyle w:val="Heading2"/>
        <w:spacing w:after="120" w:before="260"/>
      </w:pPr>
      <w:r>
        <w:rPr>
          <w:rFonts w:ascii="Cambria" w:cs="Cambria" w:eastAsia="Cambria" w:hAnsi="Cambria"/>
          <w:b/>
          <w:bCs/>
          <w:color w:val="1E2761"/>
          <w:sz w:val="26"/>
          <w:szCs w:val="26"/>
        </w:rPr>
        <w:t xml:space="preserve">La experiencia convertida en patrimonio</w:t>
      </w:r>
    </w:p>
    <w:p>
      <w:pPr>
        <w:spacing w:after="160" w:line="300"/>
        <w:jc w:val="both"/>
      </w:pPr>
      <w:r>
        <w:rPr>
          <w:rFonts w:ascii="Cambria" w:cs="Cambria" w:eastAsia="Cambria" w:hAnsi="Cambria"/>
          <w:color w:val="000000"/>
          <w:sz w:val="24"/>
          <w:szCs w:val="24"/>
        </w:rPr>
        <w:t xml:space="preserve">Cada organización transformada representa una fuente de conocimiento. Cada consultoría, una oportunidad para aprender. Cada desafío superado, una posibilidad de mejorar el Método ODYRA.</w:t>
      </w:r>
    </w:p>
    <w:p>
      <w:pPr>
        <w:spacing w:after="160" w:line="300"/>
        <w:jc w:val="both"/>
      </w:pPr>
      <w:r>
        <w:rPr>
          <w:rFonts w:ascii="Cambria" w:cs="Cambria" w:eastAsia="Cambria" w:hAnsi="Cambria"/>
          <w:color w:val="000000"/>
          <w:sz w:val="24"/>
          <w:szCs w:val="24"/>
        </w:rPr>
        <w:t xml:space="preserve">La Biblioteca Oficial de Casos convierte la experiencia en patrimonio intelectual. Gracias a ella, el conocimiento deja de pertenecer únicamente a quienes participaron en una intervención y pasa a formar parte de una comunidad que aprende, comparte y evoluciona. Así, los casos de estudio no solo documentan el pasado: iluminan el camino para las transformaciones futuras.</w:t>
      </w:r>
    </w:p>
    <w:p>
      <w:pPr>
        <w:spacing w:after="240" w:before="120"/>
        <w:jc w:val="center"/>
      </w:pPr>
      <w:r>
        <w:rPr>
          <w:rFonts w:ascii="Cambria" w:cs="Cambria" w:eastAsia="Cambria" w:hAnsi="Cambria"/>
          <w:b/>
          <w:bCs/>
          <w:i/>
          <w:iCs/>
          <w:color w:val="1E2761"/>
          <w:sz w:val="24"/>
          <w:szCs w:val="24"/>
        </w:rPr>
        <w:t xml:space="preserve">"Los modelos orientan el pensamiento; las metodologías organizan la acción; los casos de estudio demuestran que la transformación es posible y convierten la experiencia en conocimiento que inspira nuevas decisiones."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6" w:space="8"/>
      </w:pBdr>
      <w:tabs>
        <w:tab w:val="right" w:pos="9026"/>
      </w:tabs>
    </w:pPr>
    <w:r>
      <w:rPr>
        <w:rFonts w:ascii="Calibri" w:cs="Calibri" w:eastAsia="Calibri" w:hAnsi="Calibri"/>
        <w:color w:val="6B7280"/>
        <w:sz w:val="15"/>
        <w:szCs w:val="15"/>
      </w:rPr>
      <w:t xml:space="preserve">Escuela de Pensamiento ODYRA</w:t>
    </w:r>
    <w:r>
      <w:rPr>
        <w:rFonts w:ascii="Calibri" w:cs="Calibri" w:eastAsia="Calibri" w:hAnsi="Calibri"/>
        <w:color w:val="6B7280"/>
        <w:sz w:val="15"/>
        <w:szCs w:val="15"/>
      </w:rPr>
      <w:t xml:space="preserve">	Página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8" w:space="8"/>
      </w:pBdr>
      <w:tabs>
        <w:tab w:val="right" w:pos="9026"/>
      </w:tabs>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r>
      <w:rPr>
        <w:rFonts w:ascii="Calibri" w:cs="Calibri" w:eastAsia="Calibri" w:hAnsi="Calibri"/>
        <w:b/>
        <w:bCs/>
        <w:color w:val="6B7280"/>
        <w:sz w:val="15"/>
        <w:szCs w:val="15"/>
      </w:rPr>
      <w:t xml:space="preserve">	CASOS DE ESTUDIO ODYRA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a21776a34766d8d77f6c7a13da33fb65f87f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2026-07-22T22:26:28.555Z</dcterms:created>
  <dcterms:modified xsi:type="dcterms:W3CDTF">2026-07-22T22:26:28.555Z</dcterms:modified>
</cp:coreProperties>
</file>

<file path=docProps/custom.xml><?xml version="1.0" encoding="utf-8"?>
<Properties xmlns="http://schemas.openxmlformats.org/officeDocument/2006/custom-properties" xmlns:vt="http://schemas.openxmlformats.org/officeDocument/2006/docPropsVTypes"/>
</file>