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INVESTIGACIONES APLICADAS ODYRA</w:t>
      </w:r>
    </w:p>
    <w:p>
      <w:pPr>
        <w:spacing w:after="120" w:before="40"/>
        <w:jc w:val="center"/>
      </w:pPr>
      <w:r>
        <w:rPr>
          <w:rFonts w:ascii="Cambria" w:cs="Cambria" w:eastAsia="Cambria" w:hAnsi="Cambria"/>
          <w:i/>
          <w:iCs/>
          <w:color w:val="6B7280"/>
          <w:sz w:val="22"/>
          <w:szCs w:val="22"/>
        </w:rPr>
        <w:t xml:space="preserve">Marco Oficial de Investigación de la Escuela de Pensamiento ODYRA</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spacing w:after="160" w:line="300"/>
        <w:jc w:val="both"/>
      </w:pPr>
      <w:r>
        <w:rPr>
          <w:rFonts w:ascii="Cambria" w:cs="Cambria" w:eastAsia="Cambria" w:hAnsi="Cambria"/>
          <w:color w:val="000000"/>
          <w:sz w:val="24"/>
          <w:szCs w:val="24"/>
        </w:rPr>
        <w:t xml:space="preserve">El conocimiento alcanza su mayor valor cuando trasciende la reflexión y se convierte en una herramienta para comprender, explicar y transformar la realidad. La investigación aplicada representa ese puente entre el pensamiento y la acción. No busca producir conocimiento por sí mismo, sino generar evidencia, modelos, metodologías y soluciones que respondan a los desafíos reales de organizaciones, territorios y comunidades.</w:t>
      </w:r>
    </w:p>
    <w:p>
      <w:pPr>
        <w:spacing w:after="160" w:line="300"/>
        <w:jc w:val="both"/>
      </w:pPr>
      <w:r>
        <w:rPr>
          <w:rFonts w:ascii="Cambria" w:cs="Cambria" w:eastAsia="Cambria" w:hAnsi="Cambria"/>
          <w:color w:val="000000"/>
          <w:sz w:val="24"/>
          <w:szCs w:val="24"/>
        </w:rPr>
        <w:t xml:space="preserve">Para la Escuela de Pensamiento ODYRA, investigar significa aprender sistemáticamente de la práctica. Cada consultoría, cada proyecto, cada proceso de fortalecimiento institucional y cada experiencia de innovación constituyen una oportunidad para producir conocimiento útil, verificable y transferible. Las Investigaciones Aplicadas son, por tanto, el mecanismo mediante el cual el Sistema ODYRA evoluciona, valida sus modelos y fortalece su capacidad para generar impacto.</w:t>
      </w:r>
    </w:p>
    <w:p>
      <w:pPr>
        <w:spacing w:after="160" w:line="300"/>
        <w:jc w:val="both"/>
      </w:pPr>
      <w:r>
        <w:rPr>
          <w:rFonts w:ascii="Cambria" w:cs="Cambria" w:eastAsia="Cambria" w:hAnsi="Cambria"/>
          <w:color w:val="000000"/>
          <w:sz w:val="24"/>
          <w:szCs w:val="24"/>
        </w:rPr>
        <w:t xml:space="preserve">Este documento no crea un sistema de conocimiento paralelo al establecido en la Arquitectura del Conocimiento ODYRA: lo desarrolla en su dimensión investigativa, articulándose con la Biblioteca Oficial de Casos de Estudio ODYRA como fuente primaria de evidencia y con los Investigadores Asociados de la Comunidad Internacional de Práctica ODYRA como su principal fuerza de trabajo.</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FUNDAMENTOS DE LA INVESTIGACIÓN APLICADA</w:t>
      </w:r>
    </w:p>
    <w:p>
      <w:pPr>
        <w:pStyle w:val="Heading3"/>
        <w:spacing w:after="100" w:before="200"/>
      </w:pPr>
      <w:r>
        <w:rPr>
          <w:rFonts w:ascii="Cambria" w:cs="Cambria" w:eastAsia="Cambria" w:hAnsi="Cambria"/>
          <w:b/>
          <w:bCs/>
          <w:color w:val="1E2761"/>
          <w:sz w:val="23"/>
          <w:szCs w:val="23"/>
        </w:rPr>
        <w:t xml:space="preserve">Capítulo 1. Naturaleza</w:t>
      </w:r>
    </w:p>
    <w:p>
      <w:pPr>
        <w:spacing w:after="160" w:line="300"/>
        <w:jc w:val="both"/>
      </w:pPr>
      <w:r>
        <w:rPr>
          <w:rFonts w:ascii="Cambria" w:cs="Cambria" w:eastAsia="Cambria" w:hAnsi="Cambria"/>
          <w:color w:val="000000"/>
          <w:sz w:val="24"/>
          <w:szCs w:val="24"/>
        </w:rPr>
        <w:t xml:space="preserve">La Investigación Aplicada ODYRA es un proceso sistemático de generación, validación y transferencia de conocimiento orientado a resolver problemas concretos y fortalecer la toma de decisiones en organizaciones públicas, privadas, sociales y territoriales.</w:t>
      </w:r>
    </w:p>
    <w:p>
      <w:pPr>
        <w:spacing w:after="160" w:line="300"/>
        <w:jc w:val="both"/>
      </w:pPr>
      <w:r>
        <w:rPr>
          <w:rFonts w:ascii="Cambria" w:cs="Cambria" w:eastAsia="Cambria" w:hAnsi="Cambria"/>
          <w:color w:val="000000"/>
          <w:sz w:val="24"/>
          <w:szCs w:val="24"/>
        </w:rPr>
        <w:t xml:space="preserve">Su propósito no es únicamente producir evidencia, sino convertir esa evidencia en inteligencia aplicada para la transformación, conforme al Modelo CI–ODYRA. Una investigación que no produce ninguna consecuencia práctica para el Sistema ODYRA o para las organizaciones que estudia no cumple con este propósito, sin importar su rigor académico.</w:t>
      </w:r>
    </w:p>
    <w:p>
      <w:pPr>
        <w:pStyle w:val="Heading3"/>
        <w:spacing w:after="100" w:before="200"/>
      </w:pPr>
      <w:r>
        <w:rPr>
          <w:rFonts w:ascii="Cambria" w:cs="Cambria" w:eastAsia="Cambria" w:hAnsi="Cambria"/>
          <w:b/>
          <w:bCs/>
          <w:color w:val="1E2761"/>
          <w:sz w:val="23"/>
          <w:szCs w:val="23"/>
        </w:rPr>
        <w:t xml:space="preserve">Capítulo 2. Principios</w:t>
      </w:r>
    </w:p>
    <w:p>
      <w:pPr>
        <w:spacing w:after="160" w:line="300"/>
        <w:jc w:val="both"/>
      </w:pPr>
      <w:r>
        <w:rPr>
          <w:rFonts w:ascii="Cambria" w:cs="Cambria" w:eastAsia="Cambria" w:hAnsi="Cambria"/>
          <w:color w:val="000000"/>
          <w:sz w:val="24"/>
          <w:szCs w:val="24"/>
        </w:rPr>
        <w:t xml:space="preserve">Toda investigación desarrollada dentro del Sistema ODYRA estará guiada por los siguientes diez principios:</w:t>
      </w:r>
    </w:p>
    <w:p>
      <w:pPr>
        <w:pStyle w:val="ListParagraph"/>
        <w:numPr>
          <w:ilvl w:val="0"/>
          <w:numId w:val="1"/>
        </w:numPr>
        <w:spacing w:after="80"/>
        <w:jc w:val="both"/>
      </w:pPr>
      <w:r>
        <w:rPr>
          <w:rFonts w:ascii="Cambria" w:cs="Cambria" w:eastAsia="Cambria" w:hAnsi="Cambria"/>
          <w:b/>
          <w:bCs/>
          <w:color w:val="000000"/>
          <w:sz w:val="23"/>
          <w:szCs w:val="23"/>
        </w:rPr>
        <w:t xml:space="preserve">Pertinencia.</w:t>
      </w:r>
      <w:r>
        <w:rPr>
          <w:rFonts w:ascii="Cambria" w:cs="Cambria" w:eastAsia="Cambria" w:hAnsi="Cambria"/>
          <w:color w:val="000000"/>
          <w:sz w:val="23"/>
          <w:szCs w:val="23"/>
        </w:rPr>
        <w:t xml:space="preserve"> Toda investigación debe responder a un problema real del Sistema ODYRA o de las organizaciones y territorios donde opera.</w:t>
      </w:r>
    </w:p>
    <w:p>
      <w:pPr>
        <w:pStyle w:val="ListParagraph"/>
        <w:numPr>
          <w:ilvl w:val="0"/>
          <w:numId w:val="1"/>
        </w:numPr>
        <w:spacing w:after="80"/>
        <w:jc w:val="both"/>
      </w:pPr>
      <w:r>
        <w:rPr>
          <w:rFonts w:ascii="Cambria" w:cs="Cambria" w:eastAsia="Cambria" w:hAnsi="Cambria"/>
          <w:b/>
          <w:bCs/>
          <w:color w:val="000000"/>
          <w:sz w:val="23"/>
          <w:szCs w:val="23"/>
        </w:rPr>
        <w:t xml:space="preserve">Rigor metodológico.</w:t>
      </w:r>
      <w:r>
        <w:rPr>
          <w:rFonts w:ascii="Cambria" w:cs="Cambria" w:eastAsia="Cambria" w:hAnsi="Cambria"/>
          <w:color w:val="000000"/>
          <w:sz w:val="23"/>
          <w:szCs w:val="23"/>
        </w:rPr>
        <w:t xml:space="preserve"> La investigación sigue estándares reconocidos de diseño, recolección y análisis de evidencia.</w:t>
      </w:r>
    </w:p>
    <w:p>
      <w:pPr>
        <w:pStyle w:val="ListParagraph"/>
        <w:numPr>
          <w:ilvl w:val="0"/>
          <w:numId w:val="1"/>
        </w:numPr>
        <w:spacing w:after="80"/>
        <w:jc w:val="both"/>
      </w:pPr>
      <w:r>
        <w:rPr>
          <w:rFonts w:ascii="Cambria" w:cs="Cambria" w:eastAsia="Cambria" w:hAnsi="Cambria"/>
          <w:b/>
          <w:bCs/>
          <w:color w:val="000000"/>
          <w:sz w:val="23"/>
          <w:szCs w:val="23"/>
        </w:rPr>
        <w:t xml:space="preserve">Aplicabilidad.</w:t>
      </w:r>
      <w:r>
        <w:rPr>
          <w:rFonts w:ascii="Cambria" w:cs="Cambria" w:eastAsia="Cambria" w:hAnsi="Cambria"/>
          <w:color w:val="000000"/>
          <w:sz w:val="23"/>
          <w:szCs w:val="23"/>
        </w:rPr>
        <w:t xml:space="preserve"> El conocimiento producido debe poder traducirse en decisiones, modelos o herramientas concretas.</w:t>
      </w:r>
    </w:p>
    <w:p>
      <w:pPr>
        <w:pStyle w:val="ListParagraph"/>
        <w:numPr>
          <w:ilvl w:val="0"/>
          <w:numId w:val="1"/>
        </w:numPr>
        <w:spacing w:after="80"/>
        <w:jc w:val="both"/>
      </w:pPr>
      <w:r>
        <w:rPr>
          <w:rFonts w:ascii="Cambria" w:cs="Cambria" w:eastAsia="Cambria" w:hAnsi="Cambria"/>
          <w:b/>
          <w:bCs/>
          <w:color w:val="000000"/>
          <w:sz w:val="23"/>
          <w:szCs w:val="23"/>
        </w:rPr>
        <w:t xml:space="preserve">Ética.</w:t>
      </w:r>
      <w:r>
        <w:rPr>
          <w:rFonts w:ascii="Cambria" w:cs="Cambria" w:eastAsia="Cambria" w:hAnsi="Cambria"/>
          <w:color w:val="000000"/>
          <w:sz w:val="23"/>
          <w:szCs w:val="23"/>
        </w:rPr>
        <w:t xml:space="preserve"> Toda investigación respeta los principios establecidos en el Canon Intelectual ODYRA, particularmente en lo relativo al consentimiento informado y la confidencialidad.</w:t>
      </w:r>
    </w:p>
    <w:p>
      <w:pPr>
        <w:pStyle w:val="ListParagraph"/>
        <w:numPr>
          <w:ilvl w:val="0"/>
          <w:numId w:val="1"/>
        </w:numPr>
        <w:spacing w:after="80"/>
        <w:jc w:val="both"/>
      </w:pPr>
      <w:r>
        <w:rPr>
          <w:rFonts w:ascii="Cambria" w:cs="Cambria" w:eastAsia="Cambria" w:hAnsi="Cambria"/>
          <w:b/>
          <w:bCs/>
          <w:color w:val="000000"/>
          <w:sz w:val="23"/>
          <w:szCs w:val="23"/>
        </w:rPr>
        <w:t xml:space="preserve">Innovación.</w:t>
      </w:r>
      <w:r>
        <w:rPr>
          <w:rFonts w:ascii="Cambria" w:cs="Cambria" w:eastAsia="Cambria" w:hAnsi="Cambria"/>
          <w:color w:val="000000"/>
          <w:sz w:val="23"/>
          <w:szCs w:val="23"/>
        </w:rPr>
        <w:t xml:space="preserve"> La investigación explora activamente nuevas preguntas y enfoques, sin limitarse a confirmar lo ya conocido.</w:t>
      </w:r>
    </w:p>
    <w:p>
      <w:pPr>
        <w:pStyle w:val="ListParagraph"/>
        <w:numPr>
          <w:ilvl w:val="0"/>
          <w:numId w:val="1"/>
        </w:numPr>
        <w:spacing w:after="80"/>
        <w:jc w:val="both"/>
      </w:pPr>
      <w:r>
        <w:rPr>
          <w:rFonts w:ascii="Cambria" w:cs="Cambria" w:eastAsia="Cambria" w:hAnsi="Cambria"/>
          <w:b/>
          <w:bCs/>
          <w:color w:val="000000"/>
          <w:sz w:val="23"/>
          <w:szCs w:val="23"/>
        </w:rPr>
        <w:t xml:space="preserve">Pensamiento sistémico.</w:t>
      </w:r>
      <w:r>
        <w:rPr>
          <w:rFonts w:ascii="Cambria" w:cs="Cambria" w:eastAsia="Cambria" w:hAnsi="Cambria"/>
          <w:color w:val="000000"/>
          <w:sz w:val="23"/>
          <w:szCs w:val="23"/>
        </w:rPr>
        <w:t xml:space="preserve"> Los fenómenos se investigan considerando sus relaciones con el sistema completo del que forman parte, no de manera aislada.</w:t>
      </w:r>
    </w:p>
    <w:p>
      <w:pPr>
        <w:pStyle w:val="ListParagraph"/>
        <w:numPr>
          <w:ilvl w:val="0"/>
          <w:numId w:val="1"/>
        </w:numPr>
        <w:spacing w:after="80"/>
        <w:jc w:val="both"/>
      </w:pPr>
      <w:r>
        <w:rPr>
          <w:rFonts w:ascii="Cambria" w:cs="Cambria" w:eastAsia="Cambria" w:hAnsi="Cambria"/>
          <w:b/>
          <w:bCs/>
          <w:color w:val="000000"/>
          <w:sz w:val="23"/>
          <w:szCs w:val="23"/>
        </w:rPr>
        <w:t xml:space="preserve">Interdisciplinariedad.</w:t>
      </w:r>
      <w:r>
        <w:rPr>
          <w:rFonts w:ascii="Cambria" w:cs="Cambria" w:eastAsia="Cambria" w:hAnsi="Cambria"/>
          <w:color w:val="000000"/>
          <w:sz w:val="23"/>
          <w:szCs w:val="23"/>
        </w:rPr>
        <w:t xml:space="preserve"> La investigación integra perspectivas de distintas disciplinas cuando el problema estudiado lo requiere.</w:t>
      </w:r>
    </w:p>
    <w:p>
      <w:pPr>
        <w:pStyle w:val="ListParagraph"/>
        <w:numPr>
          <w:ilvl w:val="0"/>
          <w:numId w:val="1"/>
        </w:numPr>
        <w:spacing w:after="80"/>
        <w:jc w:val="both"/>
      </w:pPr>
      <w:r>
        <w:rPr>
          <w:rFonts w:ascii="Cambria" w:cs="Cambria" w:eastAsia="Cambria" w:hAnsi="Cambria"/>
          <w:b/>
          <w:bCs/>
          <w:color w:val="000000"/>
          <w:sz w:val="23"/>
          <w:szCs w:val="23"/>
        </w:rPr>
        <w:t xml:space="preserve">Colaboración.</w:t>
      </w:r>
      <w:r>
        <w:rPr>
          <w:rFonts w:ascii="Cambria" w:cs="Cambria" w:eastAsia="Cambria" w:hAnsi="Cambria"/>
          <w:color w:val="000000"/>
          <w:sz w:val="23"/>
          <w:szCs w:val="23"/>
        </w:rPr>
        <w:t xml:space="preserve"> La investigación se enriquece mediante el trabajo conjunto entre consultores, académicos, organizaciones y comunidades.</w:t>
      </w:r>
    </w:p>
    <w:p>
      <w:pPr>
        <w:pStyle w:val="ListParagraph"/>
        <w:numPr>
          <w:ilvl w:val="0"/>
          <w:numId w:val="1"/>
        </w:numPr>
        <w:spacing w:after="80"/>
        <w:jc w:val="both"/>
      </w:pPr>
      <w:r>
        <w:rPr>
          <w:rFonts w:ascii="Cambria" w:cs="Cambria" w:eastAsia="Cambria" w:hAnsi="Cambria"/>
          <w:b/>
          <w:bCs/>
          <w:color w:val="000000"/>
          <w:sz w:val="23"/>
          <w:szCs w:val="23"/>
        </w:rPr>
        <w:t xml:space="preserve">Transparencia.</w:t>
      </w:r>
      <w:r>
        <w:rPr>
          <w:rFonts w:ascii="Cambria" w:cs="Cambria" w:eastAsia="Cambria" w:hAnsi="Cambria"/>
          <w:color w:val="000000"/>
          <w:sz w:val="23"/>
          <w:szCs w:val="23"/>
        </w:rPr>
        <w:t xml:space="preserve"> Los métodos, las fuentes y las limitaciones de toda investigación se documentan con claridad.</w:t>
      </w:r>
    </w:p>
    <w:p>
      <w:pPr>
        <w:pStyle w:val="ListParagraph"/>
        <w:numPr>
          <w:ilvl w:val="0"/>
          <w:numId w:val="1"/>
        </w:numPr>
        <w:spacing w:after="80"/>
        <w:jc w:val="both"/>
      </w:pPr>
      <w:r>
        <w:rPr>
          <w:rFonts w:ascii="Cambria" w:cs="Cambria" w:eastAsia="Cambria" w:hAnsi="Cambria"/>
          <w:b/>
          <w:bCs/>
          <w:color w:val="000000"/>
          <w:sz w:val="23"/>
          <w:szCs w:val="23"/>
        </w:rPr>
        <w:t xml:space="preserve">Mejora continua.</w:t>
      </w:r>
      <w:r>
        <w:rPr>
          <w:rFonts w:ascii="Cambria" w:cs="Cambria" w:eastAsia="Cambria" w:hAnsi="Cambria"/>
          <w:color w:val="000000"/>
          <w:sz w:val="23"/>
          <w:szCs w:val="23"/>
        </w:rPr>
        <w:t xml:space="preserve"> Toda investigación concluida se somete a revisión y puede perfeccionarse con nueva evidencia.</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LÍNEAS OFICIALES DE INVESTIGACIÓN</w:t>
      </w:r>
    </w:p>
    <w:p>
      <w:pPr>
        <w:spacing w:after="160" w:line="300"/>
        <w:jc w:val="both"/>
      </w:pPr>
      <w:r>
        <w:rPr>
          <w:rFonts w:ascii="Cambria" w:cs="Cambria" w:eastAsia="Cambria" w:hAnsi="Cambria"/>
          <w:color w:val="000000"/>
          <w:sz w:val="24"/>
          <w:szCs w:val="24"/>
        </w:rPr>
        <w:t xml:space="preserve">El Sistema ODYRA desarrolla nueve líneas estratégicas de investigación, en correspondencia directa con las ocho Escuelas Académicas establecidas en los Programas Oficiales de Formación ODYRA.</w:t>
      </w:r>
    </w:p>
    <w:p>
      <w:pPr>
        <w:spacing w:after="160" w:line="300"/>
        <w:jc w:val="both"/>
      </w:pPr>
      <w:r>
        <w:rPr>
          <w:rFonts w:ascii="Cambria" w:cs="Cambria" w:eastAsia="Cambria" w:hAnsi="Cambria"/>
          <w:b/>
          <w:bCs/>
          <w:color w:val="000000"/>
          <w:sz w:val="24"/>
          <w:szCs w:val="24"/>
        </w:rPr>
        <w:t xml:space="preserve">Línea 1. Consultoría Estratégica.</w:t>
      </w:r>
      <w:r>
        <w:rPr>
          <w:rFonts w:ascii="Cambria" w:cs="Cambria" w:eastAsia="Cambria" w:hAnsi="Cambria"/>
          <w:color w:val="000000"/>
          <w:sz w:val="24"/>
          <w:szCs w:val="24"/>
        </w:rPr>
        <w:t xml:space="preserve"> Nuevos modelos de consultoría, evolución del ejercicio profesional, transformación organizacional, inteligencia institucional y desarrollo de capacidades. Corresponde a la Escuela 1 de los Programas Oficiales de Formación.</w:t>
      </w:r>
    </w:p>
    <w:p>
      <w:pPr>
        <w:spacing w:after="160" w:line="300"/>
        <w:jc w:val="both"/>
      </w:pPr>
      <w:r>
        <w:rPr>
          <w:rFonts w:ascii="Cambria" w:cs="Cambria" w:eastAsia="Cambria" w:hAnsi="Cambria"/>
          <w:b/>
          <w:bCs/>
          <w:color w:val="000000"/>
          <w:sz w:val="24"/>
          <w:szCs w:val="24"/>
        </w:rPr>
        <w:t xml:space="preserve">Línea 2. Gestión Integral de Proyectos.</w:t>
      </w:r>
      <w:r>
        <w:rPr>
          <w:rFonts w:ascii="Cambria" w:cs="Cambria" w:eastAsia="Cambria" w:hAnsi="Cambria"/>
          <w:color w:val="000000"/>
          <w:sz w:val="24"/>
          <w:szCs w:val="24"/>
        </w:rPr>
        <w:t xml:space="preserve"> Formulación, ejecución, seguimiento y evaluación, cierre y sostenibilidad, innovación en metodologías, oficinas de proyectos y gestión del riesgo. Corresponde a la Escuela 2.</w:t>
      </w:r>
    </w:p>
    <w:p>
      <w:pPr>
        <w:spacing w:after="160" w:line="300"/>
        <w:jc w:val="both"/>
      </w:pPr>
      <w:r>
        <w:rPr>
          <w:rFonts w:ascii="Cambria" w:cs="Cambria" w:eastAsia="Cambria" w:hAnsi="Cambria"/>
          <w:b/>
          <w:bCs/>
          <w:color w:val="000000"/>
          <w:sz w:val="24"/>
          <w:szCs w:val="24"/>
        </w:rPr>
        <w:t xml:space="preserve">Línea 3. Asociatividad.</w:t>
      </w:r>
      <w:r>
        <w:rPr>
          <w:rFonts w:ascii="Cambria" w:cs="Cambria" w:eastAsia="Cambria" w:hAnsi="Cambria"/>
          <w:color w:val="000000"/>
          <w:sz w:val="24"/>
          <w:szCs w:val="24"/>
        </w:rPr>
        <w:t xml:space="preserve"> Gobernanza asociativa, cooperativismo, redes empresariales, clústeres, desarrollo económico local y fortalecimiento organizacional.</w:t>
      </w:r>
    </w:p>
    <w:p>
      <w:pPr>
        <w:spacing w:after="160" w:line="300"/>
        <w:jc w:val="both"/>
      </w:pPr>
      <w:r>
        <w:rPr>
          <w:rFonts w:ascii="Cambria" w:cs="Cambria" w:eastAsia="Cambria" w:hAnsi="Cambria"/>
          <w:b/>
          <w:bCs/>
          <w:color w:val="000000"/>
          <w:sz w:val="24"/>
          <w:szCs w:val="24"/>
        </w:rPr>
        <w:t xml:space="preserve">Línea 4. Desarrollo Territorial.</w:t>
      </w:r>
      <w:r>
        <w:rPr>
          <w:rFonts w:ascii="Cambria" w:cs="Cambria" w:eastAsia="Cambria" w:hAnsi="Cambria"/>
          <w:color w:val="000000"/>
          <w:sz w:val="24"/>
          <w:szCs w:val="24"/>
        </w:rPr>
        <w:t xml:space="preserve"> Planeación territorial, desarrollo rural, competitividad, innovación territorial, gobernanza local y participación ciudadana. Las Líneas 3 y 4 corresponden, en conjunto, a la Escuela 3.</w:t>
      </w:r>
    </w:p>
    <w:p>
      <w:pPr>
        <w:spacing w:after="160" w:line="300"/>
        <w:jc w:val="both"/>
      </w:pPr>
      <w:r>
        <w:rPr>
          <w:rFonts w:ascii="Cambria" w:cs="Cambria" w:eastAsia="Cambria" w:hAnsi="Cambria"/>
          <w:b/>
          <w:bCs/>
          <w:color w:val="000000"/>
          <w:sz w:val="24"/>
          <w:szCs w:val="24"/>
        </w:rPr>
        <w:t xml:space="preserve">Línea 5. Tierras y Ordenamiento Rural.</w:t>
      </w:r>
      <w:r>
        <w:rPr>
          <w:rFonts w:ascii="Cambria" w:cs="Cambria" w:eastAsia="Cambria" w:hAnsi="Cambria"/>
          <w:color w:val="000000"/>
          <w:sz w:val="24"/>
          <w:szCs w:val="24"/>
        </w:rPr>
        <w:t xml:space="preserve"> Formalización de la propiedad, legalización predial, catastro multipropósito, gestión predial, ordenamiento social de la propiedad y desarrollo rural integral. Corresponde a la Escuela 4.</w:t>
      </w:r>
    </w:p>
    <w:p>
      <w:pPr>
        <w:spacing w:after="160" w:line="300"/>
        <w:jc w:val="both"/>
      </w:pPr>
      <w:r>
        <w:rPr>
          <w:rFonts w:ascii="Cambria" w:cs="Cambria" w:eastAsia="Cambria" w:hAnsi="Cambria"/>
          <w:b/>
          <w:bCs/>
          <w:color w:val="000000"/>
          <w:sz w:val="24"/>
          <w:szCs w:val="24"/>
        </w:rPr>
        <w:t xml:space="preserve">Línea 6. Inteligencia Artificial Aplicada.</w:t>
      </w:r>
      <w:r>
        <w:rPr>
          <w:rFonts w:ascii="Cambria" w:cs="Cambria" w:eastAsia="Cambria" w:hAnsi="Cambria"/>
          <w:color w:val="000000"/>
          <w:sz w:val="24"/>
          <w:szCs w:val="24"/>
        </w:rPr>
        <w:t xml:space="preserve"> IA para consultoría, proyectos y organizaciones, automatización inteligente, ingeniería de prompts, agentes inteligentes, ética de la IA y el Modelo CI–ODYRA. Corresponde a la Escuela 5.</w:t>
      </w:r>
    </w:p>
    <w:p>
      <w:pPr>
        <w:spacing w:after="160" w:line="300"/>
        <w:jc w:val="both"/>
      </w:pPr>
      <w:r>
        <w:rPr>
          <w:rFonts w:ascii="Cambria" w:cs="Cambria" w:eastAsia="Cambria" w:hAnsi="Cambria"/>
          <w:b/>
          <w:bCs/>
          <w:color w:val="000000"/>
          <w:sz w:val="24"/>
          <w:szCs w:val="24"/>
        </w:rPr>
        <w:t xml:space="preserve">Línea 7. Gestión del Conocimiento.</w:t>
      </w:r>
      <w:r>
        <w:rPr>
          <w:rFonts w:ascii="Cambria" w:cs="Cambria" w:eastAsia="Cambria" w:hAnsi="Cambria"/>
          <w:color w:val="000000"/>
          <w:sz w:val="24"/>
          <w:szCs w:val="24"/>
        </w:rPr>
        <w:t xml:space="preserve"> Arquitecturas del conocimiento, memoria institucional, aprendizaje organizacional, inteligencia colectiva y sistemas de conocimiento. Corresponde, junto con la Línea 8 de investigación metodológica en general, a la Escuela 8.</w:t>
      </w:r>
    </w:p>
    <w:p>
      <w:pPr>
        <w:spacing w:after="160" w:line="300"/>
        <w:jc w:val="both"/>
      </w:pPr>
      <w:r>
        <w:rPr>
          <w:rFonts w:ascii="Cambria" w:cs="Cambria" w:eastAsia="Cambria" w:hAnsi="Cambria"/>
          <w:b/>
          <w:bCs/>
          <w:color w:val="000000"/>
          <w:sz w:val="24"/>
          <w:szCs w:val="24"/>
        </w:rPr>
        <w:t xml:space="preserve">Línea 8. Innovación Organizacional.</w:t>
      </w:r>
      <w:r>
        <w:rPr>
          <w:rFonts w:ascii="Cambria" w:cs="Cambria" w:eastAsia="Cambria" w:hAnsi="Cambria"/>
          <w:color w:val="000000"/>
          <w:sz w:val="24"/>
          <w:szCs w:val="24"/>
        </w:rPr>
        <w:t xml:space="preserve"> Innovación pública, empresarial y social, transformación digital y laboratorios de innovación. Corresponde a la Escuela 6.</w:t>
      </w:r>
    </w:p>
    <w:p>
      <w:pPr>
        <w:spacing w:after="160" w:line="300"/>
        <w:jc w:val="both"/>
      </w:pPr>
      <w:r>
        <w:rPr>
          <w:rFonts w:ascii="Cambria" w:cs="Cambria" w:eastAsia="Cambria" w:hAnsi="Cambria"/>
          <w:b/>
          <w:bCs/>
          <w:color w:val="000000"/>
          <w:sz w:val="24"/>
          <w:szCs w:val="24"/>
        </w:rPr>
        <w:t xml:space="preserve">Línea 9. Liderazgo, Gobernanza y Alta Dirección.</w:t>
      </w:r>
      <w:r>
        <w:rPr>
          <w:rFonts w:ascii="Cambria" w:cs="Cambria" w:eastAsia="Cambria" w:hAnsi="Cambria"/>
          <w:color w:val="000000"/>
          <w:sz w:val="24"/>
          <w:szCs w:val="24"/>
        </w:rPr>
        <w:t xml:space="preserve"> Liderazgo adaptativo y estratégico, gobernanza institucional y territorial, alta dirección, gestión del talento estratégico y comunicación estratégica. Corresponde a la Escuela 7.</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TIPOLOGÍAS DE INVESTIGACIÓN</w:t>
      </w:r>
    </w:p>
    <w:p>
      <w:pPr>
        <w:spacing w:after="160" w:line="300"/>
        <w:jc w:val="both"/>
      </w:pPr>
      <w:r>
        <w:rPr>
          <w:rFonts w:ascii="Cambria" w:cs="Cambria" w:eastAsia="Cambria" w:hAnsi="Cambria"/>
          <w:color w:val="000000"/>
          <w:sz w:val="24"/>
          <w:szCs w:val="24"/>
        </w:rPr>
        <w:t xml:space="preserve">El Sistema ODYRA reconoce siete modalidades de investigación, que podrán combinarse dentro de un mismo proyecto según su alcance:</w:t>
      </w:r>
    </w:p>
    <w:p>
      <w:pPr>
        <w:pStyle w:val="ListParagraph"/>
        <w:numPr>
          <w:ilvl w:val="0"/>
          <w:numId w:val="1"/>
        </w:numPr>
        <w:spacing w:after="80"/>
        <w:jc w:val="both"/>
      </w:pPr>
      <w:r>
        <w:rPr>
          <w:rFonts w:ascii="Cambria" w:cs="Cambria" w:eastAsia="Cambria" w:hAnsi="Cambria"/>
          <w:b/>
          <w:bCs/>
          <w:color w:val="000000"/>
          <w:sz w:val="23"/>
          <w:szCs w:val="23"/>
        </w:rPr>
        <w:t xml:space="preserve">Investigación aplicada.</w:t>
      </w:r>
      <w:r>
        <w:rPr>
          <w:rFonts w:ascii="Cambria" w:cs="Cambria" w:eastAsia="Cambria" w:hAnsi="Cambria"/>
          <w:color w:val="000000"/>
          <w:sz w:val="23"/>
          <w:szCs w:val="23"/>
        </w:rPr>
        <w:t xml:space="preserve"> Orientada a resolver problemas específicos de una organización, un proyecto o un territorio.</w:t>
      </w:r>
    </w:p>
    <w:p>
      <w:pPr>
        <w:pStyle w:val="ListParagraph"/>
        <w:numPr>
          <w:ilvl w:val="0"/>
          <w:numId w:val="1"/>
        </w:numPr>
        <w:spacing w:after="80"/>
        <w:jc w:val="both"/>
      </w:pPr>
      <w:r>
        <w:rPr>
          <w:rFonts w:ascii="Cambria" w:cs="Cambria" w:eastAsia="Cambria" w:hAnsi="Cambria"/>
          <w:b/>
          <w:bCs/>
          <w:color w:val="000000"/>
          <w:sz w:val="23"/>
          <w:szCs w:val="23"/>
        </w:rPr>
        <w:t xml:space="preserve">Investigación evaluativa.</w:t>
      </w:r>
      <w:r>
        <w:rPr>
          <w:rFonts w:ascii="Cambria" w:cs="Cambria" w:eastAsia="Cambria" w:hAnsi="Cambria"/>
          <w:color w:val="000000"/>
          <w:sz w:val="23"/>
          <w:szCs w:val="23"/>
        </w:rPr>
        <w:t xml:space="preserve"> Analiza resultados, impactos y aprendizajes de intervenciones ya ejecutadas, articulándose con la Parte VII del Marco Metodológico ODYRA.</w:t>
      </w:r>
    </w:p>
    <w:p>
      <w:pPr>
        <w:pStyle w:val="ListParagraph"/>
        <w:numPr>
          <w:ilvl w:val="0"/>
          <w:numId w:val="1"/>
        </w:numPr>
        <w:spacing w:after="80"/>
        <w:jc w:val="both"/>
      </w:pPr>
      <w:r>
        <w:rPr>
          <w:rFonts w:ascii="Cambria" w:cs="Cambria" w:eastAsia="Cambria" w:hAnsi="Cambria"/>
          <w:b/>
          <w:bCs/>
          <w:color w:val="000000"/>
          <w:sz w:val="23"/>
          <w:szCs w:val="23"/>
        </w:rPr>
        <w:t xml:space="preserve">Investigación metodológica.</w:t>
      </w:r>
      <w:r>
        <w:rPr>
          <w:rFonts w:ascii="Cambria" w:cs="Cambria" w:eastAsia="Cambria" w:hAnsi="Cambria"/>
          <w:color w:val="000000"/>
          <w:sz w:val="23"/>
          <w:szCs w:val="23"/>
        </w:rPr>
        <w:t xml:space="preserve"> Desarrolla nuevos modelos, marcos y herramientas, siguiendo el proceso establecido en el Manual de Modelos ODYRA.</w:t>
      </w:r>
    </w:p>
    <w:p>
      <w:pPr>
        <w:pStyle w:val="ListParagraph"/>
        <w:numPr>
          <w:ilvl w:val="0"/>
          <w:numId w:val="1"/>
        </w:numPr>
        <w:spacing w:after="80"/>
        <w:jc w:val="both"/>
      </w:pPr>
      <w:r>
        <w:rPr>
          <w:rFonts w:ascii="Cambria" w:cs="Cambria" w:eastAsia="Cambria" w:hAnsi="Cambria"/>
          <w:b/>
          <w:bCs/>
          <w:color w:val="000000"/>
          <w:sz w:val="23"/>
          <w:szCs w:val="23"/>
        </w:rPr>
        <w:t xml:space="preserve">Investigación prospectiva.</w:t>
      </w:r>
      <w:r>
        <w:rPr>
          <w:rFonts w:ascii="Cambria" w:cs="Cambria" w:eastAsia="Cambria" w:hAnsi="Cambria"/>
          <w:color w:val="000000"/>
          <w:sz w:val="23"/>
          <w:szCs w:val="23"/>
        </w:rPr>
        <w:t xml:space="preserve"> Explora escenarios futuros y tendencias emergentes que puedan afectar a organizaciones y territorios.</w:t>
      </w:r>
    </w:p>
    <w:p>
      <w:pPr>
        <w:pStyle w:val="ListParagraph"/>
        <w:numPr>
          <w:ilvl w:val="0"/>
          <w:numId w:val="1"/>
        </w:numPr>
        <w:spacing w:after="80"/>
        <w:jc w:val="both"/>
      </w:pPr>
      <w:r>
        <w:rPr>
          <w:rFonts w:ascii="Cambria" w:cs="Cambria" w:eastAsia="Cambria" w:hAnsi="Cambria"/>
          <w:b/>
          <w:bCs/>
          <w:color w:val="000000"/>
          <w:sz w:val="23"/>
          <w:szCs w:val="23"/>
        </w:rPr>
        <w:t xml:space="preserve">Investigación comparada.</w:t>
      </w:r>
      <w:r>
        <w:rPr>
          <w:rFonts w:ascii="Cambria" w:cs="Cambria" w:eastAsia="Cambria" w:hAnsi="Cambria"/>
          <w:color w:val="000000"/>
          <w:sz w:val="23"/>
          <w:szCs w:val="23"/>
        </w:rPr>
        <w:t xml:space="preserve"> Contrasta experiencias, metodologías y buenas prácticas entre distintos contextos o países.</w:t>
      </w:r>
    </w:p>
    <w:p>
      <w:pPr>
        <w:pStyle w:val="ListParagraph"/>
        <w:numPr>
          <w:ilvl w:val="0"/>
          <w:numId w:val="1"/>
        </w:numPr>
        <w:spacing w:after="80"/>
        <w:jc w:val="both"/>
      </w:pPr>
      <w:r>
        <w:rPr>
          <w:rFonts w:ascii="Cambria" w:cs="Cambria" w:eastAsia="Cambria" w:hAnsi="Cambria"/>
          <w:b/>
          <w:bCs/>
          <w:color w:val="000000"/>
          <w:sz w:val="23"/>
          <w:szCs w:val="23"/>
        </w:rPr>
        <w:t xml:space="preserve">Investigación basada en casos.</w:t>
      </w:r>
      <w:r>
        <w:rPr>
          <w:rFonts w:ascii="Cambria" w:cs="Cambria" w:eastAsia="Cambria" w:hAnsi="Cambria"/>
          <w:color w:val="000000"/>
          <w:sz w:val="23"/>
          <w:szCs w:val="23"/>
        </w:rPr>
        <w:t xml:space="preserve"> Extrae conocimiento a partir de experiencias reales documentadas en la Biblioteca Oficial de Casos de Estudio ODYRA.</w:t>
      </w:r>
    </w:p>
    <w:p>
      <w:pPr>
        <w:pStyle w:val="ListParagraph"/>
        <w:numPr>
          <w:ilvl w:val="0"/>
          <w:numId w:val="1"/>
        </w:numPr>
        <w:spacing w:after="80"/>
        <w:jc w:val="both"/>
      </w:pPr>
      <w:r>
        <w:rPr>
          <w:rFonts w:ascii="Cambria" w:cs="Cambria" w:eastAsia="Cambria" w:hAnsi="Cambria"/>
          <w:b/>
          <w:bCs/>
          <w:color w:val="000000"/>
          <w:sz w:val="23"/>
          <w:szCs w:val="23"/>
        </w:rPr>
        <w:t xml:space="preserve">Investigación colaborativa.</w:t>
      </w:r>
      <w:r>
        <w:rPr>
          <w:rFonts w:ascii="Cambria" w:cs="Cambria" w:eastAsia="Cambria" w:hAnsi="Cambria"/>
          <w:color w:val="000000"/>
          <w:sz w:val="23"/>
          <w:szCs w:val="23"/>
        </w:rPr>
        <w:t xml:space="preserve"> Se desarrolla conjuntamente con universidades, organizaciones y comunidades, conforme a las alianzas descritas en la Parte VII de este documento.</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LABORATORIOS DE INVESTIGACIÓN</w:t>
      </w:r>
    </w:p>
    <w:p>
      <w:pPr>
        <w:spacing w:after="160" w:line="300"/>
        <w:jc w:val="both"/>
      </w:pPr>
      <w:r>
        <w:rPr>
          <w:rFonts w:ascii="Cambria" w:cs="Cambria" w:eastAsia="Cambria" w:hAnsi="Cambria"/>
          <w:color w:val="000000"/>
          <w:sz w:val="24"/>
          <w:szCs w:val="24"/>
        </w:rPr>
        <w:t xml:space="preserve">Las investigaciones se desarrollan mediante ocho laboratorios especializados, cada uno correspondiente a una línea de investigación afín:</w:t>
      </w:r>
    </w:p>
    <w:p>
      <w:pPr>
        <w:pStyle w:val="ListParagraph"/>
        <w:numPr>
          <w:ilvl w:val="0"/>
          <w:numId w:val="1"/>
        </w:numPr>
        <w:spacing w:after="80"/>
        <w:jc w:val="both"/>
      </w:pPr>
      <w:r>
        <w:rPr>
          <w:rFonts w:ascii="Cambria" w:cs="Cambria" w:eastAsia="Cambria" w:hAnsi="Cambria"/>
          <w:b/>
          <w:bCs/>
          <w:color w:val="000000"/>
          <w:sz w:val="23"/>
          <w:szCs w:val="23"/>
        </w:rPr>
        <w:t xml:space="preserve">Laboratorio de Consultoría Estratégica.</w:t>
      </w:r>
    </w:p>
    <w:p>
      <w:pPr>
        <w:pStyle w:val="ListParagraph"/>
        <w:numPr>
          <w:ilvl w:val="0"/>
          <w:numId w:val="1"/>
        </w:numPr>
        <w:spacing w:after="80"/>
        <w:jc w:val="both"/>
      </w:pPr>
      <w:r>
        <w:rPr>
          <w:rFonts w:ascii="Cambria" w:cs="Cambria" w:eastAsia="Cambria" w:hAnsi="Cambria"/>
          <w:b/>
          <w:bCs/>
          <w:color w:val="000000"/>
          <w:sz w:val="23"/>
          <w:szCs w:val="23"/>
        </w:rPr>
        <w:t xml:space="preserve">Laboratorio de Proyectos.</w:t>
      </w:r>
    </w:p>
    <w:p>
      <w:pPr>
        <w:pStyle w:val="ListParagraph"/>
        <w:numPr>
          <w:ilvl w:val="0"/>
          <w:numId w:val="1"/>
        </w:numPr>
        <w:spacing w:after="80"/>
        <w:jc w:val="both"/>
      </w:pPr>
      <w:r>
        <w:rPr>
          <w:rFonts w:ascii="Cambria" w:cs="Cambria" w:eastAsia="Cambria" w:hAnsi="Cambria"/>
          <w:b/>
          <w:bCs/>
          <w:color w:val="000000"/>
          <w:sz w:val="23"/>
          <w:szCs w:val="23"/>
        </w:rPr>
        <w:t xml:space="preserve">LOIA — Laboratorio ODYRA de Inteligencia Aplicada.</w:t>
      </w:r>
      <w:r>
        <w:rPr>
          <w:rFonts w:ascii="Cambria" w:cs="Cambria" w:eastAsia="Cambria" w:hAnsi="Cambria"/>
          <w:color w:val="000000"/>
          <w:sz w:val="23"/>
          <w:szCs w:val="23"/>
        </w:rPr>
        <w:t xml:space="preserve"> El mismo laboratorio establecido en el Manual Oficial de Skills de IA ODYRA; no se trata de un laboratorio distinto, sino de su función específica de investigación en inteligencia artificial.</w:t>
      </w:r>
    </w:p>
    <w:p>
      <w:pPr>
        <w:pStyle w:val="ListParagraph"/>
        <w:numPr>
          <w:ilvl w:val="0"/>
          <w:numId w:val="1"/>
        </w:numPr>
        <w:spacing w:after="80"/>
        <w:jc w:val="both"/>
      </w:pPr>
      <w:r>
        <w:rPr>
          <w:rFonts w:ascii="Cambria" w:cs="Cambria" w:eastAsia="Cambria" w:hAnsi="Cambria"/>
          <w:b/>
          <w:bCs/>
          <w:color w:val="000000"/>
          <w:sz w:val="23"/>
          <w:szCs w:val="23"/>
        </w:rPr>
        <w:t xml:space="preserve">Laboratorio de Asociatividad y Desarrollo Territorial.</w:t>
      </w:r>
    </w:p>
    <w:p>
      <w:pPr>
        <w:pStyle w:val="ListParagraph"/>
        <w:numPr>
          <w:ilvl w:val="0"/>
          <w:numId w:val="1"/>
        </w:numPr>
        <w:spacing w:after="80"/>
        <w:jc w:val="both"/>
      </w:pPr>
      <w:r>
        <w:rPr>
          <w:rFonts w:ascii="Cambria" w:cs="Cambria" w:eastAsia="Cambria" w:hAnsi="Cambria"/>
          <w:b/>
          <w:bCs/>
          <w:color w:val="000000"/>
          <w:sz w:val="23"/>
          <w:szCs w:val="23"/>
        </w:rPr>
        <w:t xml:space="preserve">Laboratorio de Tierras y Ordenamiento Rural.</w:t>
      </w:r>
    </w:p>
    <w:p>
      <w:pPr>
        <w:pStyle w:val="ListParagraph"/>
        <w:numPr>
          <w:ilvl w:val="0"/>
          <w:numId w:val="1"/>
        </w:numPr>
        <w:spacing w:after="80"/>
        <w:jc w:val="both"/>
      </w:pPr>
      <w:r>
        <w:rPr>
          <w:rFonts w:ascii="Cambria" w:cs="Cambria" w:eastAsia="Cambria" w:hAnsi="Cambria"/>
          <w:b/>
          <w:bCs/>
          <w:color w:val="000000"/>
          <w:sz w:val="23"/>
          <w:szCs w:val="23"/>
        </w:rPr>
        <w:t xml:space="preserve">Laboratorio de Innovación Organizacional.</w:t>
      </w:r>
    </w:p>
    <w:p>
      <w:pPr>
        <w:pStyle w:val="ListParagraph"/>
        <w:numPr>
          <w:ilvl w:val="0"/>
          <w:numId w:val="1"/>
        </w:numPr>
        <w:spacing w:after="80"/>
        <w:jc w:val="both"/>
      </w:pPr>
      <w:r>
        <w:rPr>
          <w:rFonts w:ascii="Cambria" w:cs="Cambria" w:eastAsia="Cambria" w:hAnsi="Cambria"/>
          <w:b/>
          <w:bCs/>
          <w:color w:val="000000"/>
          <w:sz w:val="23"/>
          <w:szCs w:val="23"/>
        </w:rPr>
        <w:t xml:space="preserve">Laboratorio de Gestión del Conocimiento.</w:t>
      </w:r>
    </w:p>
    <w:p>
      <w:pPr>
        <w:pStyle w:val="ListParagraph"/>
        <w:numPr>
          <w:ilvl w:val="0"/>
          <w:numId w:val="1"/>
        </w:numPr>
        <w:spacing w:after="80"/>
        <w:jc w:val="both"/>
      </w:pPr>
      <w:r>
        <w:rPr>
          <w:rFonts w:ascii="Cambria" w:cs="Cambria" w:eastAsia="Cambria" w:hAnsi="Cambria"/>
          <w:b/>
          <w:bCs/>
          <w:color w:val="000000"/>
          <w:sz w:val="23"/>
          <w:szCs w:val="23"/>
        </w:rPr>
        <w:t xml:space="preserve">Laboratorio de Liderazgo y Gobernanza.</w:t>
      </w:r>
    </w:p>
    <w:p>
      <w:pPr>
        <w:spacing w:after="160" w:line="300"/>
        <w:jc w:val="both"/>
      </w:pPr>
      <w:r>
        <w:rPr>
          <w:rFonts w:ascii="Cambria" w:cs="Cambria" w:eastAsia="Cambria" w:hAnsi="Cambria"/>
          <w:color w:val="000000"/>
          <w:sz w:val="24"/>
          <w:szCs w:val="24"/>
        </w:rPr>
        <w:t xml:space="preserve">Cada laboratorio tiene la responsabilidad de diseñar, validar y actualizar modelos y metodologías dentro de su campo, además de generar publicaciones y recomendaciones para la mejora continua del Sistema ODYRA. Los hallazgos de todos los laboratorios se integran a la Biblioteca Viva del Conocimiento ODYRA, conforme a la Arquitectura del Conocimiento ODYRA.</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PRODUCTOS DE INVESTIGACIÓN</w:t>
      </w:r>
    </w:p>
    <w:p>
      <w:pPr>
        <w:spacing w:after="160" w:line="300"/>
        <w:jc w:val="both"/>
      </w:pPr>
      <w:r>
        <w:rPr>
          <w:rFonts w:ascii="Cambria" w:cs="Cambria" w:eastAsia="Cambria" w:hAnsi="Cambria"/>
          <w:color w:val="000000"/>
          <w:sz w:val="24"/>
          <w:szCs w:val="24"/>
        </w:rPr>
        <w:t xml:space="preserve">Toda investigación deberá generar productos que fortalezcan el ecosistema del conocimiento ODYRA, incorporándose a las categorías ya establecidas en la Taxonomía del Conocimiento ODYRA:</w:t>
      </w:r>
    </w:p>
    <w:p>
      <w:pPr>
        <w:pStyle w:val="ListParagraph"/>
        <w:numPr>
          <w:ilvl w:val="0"/>
          <w:numId w:val="1"/>
        </w:numPr>
        <w:spacing w:after="80"/>
        <w:jc w:val="both"/>
      </w:pPr>
      <w:r>
        <w:rPr>
          <w:rFonts w:ascii="Cambria" w:cs="Cambria" w:eastAsia="Cambria" w:hAnsi="Cambria"/>
          <w:color w:val="000000"/>
          <w:sz w:val="23"/>
          <w:szCs w:val="23"/>
        </w:rPr>
        <w:t xml:space="preserve">Artículos científicos y libros, incorporados al Conocimiento Académico.</w:t>
      </w:r>
    </w:p>
    <w:p>
      <w:pPr>
        <w:pStyle w:val="ListParagraph"/>
        <w:numPr>
          <w:ilvl w:val="0"/>
          <w:numId w:val="1"/>
        </w:numPr>
        <w:spacing w:after="80"/>
        <w:jc w:val="both"/>
      </w:pPr>
      <w:r>
        <w:rPr>
          <w:rFonts w:ascii="Cambria" w:cs="Cambria" w:eastAsia="Cambria" w:hAnsi="Cambria"/>
          <w:color w:val="000000"/>
          <w:sz w:val="23"/>
          <w:szCs w:val="23"/>
        </w:rPr>
        <w:t xml:space="preserve">Documentos técnicos e informes ejecutivos.</w:t>
      </w:r>
    </w:p>
    <w:p>
      <w:pPr>
        <w:pStyle w:val="ListParagraph"/>
        <w:numPr>
          <w:ilvl w:val="0"/>
          <w:numId w:val="1"/>
        </w:numPr>
        <w:spacing w:after="80"/>
        <w:jc w:val="both"/>
      </w:pPr>
      <w:r>
        <w:rPr>
          <w:rFonts w:ascii="Cambria" w:cs="Cambria" w:eastAsia="Cambria" w:hAnsi="Cambria"/>
          <w:color w:val="000000"/>
          <w:sz w:val="23"/>
          <w:szCs w:val="23"/>
        </w:rPr>
        <w:t xml:space="preserve">Casos de estudio, incorporados al Banco Oficial de Casos establecido en la Biblioteca Oficial de Casos de Estudio ODYRA.</w:t>
      </w:r>
    </w:p>
    <w:p>
      <w:pPr>
        <w:pStyle w:val="ListParagraph"/>
        <w:numPr>
          <w:ilvl w:val="0"/>
          <w:numId w:val="1"/>
        </w:numPr>
        <w:spacing w:after="80"/>
        <w:jc w:val="both"/>
      </w:pPr>
      <w:r>
        <w:rPr>
          <w:rFonts w:ascii="Cambria" w:cs="Cambria" w:eastAsia="Cambria" w:hAnsi="Cambria"/>
          <w:color w:val="000000"/>
          <w:sz w:val="23"/>
          <w:szCs w:val="23"/>
        </w:rPr>
        <w:t xml:space="preserve">Manuales, frameworks y modelos, incorporados conforme al proceso del Manual de Modelos ODYRA.</w:t>
      </w:r>
    </w:p>
    <w:p>
      <w:pPr>
        <w:pStyle w:val="ListParagraph"/>
        <w:numPr>
          <w:ilvl w:val="0"/>
          <w:numId w:val="1"/>
        </w:numPr>
        <w:spacing w:after="80"/>
        <w:jc w:val="both"/>
      </w:pPr>
      <w:r>
        <w:rPr>
          <w:rFonts w:ascii="Cambria" w:cs="Cambria" w:eastAsia="Cambria" w:hAnsi="Cambria"/>
          <w:color w:val="000000"/>
          <w:sz w:val="23"/>
          <w:szCs w:val="23"/>
        </w:rPr>
        <w:t xml:space="preserve">Herramientas, plantillas, canvas y guías metodológicas, incorporadas al Repositorio de Herramientas.</w:t>
      </w:r>
    </w:p>
    <w:p>
      <w:pPr>
        <w:pStyle w:val="ListParagraph"/>
        <w:numPr>
          <w:ilvl w:val="0"/>
          <w:numId w:val="1"/>
        </w:numPr>
        <w:spacing w:after="80"/>
        <w:jc w:val="both"/>
      </w:pPr>
      <w:r>
        <w:rPr>
          <w:rFonts w:ascii="Cambria" w:cs="Cambria" w:eastAsia="Cambria" w:hAnsi="Cambria"/>
          <w:color w:val="000000"/>
          <w:sz w:val="23"/>
          <w:szCs w:val="23"/>
        </w:rPr>
        <w:t xml:space="preserve">Prompts especializados, incorporados a la Biblioteca Oficial de Prompts ODYRA.</w:t>
      </w:r>
    </w:p>
    <w:p>
      <w:pPr>
        <w:pStyle w:val="ListParagraph"/>
        <w:numPr>
          <w:ilvl w:val="0"/>
          <w:numId w:val="1"/>
        </w:numPr>
        <w:spacing w:after="80"/>
        <w:jc w:val="both"/>
      </w:pPr>
      <w:r>
        <w:rPr>
          <w:rFonts w:ascii="Cambria" w:cs="Cambria" w:eastAsia="Cambria" w:hAnsi="Cambria"/>
          <w:color w:val="000000"/>
          <w:sz w:val="23"/>
          <w:szCs w:val="23"/>
        </w:rPr>
        <w:t xml:space="preserve">Repositorios de datos y bancos de buenas prácticas.</w:t>
      </w:r>
    </w:p>
    <w:p>
      <w:pPr>
        <w:pStyle w:val="ListParagraph"/>
        <w:numPr>
          <w:ilvl w:val="0"/>
          <w:numId w:val="1"/>
        </w:numPr>
        <w:spacing w:after="80"/>
        <w:jc w:val="both"/>
      </w:pPr>
      <w:r>
        <w:rPr>
          <w:rFonts w:ascii="Cambria" w:cs="Cambria" w:eastAsia="Cambria" w:hAnsi="Cambria"/>
          <w:color w:val="000000"/>
          <w:sz w:val="23"/>
          <w:szCs w:val="23"/>
        </w:rPr>
        <w:t xml:space="preserve">Observatorios e informes del Observatorio Internacional ODYRA, descrito en la Parte VIII.</w:t>
      </w:r>
    </w:p>
    <w:p>
      <w:pPr>
        <w:pStyle w:val="ListParagraph"/>
        <w:numPr>
          <w:ilvl w:val="0"/>
          <w:numId w:val="1"/>
        </w:numPr>
        <w:spacing w:after="80"/>
        <w:jc w:val="both"/>
      </w:pPr>
      <w:r>
        <w:rPr>
          <w:rFonts w:ascii="Cambria" w:cs="Cambria" w:eastAsia="Cambria" w:hAnsi="Cambria"/>
          <w:color w:val="000000"/>
          <w:sz w:val="23"/>
          <w:szCs w:val="23"/>
        </w:rPr>
        <w:t xml:space="preserve">Recursos de aprendizaje, incorporados a los Programas Oficiales de Formación ODYRA.</w:t>
      </w:r>
    </w:p>
    <w:p>
      <w:pPr>
        <w:spacing w:after="160" w:line="300"/>
        <w:jc w:val="both"/>
      </w:pPr>
      <w:r>
        <w:rPr>
          <w:rFonts w:ascii="Cambria" w:cs="Cambria" w:eastAsia="Cambria" w:hAnsi="Cambria"/>
          <w:color w:val="000000"/>
          <w:sz w:val="24"/>
          <w:szCs w:val="24"/>
        </w:rPr>
        <w:t xml:space="preserve">Ninguna investigación se considera concluida hasta que sus productos se incorporan formalmente a los repositorios oficiales correspondientes, evitando que el conocimiento generado permanezca disperso o inaccesible para el resto de la comunidad.</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CICLO DE INVESTIGACIÓN ODYRA</w:t>
      </w:r>
    </w:p>
    <w:p>
      <w:pPr>
        <w:spacing w:after="160" w:line="300"/>
        <w:jc w:val="both"/>
      </w:pPr>
      <w:r>
        <w:rPr>
          <w:rFonts w:ascii="Cambria" w:cs="Cambria" w:eastAsia="Cambria" w:hAnsi="Cambria"/>
          <w:color w:val="000000"/>
          <w:sz w:val="24"/>
          <w:szCs w:val="24"/>
        </w:rPr>
        <w:t xml:space="preserve">Toda investigación formal desarrollada dentro del Sistema ODYRA sigue el </w:t>
      </w:r>
      <w:r>
        <w:rPr>
          <w:rFonts w:ascii="Cambria" w:cs="Cambria" w:eastAsia="Cambria" w:hAnsi="Cambria"/>
          <w:b/>
          <w:bCs/>
          <w:color w:val="000000"/>
          <w:sz w:val="24"/>
          <w:szCs w:val="24"/>
        </w:rPr>
        <w:t xml:space="preserve">Ciclo Oficial de Investigación Aplicada</w:t>
      </w:r>
      <w:r>
        <w:rPr>
          <w:rFonts w:ascii="Cambria" w:cs="Cambria" w:eastAsia="Cambria" w:hAnsi="Cambria"/>
          <w:color w:val="000000"/>
          <w:sz w:val="24"/>
          <w:szCs w:val="24"/>
        </w:rPr>
        <w:t xml:space="preserve">, una especialización del Ciclo del Conocimiento ODYRA (CCO) —establecido con carácter general en la Arquitectura del Conocimiento ODYRA— adaptada al rigor propio de un proceso investigativo formal:</w:t>
      </w:r>
    </w:p>
    <w:p>
      <w:pPr>
        <w:spacing w:after="100"/>
        <w:ind w:left="360"/>
        <w:jc w:val="both"/>
      </w:pPr>
      <w:r>
        <w:rPr>
          <w:rFonts w:ascii="Cambria" w:cs="Cambria" w:eastAsia="Cambria" w:hAnsi="Cambria"/>
          <w:b/>
          <w:bCs/>
          <w:color w:val="1E2761"/>
          <w:sz w:val="24"/>
          <w:szCs w:val="24"/>
        </w:rPr>
        <w:t xml:space="preserve">1. </w:t>
      </w:r>
      <w:r>
        <w:rPr>
          <w:rFonts w:ascii="Cambria" w:cs="Cambria" w:eastAsia="Cambria" w:hAnsi="Cambria"/>
          <w:b/>
          <w:bCs/>
          <w:color w:val="000000"/>
          <w:sz w:val="24"/>
          <w:szCs w:val="24"/>
        </w:rPr>
        <w:t xml:space="preserve">Observar</w:t>
      </w:r>
      <w:r>
        <w:rPr>
          <w:rFonts w:ascii="Cambria" w:cs="Cambria" w:eastAsia="Cambria" w:hAnsi="Cambria"/>
          <w:color w:val="000000"/>
          <w:sz w:val="24"/>
          <w:szCs w:val="24"/>
        </w:rPr>
        <w:t xml:space="preserve"> — Identificar desafíos y oportunidades a partir de la práctica del Sistema ODYRA.</w:t>
      </w:r>
    </w:p>
    <w:p>
      <w:pPr>
        <w:spacing w:after="100"/>
        <w:ind w:left="360"/>
        <w:jc w:val="both"/>
      </w:pPr>
      <w:r>
        <w:rPr>
          <w:rFonts w:ascii="Cambria" w:cs="Cambria" w:eastAsia="Cambria" w:hAnsi="Cambria"/>
          <w:b/>
          <w:bCs/>
          <w:color w:val="1E2761"/>
          <w:sz w:val="24"/>
          <w:szCs w:val="24"/>
        </w:rPr>
        <w:t xml:space="preserve">2. </w:t>
      </w:r>
      <w:r>
        <w:rPr>
          <w:rFonts w:ascii="Cambria" w:cs="Cambria" w:eastAsia="Cambria" w:hAnsi="Cambria"/>
          <w:b/>
          <w:bCs/>
          <w:color w:val="000000"/>
          <w:sz w:val="24"/>
          <w:szCs w:val="24"/>
        </w:rPr>
        <w:t xml:space="preserve">Formular</w:t>
      </w:r>
      <w:r>
        <w:rPr>
          <w:rFonts w:ascii="Cambria" w:cs="Cambria" w:eastAsia="Cambria" w:hAnsi="Cambria"/>
          <w:color w:val="000000"/>
          <w:sz w:val="24"/>
          <w:szCs w:val="24"/>
        </w:rPr>
        <w:t xml:space="preserve"> — Definir preguntas de investigación y objetivos claros y verificables.</w:t>
      </w:r>
    </w:p>
    <w:p>
      <w:pPr>
        <w:spacing w:after="100"/>
        <w:ind w:left="360"/>
        <w:jc w:val="both"/>
      </w:pPr>
      <w:r>
        <w:rPr>
          <w:rFonts w:ascii="Cambria" w:cs="Cambria" w:eastAsia="Cambria" w:hAnsi="Cambria"/>
          <w:b/>
          <w:bCs/>
          <w:color w:val="1E2761"/>
          <w:sz w:val="24"/>
          <w:szCs w:val="24"/>
        </w:rPr>
        <w:t xml:space="preserve">3. </w:t>
      </w:r>
      <w:r>
        <w:rPr>
          <w:rFonts w:ascii="Cambria" w:cs="Cambria" w:eastAsia="Cambria" w:hAnsi="Cambria"/>
          <w:b/>
          <w:bCs/>
          <w:color w:val="000000"/>
          <w:sz w:val="24"/>
          <w:szCs w:val="24"/>
        </w:rPr>
        <w:t xml:space="preserve">Investigar</w:t>
      </w:r>
      <w:r>
        <w:rPr>
          <w:rFonts w:ascii="Cambria" w:cs="Cambria" w:eastAsia="Cambria" w:hAnsi="Cambria"/>
          <w:color w:val="000000"/>
          <w:sz w:val="24"/>
          <w:szCs w:val="24"/>
        </w:rPr>
        <w:t xml:space="preserve"> — Recopilar y analizar evidencia conforme a los principios establecidos en la Parte I.</w:t>
      </w:r>
    </w:p>
    <w:p>
      <w:pPr>
        <w:spacing w:after="100"/>
        <w:ind w:left="360"/>
        <w:jc w:val="both"/>
      </w:pPr>
      <w:r>
        <w:rPr>
          <w:rFonts w:ascii="Cambria" w:cs="Cambria" w:eastAsia="Cambria" w:hAnsi="Cambria"/>
          <w:b/>
          <w:bCs/>
          <w:color w:val="1E2761"/>
          <w:sz w:val="24"/>
          <w:szCs w:val="24"/>
        </w:rPr>
        <w:t xml:space="preserve">4. </w:t>
      </w:r>
      <w:r>
        <w:rPr>
          <w:rFonts w:ascii="Cambria" w:cs="Cambria" w:eastAsia="Cambria" w:hAnsi="Cambria"/>
          <w:b/>
          <w:bCs/>
          <w:color w:val="000000"/>
          <w:sz w:val="24"/>
          <w:szCs w:val="24"/>
        </w:rPr>
        <w:t xml:space="preserve">Modelar</w:t>
      </w:r>
      <w:r>
        <w:rPr>
          <w:rFonts w:ascii="Cambria" w:cs="Cambria" w:eastAsia="Cambria" w:hAnsi="Cambria"/>
          <w:color w:val="000000"/>
          <w:sz w:val="24"/>
          <w:szCs w:val="24"/>
        </w:rPr>
        <w:t xml:space="preserve"> — Diseñar soluciones, propuestas o representaciones conceptuales a partir de la evidencia recopilada.</w:t>
      </w:r>
    </w:p>
    <w:p>
      <w:pPr>
        <w:spacing w:after="100"/>
        <w:ind w:left="360"/>
        <w:jc w:val="both"/>
      </w:pPr>
      <w:r>
        <w:rPr>
          <w:rFonts w:ascii="Cambria" w:cs="Cambria" w:eastAsia="Cambria" w:hAnsi="Cambria"/>
          <w:b/>
          <w:bCs/>
          <w:color w:val="1E2761"/>
          <w:sz w:val="24"/>
          <w:szCs w:val="24"/>
        </w:rPr>
        <w:t xml:space="preserve">5. </w:t>
      </w:r>
      <w:r>
        <w:rPr>
          <w:rFonts w:ascii="Cambria" w:cs="Cambria" w:eastAsia="Cambria" w:hAnsi="Cambria"/>
          <w:b/>
          <w:bCs/>
          <w:color w:val="000000"/>
          <w:sz w:val="24"/>
          <w:szCs w:val="24"/>
        </w:rPr>
        <w:t xml:space="preserve">Validar</w:t>
      </w:r>
      <w:r>
        <w:rPr>
          <w:rFonts w:ascii="Cambria" w:cs="Cambria" w:eastAsia="Cambria" w:hAnsi="Cambria"/>
          <w:color w:val="000000"/>
          <w:sz w:val="24"/>
          <w:szCs w:val="24"/>
        </w:rPr>
        <w:t xml:space="preserve"> — Probar los hallazgos en contextos reales, conforme a los mecanismos de validación del Manual de Modelos ODYRA cuando corresponda.</w:t>
      </w:r>
    </w:p>
    <w:p>
      <w:pPr>
        <w:spacing w:after="100"/>
        <w:ind w:left="360"/>
        <w:jc w:val="both"/>
      </w:pPr>
      <w:r>
        <w:rPr>
          <w:rFonts w:ascii="Cambria" w:cs="Cambria" w:eastAsia="Cambria" w:hAnsi="Cambria"/>
          <w:b/>
          <w:bCs/>
          <w:color w:val="1E2761"/>
          <w:sz w:val="24"/>
          <w:szCs w:val="24"/>
        </w:rPr>
        <w:t xml:space="preserve">6. </w:t>
      </w:r>
      <w:r>
        <w:rPr>
          <w:rFonts w:ascii="Cambria" w:cs="Cambria" w:eastAsia="Cambria" w:hAnsi="Cambria"/>
          <w:b/>
          <w:bCs/>
          <w:color w:val="000000"/>
          <w:sz w:val="24"/>
          <w:szCs w:val="24"/>
        </w:rPr>
        <w:t xml:space="preserve">Sistematizar</w:t>
      </w:r>
      <w:r>
        <w:rPr>
          <w:rFonts w:ascii="Cambria" w:cs="Cambria" w:eastAsia="Cambria" w:hAnsi="Cambria"/>
          <w:color w:val="000000"/>
          <w:sz w:val="24"/>
          <w:szCs w:val="24"/>
        </w:rPr>
        <w:t xml:space="preserve"> — Documentar resultados y aprendizajes conforme a los productos descritos en la Parte V.</w:t>
      </w:r>
    </w:p>
    <w:p>
      <w:pPr>
        <w:spacing w:after="100"/>
        <w:ind w:left="360"/>
        <w:jc w:val="both"/>
      </w:pPr>
      <w:r>
        <w:rPr>
          <w:rFonts w:ascii="Cambria" w:cs="Cambria" w:eastAsia="Cambria" w:hAnsi="Cambria"/>
          <w:b/>
          <w:bCs/>
          <w:color w:val="1E2761"/>
          <w:sz w:val="24"/>
          <w:szCs w:val="24"/>
        </w:rPr>
        <w:t xml:space="preserve">7. </w:t>
      </w:r>
      <w:r>
        <w:rPr>
          <w:rFonts w:ascii="Cambria" w:cs="Cambria" w:eastAsia="Cambria" w:hAnsi="Cambria"/>
          <w:b/>
          <w:bCs/>
          <w:color w:val="000000"/>
          <w:sz w:val="24"/>
          <w:szCs w:val="24"/>
        </w:rPr>
        <w:t xml:space="preserve">Transferir</w:t>
      </w:r>
      <w:r>
        <w:rPr>
          <w:rFonts w:ascii="Cambria" w:cs="Cambria" w:eastAsia="Cambria" w:hAnsi="Cambria"/>
          <w:color w:val="000000"/>
          <w:sz w:val="24"/>
          <w:szCs w:val="24"/>
        </w:rPr>
        <w:t xml:space="preserve"> — Compartir el conocimiento generado con la comunidad, mediante los espacios establecidos en la Comunidad Internacional de Práctica ODYRA.</w:t>
      </w:r>
    </w:p>
    <w:p>
      <w:pPr>
        <w:spacing w:after="100"/>
        <w:ind w:left="360"/>
        <w:jc w:val="both"/>
      </w:pPr>
      <w:r>
        <w:rPr>
          <w:rFonts w:ascii="Cambria" w:cs="Cambria" w:eastAsia="Cambria" w:hAnsi="Cambria"/>
          <w:b/>
          <w:bCs/>
          <w:color w:val="1E2761"/>
          <w:sz w:val="24"/>
          <w:szCs w:val="24"/>
        </w:rPr>
        <w:t xml:space="preserve">8. </w:t>
      </w:r>
      <w:r>
        <w:rPr>
          <w:rFonts w:ascii="Cambria" w:cs="Cambria" w:eastAsia="Cambria" w:hAnsi="Cambria"/>
          <w:b/>
          <w:bCs/>
          <w:color w:val="000000"/>
          <w:sz w:val="24"/>
          <w:szCs w:val="24"/>
        </w:rPr>
        <w:t xml:space="preserve">Actualizar</w:t>
      </w:r>
      <w:r>
        <w:rPr>
          <w:rFonts w:ascii="Cambria" w:cs="Cambria" w:eastAsia="Cambria" w:hAnsi="Cambria"/>
          <w:color w:val="000000"/>
          <w:sz w:val="24"/>
          <w:szCs w:val="24"/>
        </w:rPr>
        <w:t xml:space="preserve"> — Incorporar las mejoras derivadas de la investigación a los modelos, metodologías y herramientas del Sistema ODYRA.</w:t>
      </w:r>
    </w:p>
    <w:p>
      <w:pPr>
        <w:spacing w:after="160" w:line="300"/>
        <w:jc w:val="both"/>
      </w:pPr>
      <w:r>
        <w:rPr>
          <w:rFonts w:ascii="Cambria" w:cs="Cambria" w:eastAsia="Cambria" w:hAnsi="Cambria"/>
          <w:color w:val="000000"/>
          <w:sz w:val="24"/>
          <w:szCs w:val="24"/>
        </w:rPr>
        <w:t xml:space="preserve">Las etapas de Observar, Modelar, Validar y Sistematizar de este ciclo corresponden directamente a las etapas homónimas del CCO; las etapas de Formular, Investigar, Transferir y Actualizar detallan, para el caso específico de la investigación formal, lo que el CCO general describe de manera más amplia en sus etapas de Comprender, Enseñar, Aplicar y Mejorar.</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RED INTERNACIONAL DE INVESTIGACIÓN</w:t>
      </w:r>
    </w:p>
    <w:p>
      <w:pPr>
        <w:spacing w:after="160" w:line="300"/>
        <w:jc w:val="both"/>
      </w:pPr>
      <w:r>
        <w:rPr>
          <w:rFonts w:ascii="Cambria" w:cs="Cambria" w:eastAsia="Cambria" w:hAnsi="Cambria"/>
          <w:color w:val="000000"/>
          <w:sz w:val="24"/>
          <w:szCs w:val="24"/>
        </w:rPr>
        <w:t xml:space="preserve">El Sistema ODYRA promoverá alianzas con universidades, centros de investigación, organismos multilaterales, entidades públicas, empresas, organizaciones sociales, redes académicas, centros de innovación y laboratorios tecnológicos.</w:t>
      </w:r>
    </w:p>
    <w:p>
      <w:pPr>
        <w:spacing w:after="160" w:line="300"/>
        <w:jc w:val="both"/>
      </w:pPr>
      <w:r>
        <w:rPr>
          <w:rFonts w:ascii="Cambria" w:cs="Cambria" w:eastAsia="Cambria" w:hAnsi="Cambria"/>
          <w:color w:val="000000"/>
          <w:sz w:val="24"/>
          <w:szCs w:val="24"/>
        </w:rPr>
        <w:t xml:space="preserve">La cooperación permitirá desarrollar investigaciones interdisciplinarias y ampliar el impacto del conocimiento generado, articulándose con las alianzas de proyección internacional establecidas en la Comunidad Internacional de Práctica ODYRA y con la Visión Académica 2040 de los Programas Oficiales de Formación ODYRA.</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OBSERVATORIO INTERNACIONAL ODYRA</w:t>
      </w:r>
    </w:p>
    <w:p>
      <w:pPr>
        <w:spacing w:after="160" w:line="300"/>
        <w:jc w:val="both"/>
      </w:pPr>
      <w:r>
        <w:rPr>
          <w:rFonts w:ascii="Cambria" w:cs="Cambria" w:eastAsia="Cambria" w:hAnsi="Cambria"/>
          <w:color w:val="000000"/>
          <w:sz w:val="24"/>
          <w:szCs w:val="24"/>
        </w:rPr>
        <w:t xml:space="preserve">Como instrumento permanente de análisis, el Sistema ODYRA establece el </w:t>
      </w:r>
      <w:r>
        <w:rPr>
          <w:rFonts w:ascii="Cambria" w:cs="Cambria" w:eastAsia="Cambria" w:hAnsi="Cambria"/>
          <w:b/>
          <w:bCs/>
          <w:color w:val="000000"/>
          <w:sz w:val="24"/>
          <w:szCs w:val="24"/>
        </w:rPr>
        <w:t xml:space="preserve">Observatorio Internacional ODYRA</w:t>
      </w:r>
      <w:r>
        <w:rPr>
          <w:rFonts w:ascii="Cambria" w:cs="Cambria" w:eastAsia="Cambria" w:hAnsi="Cambria"/>
          <w:color w:val="000000"/>
          <w:sz w:val="24"/>
          <w:szCs w:val="24"/>
        </w:rPr>
        <w:t xml:space="preserve">, la instancia oficial que materializa la función de observatorio descrita de manera general en la Comunidad Internacional de Práctica ODYRA, encargada de monitorear tendencias, tecnologías, metodologías y experiencias relacionadas con consultoría estratégica, gestión de proyectos, asociatividad, desarrollo territorial, inteligencia artificial, innovación, gobernanza, gestión del conocimiento y organizaciones inteligentes.</w:t>
      </w:r>
    </w:p>
    <w:p>
      <w:pPr>
        <w:spacing w:after="160" w:line="300"/>
        <w:jc w:val="both"/>
      </w:pPr>
      <w:r>
        <w:rPr>
          <w:rFonts w:ascii="Cambria" w:cs="Cambria" w:eastAsia="Cambria" w:hAnsi="Cambria"/>
          <w:color w:val="000000"/>
          <w:sz w:val="24"/>
          <w:szCs w:val="24"/>
        </w:rPr>
        <w:t xml:space="preserve">El Observatorio emitirá informes periódicos que orientarán la actualización del Método ODYRA y de sus componentes, y sus hallazgos constituyen una de las cinco fuentes oficiales de actualización establecidas en el Manual Oficial de Skills de IA ODYRA para lo relativo a inteligencia artificial, y en los demás documentos operativos del Sistema para sus respectivos campos.</w:t>
      </w:r>
    </w:p>
    <w:p>
      <w:pPr>
        <w:pStyle w:val="Heading1"/>
        <w:pageBreakBefore/>
        <w:spacing w:after="60" w:before="200"/>
      </w:pPr>
      <w:r>
        <w:rPr>
          <w:rFonts w:ascii="Cambria" w:cs="Cambria" w:eastAsia="Cambria" w:hAnsi="Cambria"/>
          <w:b/>
          <w:bCs/>
          <w:color w:val="1E2761"/>
          <w:sz w:val="22"/>
          <w:szCs w:val="22"/>
        </w:rPr>
        <w:t xml:space="preserve">PARTE IX</w:t>
      </w:r>
    </w:p>
    <w:p>
      <w:pPr>
        <w:pStyle w:val="Heading2"/>
        <w:spacing w:after="120" w:before="260"/>
      </w:pPr>
      <w:r>
        <w:rPr>
          <w:rFonts w:ascii="Cambria" w:cs="Cambria" w:eastAsia="Cambria" w:hAnsi="Cambria"/>
          <w:b/>
          <w:bCs/>
          <w:color w:val="1E2761"/>
          <w:sz w:val="26"/>
          <w:szCs w:val="26"/>
        </w:rPr>
        <w:t xml:space="preserve">VISIÓN 2040</w:t>
      </w:r>
    </w:p>
    <w:p>
      <w:pPr>
        <w:spacing w:after="160" w:line="300"/>
        <w:jc w:val="both"/>
      </w:pPr>
      <w:r>
        <w:rPr>
          <w:rFonts w:ascii="Cambria" w:cs="Cambria" w:eastAsia="Cambria" w:hAnsi="Cambria"/>
          <w:color w:val="000000"/>
          <w:sz w:val="24"/>
          <w:szCs w:val="24"/>
        </w:rPr>
        <w:t xml:space="preserve">Para el año 2040, la Escuela de Pensamiento ODYRA aspira a ser reconocida como un referente internacional en investigación aplicada sobre consultoría estratégica, inteligencia aplicada, transformación organizacional y desarrollo territorial. Su red de investigadores, laboratorios y alianzas académicas generará conocimiento con impacto global, influyendo en políticas, prácticas profesionales y procesos de innovación.</w:t>
      </w:r>
    </w:p>
    <w:p>
      <w:pPr>
        <w:spacing w:after="160" w:line="300"/>
        <w:jc w:val="both"/>
      </w:pPr>
      <w:r>
        <w:rPr>
          <w:rFonts w:ascii="Cambria" w:cs="Cambria" w:eastAsia="Cambria" w:hAnsi="Cambria"/>
          <w:color w:val="000000"/>
          <w:sz w:val="24"/>
          <w:szCs w:val="24"/>
        </w:rPr>
        <w:t xml:space="preserve">La investigación será el principal motor de evolución del Sistema ODYRA, asegurando que sus modelos, metodologías y herramientas permanezcan vigentes, basados en evidencia y adaptados a los desafíos de un mundo en constante cambio. Esta aspiración completa la Visión 2040 del Sistema ODYRA: si la Arquitectura del Conocimiento ODYRA describe la evolución del conocimiento y la Comunidad Internacional de Práctica describe la evolución de las personas, las Investigaciones Aplicadas describen la evolución de la evidencia que sostiene a ambas.</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spacing w:after="160" w:line="300"/>
        <w:jc w:val="both"/>
      </w:pPr>
      <w:r>
        <w:rPr>
          <w:rFonts w:ascii="Cambria" w:cs="Cambria" w:eastAsia="Cambria" w:hAnsi="Cambria"/>
          <w:color w:val="000000"/>
          <w:sz w:val="24"/>
          <w:szCs w:val="24"/>
        </w:rPr>
        <w:t xml:space="preserve">Una escuela de pensamiento no se mantiene viva por la fidelidad a sus ideas originales, sino por su capacidad para cuestionarlas, validarlas y perfeccionarlas continuamente. La investigación aplicada es el mecanismo que permite ese proceso: convierte la experiencia en evidencia, la evidencia en conocimiento y el conocimiento en transformación. Ese será el compromiso permanente del Sistema ODYRA.</w:t>
      </w:r>
    </w:p>
    <w:p>
      <w:pPr>
        <w:spacing w:after="240" w:before="120"/>
        <w:jc w:val="center"/>
      </w:pPr>
      <w:r>
        <w:rPr>
          <w:rFonts w:ascii="Cambria" w:cs="Cambria" w:eastAsia="Cambria" w:hAnsi="Cambria"/>
          <w:b/>
          <w:bCs/>
          <w:i/>
          <w:iCs/>
          <w:color w:val="1E2761"/>
          <w:sz w:val="24"/>
          <w:szCs w:val="24"/>
        </w:rPr>
        <w:t xml:space="preserve">"Investigar no es acumular conocimiento; es transformar la experiencia en evidencia, la evidencia en inteligencia aplicada y la inteligencia en soluciones que mejoran organizaciones, territorios y sociedades."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INVESTIGACIONES APLICADAS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2026-07-22T22:26:29.473Z</dcterms:created>
  <dcterms:modified xsi:type="dcterms:W3CDTF">2026-07-22T22:26:29.473Z</dcterms:modified>
</cp:coreProperties>
</file>

<file path=docProps/custom.xml><?xml version="1.0" encoding="utf-8"?>
<Properties xmlns="http://schemas.openxmlformats.org/officeDocument/2006/custom-properties" xmlns:vt="http://schemas.openxmlformats.org/officeDocument/2006/docPropsVTypes"/>
</file>