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Bdr>
          <w:bottom w:val="single" w:color="1E2761" w:sz="6" w:space="4"/>
        </w:pBdr>
        <w:spacing w:after="240" w:before="60"/>
      </w:pPr>
      <w:r>
        <w:rPr>
          <w:rFonts w:ascii="Cambria" w:cs="Cambria" w:eastAsia="Cambria" w:hAnsi="Cambria"/>
          <w:b/>
          <w:bCs/>
          <w:color w:val="1E2761"/>
          <w:sz w:val="28"/>
          <w:szCs w:val="28"/>
        </w:rPr>
        <w:t xml:space="preserve">PROGRAMAS OFICIALES DE FORMACIÓN</w:t>
      </w:r>
    </w:p>
    <w:p>
      <w:pPr>
        <w:spacing w:after="120" w:before="40"/>
        <w:jc w:val="center"/>
      </w:pPr>
      <w:r>
        <w:rPr>
          <w:rFonts w:ascii="Cambria" w:cs="Cambria" w:eastAsia="Cambria" w:hAnsi="Cambria"/>
          <w:i/>
          <w:iCs/>
          <w:color w:val="6B7280"/>
          <w:sz w:val="22"/>
          <w:szCs w:val="22"/>
        </w:rPr>
        <w:t xml:space="preserve">Marco Académico de la Escuela de Pensamiento ODYRA</w:t>
      </w:r>
    </w:p>
    <w:p>
      <w:pPr>
        <w:spacing w:after="120" w:before="40"/>
        <w:jc w:val="center"/>
      </w:pPr>
      <w:r>
        <w:rPr>
          <w:rFonts w:ascii="Cambria" w:cs="Cambria" w:eastAsia="Cambria" w:hAnsi="Cambria"/>
          <w:i/>
          <w:iCs/>
          <w:color w:val="6B7280"/>
          <w:sz w:val="22"/>
          <w:szCs w:val="22"/>
        </w:rPr>
        <w:t xml:space="preserve">Versión 1.0</w:t>
      </w:r>
    </w:p>
    <w:p>
      <w:pPr>
        <w:pStyle w:val="Heading1"/>
        <w:pBdr>
          <w:bottom w:val="single" w:color="1E2761" w:sz="6" w:space="4"/>
        </w:pBdr>
        <w:spacing w:after="240" w:before="60"/>
      </w:pPr>
      <w:r>
        <w:rPr>
          <w:rFonts w:ascii="Cambria" w:cs="Cambria" w:eastAsia="Cambria" w:hAnsi="Cambria"/>
          <w:b/>
          <w:bCs/>
          <w:color w:val="1E2761"/>
          <w:sz w:val="28"/>
          <w:szCs w:val="28"/>
        </w:rPr>
        <w:t xml:space="preserve">PRÓLOGO</w:t>
      </w:r>
    </w:p>
    <w:p>
      <w:pPr>
        <w:spacing w:after="160" w:line="300"/>
        <w:jc w:val="both"/>
      </w:pPr>
      <w:r>
        <w:rPr>
          <w:rFonts w:ascii="Cambria" w:cs="Cambria" w:eastAsia="Cambria" w:hAnsi="Cambria"/>
          <w:color w:val="000000"/>
          <w:sz w:val="24"/>
          <w:szCs w:val="24"/>
        </w:rPr>
        <w:t xml:space="preserve">La Escuela de Pensamiento ODYRA entiende la formación como un proceso de construcción de capacidades para transformar organizaciones, territorios y comunidades. Su propósito no es transmitir información, sino desarrollar criterio, pensamiento estratégico, competencias metodológicas e inteligencia aplicada.</w:t>
      </w:r>
    </w:p>
    <w:p>
      <w:pPr>
        <w:spacing w:after="160" w:line="300"/>
        <w:jc w:val="both"/>
      </w:pPr>
      <w:r>
        <w:rPr>
          <w:rFonts w:ascii="Cambria" w:cs="Cambria" w:eastAsia="Cambria" w:hAnsi="Cambria"/>
          <w:color w:val="000000"/>
          <w:sz w:val="24"/>
          <w:szCs w:val="24"/>
        </w:rPr>
        <w:t xml:space="preserve">Los Programas Oficiales de Formación constituyen el componente académico del Sistema ODYRA. Integran el conocimiento fundacional, la experiencia práctica documentada en la Biblioteca Oficial de Casos de Estudio ODYRA y el uso ético de la inteligencia artificial en una oferta educativa flexible, modular y permanente, orientada a formar consultores, directivos, líderes sociales, servidores públicos, empresarios e investigadores.</w:t>
      </w:r>
    </w:p>
    <w:p>
      <w:pPr>
        <w:spacing w:after="160" w:line="300"/>
        <w:jc w:val="both"/>
      </w:pPr>
      <w:r>
        <w:rPr>
          <w:rFonts w:ascii="Cambria" w:cs="Cambria" w:eastAsia="Cambria" w:hAnsi="Cambria"/>
          <w:color w:val="000000"/>
          <w:sz w:val="24"/>
          <w:szCs w:val="24"/>
        </w:rPr>
        <w:t xml:space="preserve">Este documento no reemplaza al Sistema Oficial de Certificación ODYRA ni al Manual Oficial de Skills de IA ODYRA: los desarrolla en su dimensión académica. Mientras aquellos establecen qué competencias se certifican y cómo se evalúan, los Programas Oficiales de Formación establecen qué se enseña, en qué escuelas, bajo qué modalidades y con qué ruta de aprendizaje.</w:t>
      </w:r>
    </w:p>
    <w:p>
      <w:pPr>
        <w:pStyle w:val="Heading1"/>
        <w:pageBreakBefore/>
        <w:spacing w:after="60" w:before="200"/>
      </w:pPr>
      <w:r>
        <w:rPr>
          <w:rFonts w:ascii="Cambria" w:cs="Cambria" w:eastAsia="Cambria" w:hAnsi="Cambria"/>
          <w:b/>
          <w:bCs/>
          <w:color w:val="1E2761"/>
          <w:sz w:val="22"/>
          <w:szCs w:val="22"/>
        </w:rPr>
        <w:t xml:space="preserve">PARTE I</w:t>
      </w:r>
    </w:p>
    <w:p>
      <w:pPr>
        <w:pStyle w:val="Heading2"/>
        <w:spacing w:after="120" w:before="260"/>
      </w:pPr>
      <w:r>
        <w:rPr>
          <w:rFonts w:ascii="Cambria" w:cs="Cambria" w:eastAsia="Cambria" w:hAnsi="Cambria"/>
          <w:b/>
          <w:bCs/>
          <w:color w:val="1E2761"/>
          <w:sz w:val="26"/>
          <w:szCs w:val="26"/>
        </w:rPr>
        <w:t xml:space="preserve">MODELO ACADÉMICO ODYRA</w:t>
      </w:r>
    </w:p>
    <w:p>
      <w:pPr>
        <w:pStyle w:val="Heading3"/>
        <w:spacing w:after="100" w:before="200"/>
      </w:pPr>
      <w:r>
        <w:rPr>
          <w:rFonts w:ascii="Cambria" w:cs="Cambria" w:eastAsia="Cambria" w:hAnsi="Cambria"/>
          <w:b/>
          <w:bCs/>
          <w:color w:val="1E2761"/>
          <w:sz w:val="23"/>
          <w:szCs w:val="23"/>
        </w:rPr>
        <w:t xml:space="preserve">Capítulo 1. Filosofía de la Formación</w:t>
      </w:r>
    </w:p>
    <w:p>
      <w:pPr>
        <w:spacing w:after="160" w:line="300"/>
        <w:jc w:val="both"/>
      </w:pPr>
      <w:r>
        <w:rPr>
          <w:rFonts w:ascii="Cambria" w:cs="Cambria" w:eastAsia="Cambria" w:hAnsi="Cambria"/>
          <w:color w:val="000000"/>
          <w:sz w:val="24"/>
          <w:szCs w:val="24"/>
        </w:rPr>
        <w:t xml:space="preserve">La formación ODYRA se fundamenta en cinco principios:</w:t>
      </w:r>
    </w:p>
    <w:p>
      <w:pPr>
        <w:pStyle w:val="ListParagraph"/>
        <w:numPr>
          <w:ilvl w:val="0"/>
          <w:numId w:val="1"/>
        </w:numPr>
        <w:spacing w:after="80"/>
        <w:jc w:val="both"/>
      </w:pPr>
      <w:r>
        <w:rPr>
          <w:rFonts w:ascii="Cambria" w:cs="Cambria" w:eastAsia="Cambria" w:hAnsi="Cambria"/>
          <w:b/>
          <w:bCs/>
          <w:color w:val="000000"/>
          <w:sz w:val="23"/>
          <w:szCs w:val="23"/>
        </w:rPr>
        <w:t xml:space="preserve">Aprender para transformar.</w:t>
      </w:r>
      <w:r>
        <w:rPr>
          <w:rFonts w:ascii="Cambria" w:cs="Cambria" w:eastAsia="Cambria" w:hAnsi="Cambria"/>
          <w:color w:val="000000"/>
          <w:sz w:val="23"/>
          <w:szCs w:val="23"/>
        </w:rPr>
        <w:t xml:space="preserve"> Ningún contenido se enseña por su valor teórico aislado; todo aprendizaje debe orientarse a la capacidad de transformar organizaciones y territorios reales.</w:t>
      </w:r>
    </w:p>
    <w:p>
      <w:pPr>
        <w:pStyle w:val="ListParagraph"/>
        <w:numPr>
          <w:ilvl w:val="0"/>
          <w:numId w:val="1"/>
        </w:numPr>
        <w:spacing w:after="80"/>
        <w:jc w:val="both"/>
      </w:pPr>
      <w:r>
        <w:rPr>
          <w:rFonts w:ascii="Cambria" w:cs="Cambria" w:eastAsia="Cambria" w:hAnsi="Cambria"/>
          <w:b/>
          <w:bCs/>
          <w:color w:val="000000"/>
          <w:sz w:val="23"/>
          <w:szCs w:val="23"/>
        </w:rPr>
        <w:t xml:space="preserve">Integrar teoría y práctica.</w:t>
      </w:r>
      <w:r>
        <w:rPr>
          <w:rFonts w:ascii="Cambria" w:cs="Cambria" w:eastAsia="Cambria" w:hAnsi="Cambria"/>
          <w:color w:val="000000"/>
          <w:sz w:val="23"/>
          <w:szCs w:val="23"/>
        </w:rPr>
        <w:t xml:space="preserve"> Los principios y modelos del Sistema ODYRA se enseñan siempre junto con su aplicación concreta, nunca de manera exclusivamente conceptual.</w:t>
      </w:r>
    </w:p>
    <w:p>
      <w:pPr>
        <w:pStyle w:val="ListParagraph"/>
        <w:numPr>
          <w:ilvl w:val="0"/>
          <w:numId w:val="1"/>
        </w:numPr>
        <w:spacing w:after="80"/>
        <w:jc w:val="both"/>
      </w:pPr>
      <w:r>
        <w:rPr>
          <w:rFonts w:ascii="Cambria" w:cs="Cambria" w:eastAsia="Cambria" w:hAnsi="Cambria"/>
          <w:b/>
          <w:bCs/>
          <w:color w:val="000000"/>
          <w:sz w:val="23"/>
          <w:szCs w:val="23"/>
        </w:rPr>
        <w:t xml:space="preserve">Construir capacidades antes que transmitir información.</w:t>
      </w:r>
      <w:r>
        <w:rPr>
          <w:rFonts w:ascii="Cambria" w:cs="Cambria" w:eastAsia="Cambria" w:hAnsi="Cambria"/>
          <w:color w:val="000000"/>
          <w:sz w:val="23"/>
          <w:szCs w:val="23"/>
        </w:rPr>
        <w:t xml:space="preserve"> El criterio de éxito de un programa formativo no es la cantidad de contenido cubierto, sino la capacidad instalada en quien lo cursa.</w:t>
      </w:r>
    </w:p>
    <w:p>
      <w:pPr>
        <w:pStyle w:val="ListParagraph"/>
        <w:numPr>
          <w:ilvl w:val="0"/>
          <w:numId w:val="1"/>
        </w:numPr>
        <w:spacing w:after="80"/>
        <w:jc w:val="both"/>
      </w:pPr>
      <w:r>
        <w:rPr>
          <w:rFonts w:ascii="Cambria" w:cs="Cambria" w:eastAsia="Cambria" w:hAnsi="Cambria"/>
          <w:b/>
          <w:bCs/>
          <w:color w:val="000000"/>
          <w:sz w:val="23"/>
          <w:szCs w:val="23"/>
        </w:rPr>
        <w:t xml:space="preserve">Aprender con evidencia, casos y proyectos reales.</w:t>
      </w:r>
      <w:r>
        <w:rPr>
          <w:rFonts w:ascii="Cambria" w:cs="Cambria" w:eastAsia="Cambria" w:hAnsi="Cambria"/>
          <w:color w:val="000000"/>
          <w:sz w:val="23"/>
          <w:szCs w:val="23"/>
        </w:rPr>
        <w:t xml:space="preserve"> Todo programa formativo se apoya en la Biblioteca Oficial de Casos de Estudio ODYRA como recurso pedagógico central, conforme a lo establecido en la Parte VI de dicho documento.</w:t>
      </w:r>
    </w:p>
    <w:p>
      <w:pPr>
        <w:pStyle w:val="ListParagraph"/>
        <w:numPr>
          <w:ilvl w:val="0"/>
          <w:numId w:val="1"/>
        </w:numPr>
        <w:spacing w:after="80"/>
        <w:jc w:val="both"/>
      </w:pPr>
      <w:r>
        <w:rPr>
          <w:rFonts w:ascii="Cambria" w:cs="Cambria" w:eastAsia="Cambria" w:hAnsi="Cambria"/>
          <w:b/>
          <w:bCs/>
          <w:color w:val="000000"/>
          <w:sz w:val="23"/>
          <w:szCs w:val="23"/>
        </w:rPr>
        <w:t xml:space="preserve">Utilizar la inteligencia artificial como aliada del pensamiento humano.</w:t>
      </w:r>
      <w:r>
        <w:rPr>
          <w:rFonts w:ascii="Cambria" w:cs="Cambria" w:eastAsia="Cambria" w:hAnsi="Cambria"/>
          <w:color w:val="000000"/>
          <w:sz w:val="23"/>
          <w:szCs w:val="23"/>
        </w:rPr>
        <w:t xml:space="preserve"> La formación en inteligencia artificial se integra transversalmente en todas las escuelas académicas, conforme a los principios del Manual Oficial de Skills de IA ODYRA.</w:t>
      </w:r>
    </w:p>
    <w:p>
      <w:pPr>
        <w:pStyle w:val="Heading3"/>
        <w:spacing w:after="100" w:before="200"/>
      </w:pPr>
      <w:r>
        <w:rPr>
          <w:rFonts w:ascii="Cambria" w:cs="Cambria" w:eastAsia="Cambria" w:hAnsi="Cambria"/>
          <w:b/>
          <w:bCs/>
          <w:color w:val="1E2761"/>
          <w:sz w:val="23"/>
          <w:szCs w:val="23"/>
        </w:rPr>
        <w:t xml:space="preserve">Capítulo 2. Ruta de Formación</w:t>
      </w:r>
    </w:p>
    <w:p>
      <w:pPr>
        <w:spacing w:after="160" w:line="300"/>
        <w:jc w:val="both"/>
      </w:pPr>
      <w:r>
        <w:rPr>
          <w:rFonts w:ascii="Cambria" w:cs="Cambria" w:eastAsia="Cambria" w:hAnsi="Cambria"/>
          <w:color w:val="000000"/>
          <w:sz w:val="24"/>
          <w:szCs w:val="24"/>
        </w:rPr>
        <w:t xml:space="preserve">Toda persona podrá construir su propia trayectoria académica dentro del Sistema ODYRA, recorriendo seis niveles progresivos que anteceden y acompañan el proceso de certificación profesional.</w:t>
      </w:r>
    </w:p>
    <w:p>
      <w:pPr>
        <w:pStyle w:val="ListParagraph"/>
        <w:numPr>
          <w:ilvl w:val="0"/>
          <w:numId w:val="1"/>
        </w:numPr>
        <w:spacing w:after="80"/>
        <w:jc w:val="both"/>
      </w:pPr>
      <w:r>
        <w:rPr>
          <w:rFonts w:ascii="Cambria" w:cs="Cambria" w:eastAsia="Cambria" w:hAnsi="Cambria"/>
          <w:b/>
          <w:bCs/>
          <w:color w:val="000000"/>
          <w:sz w:val="23"/>
          <w:szCs w:val="23"/>
        </w:rPr>
        <w:t xml:space="preserve">Nivel I — Fundamentos.</w:t>
      </w:r>
      <w:r>
        <w:rPr>
          <w:rFonts w:ascii="Cambria" w:cs="Cambria" w:eastAsia="Cambria" w:hAnsi="Cambria"/>
          <w:color w:val="000000"/>
          <w:sz w:val="23"/>
          <w:szCs w:val="23"/>
        </w:rPr>
        <w:t xml:space="preserve"> Introducción a la filosofía, los principios y el lenguaje oficial del Sistema ODYRA. Corresponde a la formación exigida para optar al nivel de Consultor Asociado ODYRA en el Sistema Oficial de Certificación.</w:t>
      </w:r>
    </w:p>
    <w:p>
      <w:pPr>
        <w:pStyle w:val="ListParagraph"/>
        <w:numPr>
          <w:ilvl w:val="0"/>
          <w:numId w:val="1"/>
        </w:numPr>
        <w:spacing w:after="80"/>
        <w:jc w:val="both"/>
      </w:pPr>
      <w:r>
        <w:rPr>
          <w:rFonts w:ascii="Cambria" w:cs="Cambria" w:eastAsia="Cambria" w:hAnsi="Cambria"/>
          <w:b/>
          <w:bCs/>
          <w:color w:val="000000"/>
          <w:sz w:val="23"/>
          <w:szCs w:val="23"/>
        </w:rPr>
        <w:t xml:space="preserve">Nivel II — Especialización.</w:t>
      </w:r>
      <w:r>
        <w:rPr>
          <w:rFonts w:ascii="Cambria" w:cs="Cambria" w:eastAsia="Cambria" w:hAnsi="Cambria"/>
          <w:color w:val="000000"/>
          <w:sz w:val="23"/>
          <w:szCs w:val="23"/>
        </w:rPr>
        <w:t xml:space="preserve"> Profundización en una o más de las Escuelas Académicas descritas en la Parte II, según el interés y la trayectoria profesional de cada persona.</w:t>
      </w:r>
    </w:p>
    <w:p>
      <w:pPr>
        <w:pStyle w:val="ListParagraph"/>
        <w:numPr>
          <w:ilvl w:val="0"/>
          <w:numId w:val="1"/>
        </w:numPr>
        <w:spacing w:after="80"/>
        <w:jc w:val="both"/>
      </w:pPr>
      <w:r>
        <w:rPr>
          <w:rFonts w:ascii="Cambria" w:cs="Cambria" w:eastAsia="Cambria" w:hAnsi="Cambria"/>
          <w:b/>
          <w:bCs/>
          <w:color w:val="000000"/>
          <w:sz w:val="23"/>
          <w:szCs w:val="23"/>
        </w:rPr>
        <w:t xml:space="preserve">Nivel III — Aplicación.</w:t>
      </w:r>
      <w:r>
        <w:rPr>
          <w:rFonts w:ascii="Cambria" w:cs="Cambria" w:eastAsia="Cambria" w:hAnsi="Cambria"/>
          <w:color w:val="000000"/>
          <w:sz w:val="23"/>
          <w:szCs w:val="23"/>
        </w:rPr>
        <w:t xml:space="preserve"> Desarrollo de un proyecto aplicado en un contexto real, documentado conforme a la estructura de casos establecida en la Biblioteca Oficial de Casos de Estudio ODYRA.</w:t>
      </w:r>
    </w:p>
    <w:p>
      <w:pPr>
        <w:pStyle w:val="ListParagraph"/>
        <w:numPr>
          <w:ilvl w:val="0"/>
          <w:numId w:val="1"/>
        </w:numPr>
        <w:spacing w:after="80"/>
        <w:jc w:val="both"/>
      </w:pPr>
      <w:r>
        <w:rPr>
          <w:rFonts w:ascii="Cambria" w:cs="Cambria" w:eastAsia="Cambria" w:hAnsi="Cambria"/>
          <w:b/>
          <w:bCs/>
          <w:color w:val="000000"/>
          <w:sz w:val="23"/>
          <w:szCs w:val="23"/>
        </w:rPr>
        <w:t xml:space="preserve">Nivel IV — Certificación.</w:t>
      </w:r>
      <w:r>
        <w:rPr>
          <w:rFonts w:ascii="Cambria" w:cs="Cambria" w:eastAsia="Cambria" w:hAnsi="Cambria"/>
          <w:color w:val="000000"/>
          <w:sz w:val="23"/>
          <w:szCs w:val="23"/>
        </w:rPr>
        <w:t xml:space="preserve"> Evaluación formal de competencias conforme al Modelo Oficial de Evaluación del Sistema Oficial de Certificación ODYRA, con acceso a los niveles de Consultor Profesional ODYRA en adelante.</w:t>
      </w:r>
    </w:p>
    <w:p>
      <w:pPr>
        <w:pStyle w:val="ListParagraph"/>
        <w:numPr>
          <w:ilvl w:val="0"/>
          <w:numId w:val="1"/>
        </w:numPr>
        <w:spacing w:after="80"/>
        <w:jc w:val="both"/>
      </w:pPr>
      <w:r>
        <w:rPr>
          <w:rFonts w:ascii="Cambria" w:cs="Cambria" w:eastAsia="Cambria" w:hAnsi="Cambria"/>
          <w:b/>
          <w:bCs/>
          <w:color w:val="000000"/>
          <w:sz w:val="23"/>
          <w:szCs w:val="23"/>
        </w:rPr>
        <w:t xml:space="preserve">Nivel V — Mentoría.</w:t>
      </w:r>
      <w:r>
        <w:rPr>
          <w:rFonts w:ascii="Cambria" w:cs="Cambria" w:eastAsia="Cambria" w:hAnsi="Cambria"/>
          <w:color w:val="000000"/>
          <w:sz w:val="23"/>
          <w:szCs w:val="23"/>
        </w:rPr>
        <w:t xml:space="preserve"> Acompañamiento a nuevas generaciones de consultores, reservado a quienes alcanzan el nivel de Consultor Senior ODYRA o superior, conforme al rol de Mentor descrito en el Sistema Oficial de Certificación.</w:t>
      </w:r>
    </w:p>
    <w:p>
      <w:pPr>
        <w:pStyle w:val="ListParagraph"/>
        <w:numPr>
          <w:ilvl w:val="0"/>
          <w:numId w:val="1"/>
        </w:numPr>
        <w:spacing w:after="80"/>
        <w:jc w:val="both"/>
      </w:pPr>
      <w:r>
        <w:rPr>
          <w:rFonts w:ascii="Cambria" w:cs="Cambria" w:eastAsia="Cambria" w:hAnsi="Cambria"/>
          <w:b/>
          <w:bCs/>
          <w:color w:val="000000"/>
          <w:sz w:val="23"/>
          <w:szCs w:val="23"/>
        </w:rPr>
        <w:t xml:space="preserve">Nivel VI — Investigación.</w:t>
      </w:r>
      <w:r>
        <w:rPr>
          <w:rFonts w:ascii="Cambria" w:cs="Cambria" w:eastAsia="Cambria" w:hAnsi="Cambria"/>
          <w:color w:val="000000"/>
          <w:sz w:val="23"/>
          <w:szCs w:val="23"/>
        </w:rPr>
        <w:t xml:space="preserve"> Producción de conocimiento aplicado que enriquece el Sistema ODYRA, propia del nivel de Arquitecto del Método ODYRA y de Fellow ODYRA.</w:t>
      </w:r>
    </w:p>
    <w:p>
      <w:pPr>
        <w:spacing w:after="160" w:line="300"/>
        <w:jc w:val="both"/>
      </w:pPr>
      <w:r>
        <w:rPr>
          <w:rFonts w:ascii="Cambria" w:cs="Cambria" w:eastAsia="Cambria" w:hAnsi="Cambria"/>
          <w:color w:val="000000"/>
          <w:sz w:val="24"/>
          <w:szCs w:val="24"/>
        </w:rPr>
        <w:t xml:space="preserve">Estos seis niveles no constituyen una certificación en sí mismos: son la ruta pedagógica que conduce a ella. La correspondencia exacta entre esta ruta y la carrera profesional certificada se establece en la Parte IV de este documento.</w:t>
      </w:r>
    </w:p>
    <w:p>
      <w:pPr>
        <w:pStyle w:val="Heading1"/>
        <w:pageBreakBefore/>
        <w:spacing w:after="60" w:before="200"/>
      </w:pPr>
      <w:r>
        <w:rPr>
          <w:rFonts w:ascii="Cambria" w:cs="Cambria" w:eastAsia="Cambria" w:hAnsi="Cambria"/>
          <w:b/>
          <w:bCs/>
          <w:color w:val="1E2761"/>
          <w:sz w:val="22"/>
          <w:szCs w:val="22"/>
        </w:rPr>
        <w:t xml:space="preserve">PARTE II</w:t>
      </w:r>
    </w:p>
    <w:p>
      <w:pPr>
        <w:pStyle w:val="Heading2"/>
        <w:spacing w:after="120" w:before="260"/>
      </w:pPr>
      <w:r>
        <w:rPr>
          <w:rFonts w:ascii="Cambria" w:cs="Cambria" w:eastAsia="Cambria" w:hAnsi="Cambria"/>
          <w:b/>
          <w:bCs/>
          <w:color w:val="1E2761"/>
          <w:sz w:val="26"/>
          <w:szCs w:val="26"/>
        </w:rPr>
        <w:t xml:space="preserve">ESCUELAS ACADÉMICAS DEL SISTEMA ODYRA</w:t>
      </w:r>
    </w:p>
    <w:p>
      <w:pPr>
        <w:spacing w:after="160" w:line="300"/>
        <w:jc w:val="both"/>
      </w:pPr>
      <w:r>
        <w:rPr>
          <w:rFonts w:ascii="Cambria" w:cs="Cambria" w:eastAsia="Cambria" w:hAnsi="Cambria"/>
          <w:color w:val="000000"/>
          <w:sz w:val="24"/>
          <w:szCs w:val="24"/>
        </w:rPr>
        <w:t xml:space="preserve">El Sistema ODYRA organiza su oferta formativa en ocho escuelas académicas. Cada escuela responde a un campo de aplicación específico de la consultoría estratégica y la inteligencia aplicada, y todas comparten los mismos fundamentos filosóficos y metodológicos establecidos en el Hexágono Fundacional ODYRA.</w:t>
      </w:r>
    </w:p>
    <w:p>
      <w:pPr>
        <w:pStyle w:val="Heading3"/>
        <w:spacing w:after="100" w:before="200"/>
      </w:pPr>
      <w:r>
        <w:rPr>
          <w:rFonts w:ascii="Cambria" w:cs="Cambria" w:eastAsia="Cambria" w:hAnsi="Cambria"/>
          <w:b/>
          <w:bCs/>
          <w:color w:val="1E2761"/>
          <w:sz w:val="23"/>
          <w:szCs w:val="23"/>
        </w:rPr>
        <w:t xml:space="preserve">Escuela 1. Consultoría Estratégica y Transformación Organizacional</w:t>
      </w:r>
    </w:p>
    <w:p>
      <w:pPr>
        <w:spacing w:after="160" w:line="300"/>
        <w:jc w:val="both"/>
      </w:pPr>
      <w:r>
        <w:rPr>
          <w:rFonts w:ascii="Cambria" w:cs="Cambria" w:eastAsia="Cambria" w:hAnsi="Cambria"/>
          <w:color w:val="000000"/>
          <w:sz w:val="24"/>
          <w:szCs w:val="24"/>
        </w:rPr>
        <w:t xml:space="preserve">Es la escuela base del Sistema ODYRA: toda persona que inicie su formación en cualquiera de las demás escuelas académicas recorre primero sus fundamentos, dado que en ella se enseñan el Método ODYRA, el Modelo CI–ODYRA y los principios generales que las demás escuelas aplican a campos específicos.</w:t>
      </w:r>
    </w:p>
    <w:p>
      <w:pPr>
        <w:spacing w:after="160" w:line="300"/>
        <w:jc w:val="both"/>
      </w:pPr>
      <w:r>
        <w:rPr>
          <w:rFonts w:ascii="Cambria" w:cs="Cambria" w:eastAsia="Cambria" w:hAnsi="Cambria"/>
          <w:b/>
          <w:bCs/>
          <w:color w:val="000000"/>
          <w:sz w:val="24"/>
          <w:szCs w:val="24"/>
        </w:rPr>
        <w:t xml:space="preserve">Líneas de formación:</w:t>
      </w:r>
      <w:r>
        <w:rPr>
          <w:rFonts w:ascii="Cambria" w:cs="Cambria" w:eastAsia="Cambria" w:hAnsi="Cambria"/>
          <w:color w:val="000000"/>
          <w:sz w:val="24"/>
          <w:szCs w:val="24"/>
        </w:rPr>
        <w:t xml:space="preserve"> Fundamentos del Método ODYRA; consultoría estratégica; diagnóstico organizacional; planeación estratégica; gestión del cambio; gobernanza; desarrollo organizacional; fortalecimiento institucional; gestión del conocimiento; inteligencia organizacional; liderazgo estratégico; cultura organizacional; innovación organizacional.</w:t>
      </w:r>
    </w:p>
    <w:p>
      <w:pPr>
        <w:pStyle w:val="Heading3"/>
        <w:spacing w:after="100" w:before="200"/>
      </w:pPr>
      <w:r>
        <w:rPr>
          <w:rFonts w:ascii="Cambria" w:cs="Cambria" w:eastAsia="Cambria" w:hAnsi="Cambria"/>
          <w:b/>
          <w:bCs/>
          <w:color w:val="1E2761"/>
          <w:sz w:val="23"/>
          <w:szCs w:val="23"/>
        </w:rPr>
        <w:t xml:space="preserve">Escuela 2. Gerencia Integral de Proyectos</w:t>
      </w:r>
    </w:p>
    <w:p>
      <w:pPr>
        <w:spacing w:after="160" w:line="300"/>
        <w:jc w:val="both"/>
      </w:pPr>
      <w:r>
        <w:rPr>
          <w:rFonts w:ascii="Cambria" w:cs="Cambria" w:eastAsia="Cambria" w:hAnsi="Cambria"/>
          <w:color w:val="000000"/>
          <w:sz w:val="24"/>
          <w:szCs w:val="24"/>
        </w:rPr>
        <w:t xml:space="preserve">Uno de los ejes más robustos del Sistema ODYRA, estructurado en seis líneas que recorren el ciclo de vida completo de un proyecto, desde su formulación hasta su cierre.</w:t>
      </w:r>
    </w:p>
    <w:p>
      <w:pPr>
        <w:spacing w:after="160" w:line="300"/>
        <w:jc w:val="both"/>
      </w:pPr>
      <w:r>
        <w:rPr>
          <w:rFonts w:ascii="Cambria" w:cs="Cambria" w:eastAsia="Cambria" w:hAnsi="Cambria"/>
          <w:b/>
          <w:bCs/>
          <w:color w:val="000000"/>
          <w:sz w:val="24"/>
          <w:szCs w:val="24"/>
        </w:rPr>
        <w:t xml:space="preserve">Línea I — Fundamentos de proyectos.</w:t>
      </w:r>
      <w:r>
        <w:rPr>
          <w:rFonts w:ascii="Cambria" w:cs="Cambria" w:eastAsia="Cambria" w:hAnsi="Cambria"/>
          <w:color w:val="000000"/>
          <w:sz w:val="24"/>
          <w:szCs w:val="24"/>
        </w:rPr>
        <w:t xml:space="preserve"> Introducción a la gestión de proyectos, ciclo de vida, gobernanza de proyectos y oficinas de proyectos (PMO).</w:t>
      </w:r>
    </w:p>
    <w:p>
      <w:pPr>
        <w:spacing w:after="160" w:line="300"/>
        <w:jc w:val="both"/>
      </w:pPr>
      <w:r>
        <w:rPr>
          <w:rFonts w:ascii="Cambria" w:cs="Cambria" w:eastAsia="Cambria" w:hAnsi="Cambria"/>
          <w:b/>
          <w:bCs/>
          <w:color w:val="000000"/>
          <w:sz w:val="24"/>
          <w:szCs w:val="24"/>
        </w:rPr>
        <w:t xml:space="preserve">Línea II — Formulación de proyectos.</w:t>
      </w:r>
      <w:r>
        <w:rPr>
          <w:rFonts w:ascii="Cambria" w:cs="Cambria" w:eastAsia="Cambria" w:hAnsi="Cambria"/>
          <w:color w:val="000000"/>
          <w:sz w:val="24"/>
          <w:szCs w:val="24"/>
        </w:rPr>
        <w:t xml:space="preserve"> Identificación de problemas, árbol de problemas, árbol de objetivos, marco lógico, Metodología General Ajustada (MGA), teoría del cambio, diseño de indicadores, estudios técnicos, financieros, ambientales y sociales, gestión del riesgo, construcción de presupuestos, cronogramas y banco de proyectos.</w:t>
      </w:r>
    </w:p>
    <w:p>
      <w:pPr>
        <w:spacing w:after="160" w:line="300"/>
        <w:jc w:val="both"/>
      </w:pPr>
      <w:r>
        <w:rPr>
          <w:rFonts w:ascii="Cambria" w:cs="Cambria" w:eastAsia="Cambria" w:hAnsi="Cambria"/>
          <w:b/>
          <w:bCs/>
          <w:color w:val="000000"/>
          <w:sz w:val="24"/>
          <w:szCs w:val="24"/>
        </w:rPr>
        <w:t xml:space="preserve">Línea III — Fuentes de financiación.</w:t>
      </w:r>
      <w:r>
        <w:rPr>
          <w:rFonts w:ascii="Cambria" w:cs="Cambria" w:eastAsia="Cambria" w:hAnsi="Cambria"/>
          <w:color w:val="000000"/>
          <w:sz w:val="24"/>
          <w:szCs w:val="24"/>
        </w:rPr>
        <w:t xml:space="preserve"> Cooperación internacional, regalías, recursos públicos, convocatorias nacionales e internacionales, fondos de innovación y alianzas público-privadas.</w:t>
      </w:r>
    </w:p>
    <w:p>
      <w:pPr>
        <w:spacing w:after="160" w:line="300"/>
        <w:jc w:val="both"/>
      </w:pPr>
      <w:r>
        <w:rPr>
          <w:rFonts w:ascii="Cambria" w:cs="Cambria" w:eastAsia="Cambria" w:hAnsi="Cambria"/>
          <w:b/>
          <w:bCs/>
          <w:color w:val="000000"/>
          <w:sz w:val="24"/>
          <w:szCs w:val="24"/>
        </w:rPr>
        <w:t xml:space="preserve">Línea IV — Gerencia de proyectos.</w:t>
      </w:r>
      <w:r>
        <w:rPr>
          <w:rFonts w:ascii="Cambria" w:cs="Cambria" w:eastAsia="Cambria" w:hAnsi="Cambria"/>
          <w:color w:val="000000"/>
          <w:sz w:val="24"/>
          <w:szCs w:val="24"/>
        </w:rPr>
        <w:t xml:space="preserve"> PMBOK, Agile, Scrum, Kanban, gestión del alcance, del tiempo, de costos, contractual, documental y de interesados.</w:t>
      </w:r>
    </w:p>
    <w:p>
      <w:pPr>
        <w:spacing w:after="160" w:line="300"/>
        <w:jc w:val="both"/>
      </w:pPr>
      <w:r>
        <w:rPr>
          <w:rFonts w:ascii="Cambria" w:cs="Cambria" w:eastAsia="Cambria" w:hAnsi="Cambria"/>
          <w:b/>
          <w:bCs/>
          <w:color w:val="000000"/>
          <w:sz w:val="24"/>
          <w:szCs w:val="24"/>
        </w:rPr>
        <w:t xml:space="preserve">Línea V — Seguimiento y control.</w:t>
      </w:r>
      <w:r>
        <w:rPr>
          <w:rFonts w:ascii="Cambria" w:cs="Cambria" w:eastAsia="Cambria" w:hAnsi="Cambria"/>
          <w:color w:val="000000"/>
          <w:sz w:val="24"/>
          <w:szCs w:val="24"/>
        </w:rPr>
        <w:t xml:space="preserve"> Indicadores, tableros de control, monitoreo, evaluación, auditoría y alertas tempranas.</w:t>
      </w:r>
    </w:p>
    <w:p>
      <w:pPr>
        <w:spacing w:after="160" w:line="300"/>
        <w:jc w:val="both"/>
      </w:pPr>
      <w:r>
        <w:rPr>
          <w:rFonts w:ascii="Cambria" w:cs="Cambria" w:eastAsia="Cambria" w:hAnsi="Cambria"/>
          <w:b/>
          <w:bCs/>
          <w:color w:val="000000"/>
          <w:sz w:val="24"/>
          <w:szCs w:val="24"/>
        </w:rPr>
        <w:t xml:space="preserve">Línea VI — Cierre.</w:t>
      </w:r>
      <w:r>
        <w:rPr>
          <w:rFonts w:ascii="Cambria" w:cs="Cambria" w:eastAsia="Cambria" w:hAnsi="Cambria"/>
          <w:color w:val="000000"/>
          <w:sz w:val="24"/>
          <w:szCs w:val="24"/>
        </w:rPr>
        <w:t xml:space="preserve"> Cierre técnico, administrativo, financiero y contractual, lecciones aprendidas y sistematización.</w:t>
      </w:r>
    </w:p>
    <w:p>
      <w:pPr>
        <w:pStyle w:val="Heading3"/>
        <w:spacing w:after="100" w:before="200"/>
      </w:pPr>
      <w:r>
        <w:rPr>
          <w:rFonts w:ascii="Cambria" w:cs="Cambria" w:eastAsia="Cambria" w:hAnsi="Cambria"/>
          <w:b/>
          <w:bCs/>
          <w:color w:val="1E2761"/>
          <w:sz w:val="23"/>
          <w:szCs w:val="23"/>
        </w:rPr>
        <w:t xml:space="preserve">Escuela 3. Asociatividad y Desarrollo Territorial</w:t>
      </w:r>
    </w:p>
    <w:p>
      <w:pPr>
        <w:spacing w:after="160" w:line="300"/>
        <w:jc w:val="both"/>
      </w:pPr>
      <w:r>
        <w:rPr>
          <w:rFonts w:ascii="Cambria" w:cs="Cambria" w:eastAsia="Cambria" w:hAnsi="Cambria"/>
          <w:color w:val="000000"/>
          <w:sz w:val="24"/>
          <w:szCs w:val="24"/>
        </w:rPr>
        <w:t xml:space="preserve">Una línea diferenciadora del Sistema ODYRA, que responde a la experiencia de la Escuela en el acompañamiento de procesos asociativos y territoriales en contextos rurales y comunitarios.</w:t>
      </w:r>
    </w:p>
    <w:p>
      <w:pPr>
        <w:spacing w:after="160" w:line="300"/>
        <w:jc w:val="both"/>
      </w:pPr>
      <w:r>
        <w:rPr>
          <w:rFonts w:ascii="Cambria" w:cs="Cambria" w:eastAsia="Cambria" w:hAnsi="Cambria"/>
          <w:b/>
          <w:bCs/>
          <w:color w:val="000000"/>
          <w:sz w:val="24"/>
          <w:szCs w:val="24"/>
        </w:rPr>
        <w:t xml:space="preserve">Asociatividad:</w:t>
      </w:r>
      <w:r>
        <w:rPr>
          <w:rFonts w:ascii="Cambria" w:cs="Cambria" w:eastAsia="Cambria" w:hAnsi="Cambria"/>
          <w:color w:val="000000"/>
          <w:sz w:val="24"/>
          <w:szCs w:val="24"/>
        </w:rPr>
        <w:t xml:space="preserve"> economía solidaria, cooperativismo, asociaciones, redes empresariales, clústeres, cadenas productivas, gobernanza asociativa, fortalecimiento gremial, estatutos, planeación asociativa, gestión de juntas directivas, resolución de conflictos y liderazgo colaborativo.</w:t>
      </w:r>
    </w:p>
    <w:p>
      <w:pPr>
        <w:spacing w:after="160" w:line="300"/>
        <w:jc w:val="both"/>
      </w:pPr>
      <w:r>
        <w:rPr>
          <w:rFonts w:ascii="Cambria" w:cs="Cambria" w:eastAsia="Cambria" w:hAnsi="Cambria"/>
          <w:b/>
          <w:bCs/>
          <w:color w:val="000000"/>
          <w:sz w:val="24"/>
          <w:szCs w:val="24"/>
        </w:rPr>
        <w:t xml:space="preserve">Desarrollo Territorial:</w:t>
      </w:r>
      <w:r>
        <w:rPr>
          <w:rFonts w:ascii="Cambria" w:cs="Cambria" w:eastAsia="Cambria" w:hAnsi="Cambria"/>
          <w:color w:val="000000"/>
          <w:sz w:val="24"/>
          <w:szCs w:val="24"/>
        </w:rPr>
        <w:t xml:space="preserve"> desarrollo rural, desarrollo económico local, competitividad territorial, planeación territorial, gestión del territorio, participación ciudadana, desarrollo comunitario, ordenamiento territorial y gobernanza territorial.</w:t>
      </w:r>
    </w:p>
    <w:p>
      <w:pPr>
        <w:pStyle w:val="Heading3"/>
        <w:spacing w:after="100" w:before="200"/>
      </w:pPr>
      <w:r>
        <w:rPr>
          <w:rFonts w:ascii="Cambria" w:cs="Cambria" w:eastAsia="Cambria" w:hAnsi="Cambria"/>
          <w:b/>
          <w:bCs/>
          <w:color w:val="1E2761"/>
          <w:sz w:val="23"/>
          <w:szCs w:val="23"/>
        </w:rPr>
        <w:t xml:space="preserve">Escuela 4. Tierras, Formalización y Ordenamiento Rural</w:t>
      </w:r>
    </w:p>
    <w:p>
      <w:pPr>
        <w:spacing w:after="160" w:line="300"/>
        <w:jc w:val="both"/>
      </w:pPr>
      <w:r>
        <w:rPr>
          <w:rFonts w:ascii="Cambria" w:cs="Cambria" w:eastAsia="Cambria" w:hAnsi="Cambria"/>
          <w:color w:val="000000"/>
          <w:sz w:val="24"/>
          <w:szCs w:val="24"/>
        </w:rPr>
        <w:t xml:space="preserve">Una escuela con enorme potencial en Colombia y América Latina, dada la magnitud de los procesos de formalización de la propiedad rural y ordenamiento territorial en curso en la región.</w:t>
      </w:r>
    </w:p>
    <w:p>
      <w:pPr>
        <w:spacing w:after="160" w:line="300"/>
        <w:jc w:val="both"/>
      </w:pPr>
      <w:r>
        <w:rPr>
          <w:rFonts w:ascii="Cambria" w:cs="Cambria" w:eastAsia="Cambria" w:hAnsi="Cambria"/>
          <w:b/>
          <w:bCs/>
          <w:color w:val="000000"/>
          <w:sz w:val="24"/>
          <w:szCs w:val="24"/>
        </w:rPr>
        <w:t xml:space="preserve">Líneas:</w:t>
      </w:r>
      <w:r>
        <w:rPr>
          <w:rFonts w:ascii="Cambria" w:cs="Cambria" w:eastAsia="Cambria" w:hAnsi="Cambria"/>
          <w:color w:val="000000"/>
          <w:sz w:val="24"/>
          <w:szCs w:val="24"/>
        </w:rPr>
        <w:t xml:space="preserve"> régimen jurídico de tierras, formalización de la propiedad, titulación, legalización de predios, catastro multipropósito, registro inmobiliario, baldíos, restitución de tierras, acceso a tierras, desarrollo rural integral, ordenamiento social de la propiedad, gestión predial para proyectos, servidumbres, avalúos, gestión catastral, sistemas de información geográfica (SIG) aplicados al territorio, normatividad agraria, derecho agrario e instrumentos de planificación rural.</w:t>
      </w:r>
    </w:p>
    <w:p>
      <w:pPr>
        <w:pStyle w:val="Heading3"/>
        <w:spacing w:after="100" w:before="200"/>
      </w:pPr>
      <w:r>
        <w:rPr>
          <w:rFonts w:ascii="Cambria" w:cs="Cambria" w:eastAsia="Cambria" w:hAnsi="Cambria"/>
          <w:b/>
          <w:bCs/>
          <w:color w:val="1E2761"/>
          <w:sz w:val="23"/>
          <w:szCs w:val="23"/>
        </w:rPr>
        <w:t xml:space="preserve">Escuela 5. Inteligencia Artificial Aplicada</w:t>
      </w:r>
    </w:p>
    <w:p>
      <w:pPr>
        <w:spacing w:after="160" w:line="300"/>
        <w:jc w:val="both"/>
      </w:pPr>
      <w:r>
        <w:rPr>
          <w:rFonts w:ascii="Cambria" w:cs="Cambria" w:eastAsia="Cambria" w:hAnsi="Cambria"/>
          <w:color w:val="000000"/>
          <w:sz w:val="24"/>
          <w:szCs w:val="24"/>
        </w:rPr>
        <w:t xml:space="preserve">Desarrolla, en el plano formativo, las competencias establecidas en el Manual Oficial de Skills de IA ODYRA, adaptadas a distintos perfiles profesionales.</w:t>
      </w:r>
    </w:p>
    <w:p>
      <w:pPr>
        <w:spacing w:after="160" w:line="300"/>
        <w:jc w:val="both"/>
      </w:pPr>
      <w:r>
        <w:rPr>
          <w:rFonts w:ascii="Cambria" w:cs="Cambria" w:eastAsia="Cambria" w:hAnsi="Cambria"/>
          <w:b/>
          <w:bCs/>
          <w:color w:val="000000"/>
          <w:sz w:val="24"/>
          <w:szCs w:val="24"/>
        </w:rPr>
        <w:t xml:space="preserve">Líneas de formación:</w:t>
      </w:r>
      <w:r>
        <w:rPr>
          <w:rFonts w:ascii="Cambria" w:cs="Cambria" w:eastAsia="Cambria" w:hAnsi="Cambria"/>
          <w:color w:val="000000"/>
          <w:sz w:val="24"/>
          <w:szCs w:val="24"/>
        </w:rPr>
        <w:t xml:space="preserve"> IA para consultores, IA para proyectos, IA para gobiernos, IA para organizaciones, automatización, ingeniería de prompts, agentes inteligentes, gestión documental, investigación asistida, análisis estratégico con IA, ética de la IA y Modelo CI–ODYRA.</w:t>
      </w:r>
    </w:p>
    <w:p>
      <w:pPr>
        <w:pStyle w:val="Heading3"/>
        <w:spacing w:after="100" w:before="200"/>
      </w:pPr>
      <w:r>
        <w:rPr>
          <w:rFonts w:ascii="Cambria" w:cs="Cambria" w:eastAsia="Cambria" w:hAnsi="Cambria"/>
          <w:b/>
          <w:bCs/>
          <w:color w:val="1E2761"/>
          <w:sz w:val="23"/>
          <w:szCs w:val="23"/>
        </w:rPr>
        <w:t xml:space="preserve">Escuela 6. Innovación y Transformación Digital</w:t>
      </w:r>
    </w:p>
    <w:p>
      <w:pPr>
        <w:spacing w:after="160" w:line="300"/>
        <w:jc w:val="both"/>
      </w:pPr>
      <w:r>
        <w:rPr>
          <w:rFonts w:ascii="Cambria" w:cs="Cambria" w:eastAsia="Cambria" w:hAnsi="Cambria"/>
          <w:color w:val="000000"/>
          <w:sz w:val="24"/>
          <w:szCs w:val="24"/>
        </w:rPr>
        <w:t xml:space="preserve">Forma competencias para liderar procesos de innovación y modernización tecnológica en organizaciones públicas y privadas.</w:t>
      </w:r>
    </w:p>
    <w:p>
      <w:pPr>
        <w:spacing w:after="160" w:line="300"/>
        <w:jc w:val="both"/>
      </w:pPr>
      <w:r>
        <w:rPr>
          <w:rFonts w:ascii="Cambria" w:cs="Cambria" w:eastAsia="Cambria" w:hAnsi="Cambria"/>
          <w:b/>
          <w:bCs/>
          <w:color w:val="000000"/>
          <w:sz w:val="24"/>
          <w:szCs w:val="24"/>
        </w:rPr>
        <w:t xml:space="preserve">Líneas de formación:</w:t>
      </w:r>
      <w:r>
        <w:rPr>
          <w:rFonts w:ascii="Cambria" w:cs="Cambria" w:eastAsia="Cambria" w:hAnsi="Cambria"/>
          <w:color w:val="000000"/>
          <w:sz w:val="24"/>
          <w:szCs w:val="24"/>
        </w:rPr>
        <w:t xml:space="preserve"> Design Thinking, innovación pública, innovación empresarial, transformación digital, laboratorios de innovación, gobierno digital, servicios inteligentes, automatización de procesos y datos para la toma de decisiones.</w:t>
      </w:r>
    </w:p>
    <w:p>
      <w:pPr>
        <w:pStyle w:val="Heading3"/>
        <w:spacing w:after="100" w:before="200"/>
      </w:pPr>
      <w:r>
        <w:rPr>
          <w:rFonts w:ascii="Cambria" w:cs="Cambria" w:eastAsia="Cambria" w:hAnsi="Cambria"/>
          <w:b/>
          <w:bCs/>
          <w:color w:val="1E2761"/>
          <w:sz w:val="23"/>
          <w:szCs w:val="23"/>
        </w:rPr>
        <w:t xml:space="preserve">Escuela 7. Liderazgo, Gobernanza y Alta Dirección</w:t>
      </w:r>
    </w:p>
    <w:p>
      <w:pPr>
        <w:spacing w:after="160" w:line="300"/>
        <w:jc w:val="both"/>
      </w:pPr>
      <w:r>
        <w:rPr>
          <w:rFonts w:ascii="Cambria" w:cs="Cambria" w:eastAsia="Cambria" w:hAnsi="Cambria"/>
          <w:color w:val="000000"/>
          <w:sz w:val="24"/>
          <w:szCs w:val="24"/>
        </w:rPr>
        <w:t xml:space="preserve">Forma las competencias directivas que complementan el dominio metodológico del Sistema ODYRA, orientadas a quienes ocupan o aspiran a posiciones de dirección estratégica.</w:t>
      </w:r>
    </w:p>
    <w:p>
      <w:pPr>
        <w:spacing w:after="160" w:line="300"/>
        <w:jc w:val="both"/>
      </w:pPr>
      <w:r>
        <w:rPr>
          <w:rFonts w:ascii="Cambria" w:cs="Cambria" w:eastAsia="Cambria" w:hAnsi="Cambria"/>
          <w:b/>
          <w:bCs/>
          <w:color w:val="000000"/>
          <w:sz w:val="24"/>
          <w:szCs w:val="24"/>
        </w:rPr>
        <w:t xml:space="preserve">Líneas de formación:</w:t>
      </w:r>
      <w:r>
        <w:rPr>
          <w:rFonts w:ascii="Cambria" w:cs="Cambria" w:eastAsia="Cambria" w:hAnsi="Cambria"/>
          <w:color w:val="000000"/>
          <w:sz w:val="24"/>
          <w:szCs w:val="24"/>
        </w:rPr>
        <w:t xml:space="preserve"> liderazgo adaptativo, liderazgo estratégico, gobierno corporativo, gobernanza pública, gestión del talento, negociación, comunicación estratégica, gestión política y dirección ejecutiva.</w:t>
      </w:r>
    </w:p>
    <w:p>
      <w:pPr>
        <w:pStyle w:val="Heading3"/>
        <w:spacing w:after="100" w:before="200"/>
      </w:pPr>
      <w:r>
        <w:rPr>
          <w:rFonts w:ascii="Cambria" w:cs="Cambria" w:eastAsia="Cambria" w:hAnsi="Cambria"/>
          <w:b/>
          <w:bCs/>
          <w:color w:val="1E2761"/>
          <w:sz w:val="23"/>
          <w:szCs w:val="23"/>
        </w:rPr>
        <w:t xml:space="preserve">Escuela 8. Investigación Aplicada y Gestión del Conocimiento</w:t>
      </w:r>
    </w:p>
    <w:p>
      <w:pPr>
        <w:spacing w:after="160" w:line="300"/>
        <w:jc w:val="both"/>
      </w:pPr>
      <w:r>
        <w:rPr>
          <w:rFonts w:ascii="Cambria" w:cs="Cambria" w:eastAsia="Cambria" w:hAnsi="Cambria"/>
          <w:color w:val="000000"/>
          <w:sz w:val="24"/>
          <w:szCs w:val="24"/>
        </w:rPr>
        <w:t xml:space="preserve">Forma las competencias necesarias para producir el conocimiento que alimenta la evolución permanente del Sistema ODYRA, conforme al Ciclo del Conocimiento ODYRA establecido en la Arquitectura del Conocimiento ODYRA.</w:t>
      </w:r>
    </w:p>
    <w:p>
      <w:pPr>
        <w:spacing w:after="160" w:line="300"/>
        <w:jc w:val="both"/>
      </w:pPr>
      <w:r>
        <w:rPr>
          <w:rFonts w:ascii="Cambria" w:cs="Cambria" w:eastAsia="Cambria" w:hAnsi="Cambria"/>
          <w:b/>
          <w:bCs/>
          <w:color w:val="000000"/>
          <w:sz w:val="24"/>
          <w:szCs w:val="24"/>
        </w:rPr>
        <w:t xml:space="preserve">Líneas de formación:</w:t>
      </w:r>
      <w:r>
        <w:rPr>
          <w:rFonts w:ascii="Cambria" w:cs="Cambria" w:eastAsia="Cambria" w:hAnsi="Cambria"/>
          <w:color w:val="000000"/>
          <w:sz w:val="24"/>
          <w:szCs w:val="24"/>
        </w:rPr>
        <w:t xml:space="preserve"> metodología de investigación, investigación aplicada, estudios de caso, prospectiva, vigilancia tecnológica, gestión del conocimiento, arquitecturas del conocimiento, publicaciones científicas y escritura académica.</w:t>
      </w:r>
    </w:p>
    <w:p>
      <w:pPr>
        <w:pStyle w:val="Heading1"/>
        <w:pageBreakBefore/>
        <w:spacing w:after="60" w:before="200"/>
      </w:pPr>
      <w:r>
        <w:rPr>
          <w:rFonts w:ascii="Cambria" w:cs="Cambria" w:eastAsia="Cambria" w:hAnsi="Cambria"/>
          <w:b/>
          <w:bCs/>
          <w:color w:val="1E2761"/>
          <w:sz w:val="22"/>
          <w:szCs w:val="22"/>
        </w:rPr>
        <w:t xml:space="preserve">PARTE III</w:t>
      </w:r>
    </w:p>
    <w:p>
      <w:pPr>
        <w:pStyle w:val="Heading2"/>
        <w:spacing w:after="120" w:before="260"/>
      </w:pPr>
      <w:r>
        <w:rPr>
          <w:rFonts w:ascii="Cambria" w:cs="Cambria" w:eastAsia="Cambria" w:hAnsi="Cambria"/>
          <w:b/>
          <w:bCs/>
          <w:color w:val="1E2761"/>
          <w:sz w:val="26"/>
          <w:szCs w:val="26"/>
        </w:rPr>
        <w:t xml:space="preserve">MODALIDADES ACADÉMICAS</w:t>
      </w:r>
    </w:p>
    <w:p>
      <w:pPr>
        <w:spacing w:after="160" w:line="300"/>
        <w:jc w:val="both"/>
      </w:pPr>
      <w:r>
        <w:rPr>
          <w:rFonts w:ascii="Cambria" w:cs="Cambria" w:eastAsia="Cambria" w:hAnsi="Cambria"/>
          <w:color w:val="000000"/>
          <w:sz w:val="24"/>
          <w:szCs w:val="24"/>
        </w:rPr>
        <w:t xml:space="preserve">El Sistema ODYRA ofrece su formación en modalidades diferenciadas según su duración, profundidad y propósito pedagógico:</w:t>
      </w:r>
    </w:p>
    <w:p>
      <w:pPr>
        <w:pStyle w:val="ListParagraph"/>
        <w:numPr>
          <w:ilvl w:val="0"/>
          <w:numId w:val="1"/>
        </w:numPr>
        <w:spacing w:after="80"/>
        <w:jc w:val="both"/>
      </w:pPr>
      <w:r>
        <w:rPr>
          <w:rFonts w:ascii="Cambria" w:cs="Cambria" w:eastAsia="Cambria" w:hAnsi="Cambria"/>
          <w:b/>
          <w:bCs/>
          <w:color w:val="000000"/>
          <w:sz w:val="23"/>
          <w:szCs w:val="23"/>
        </w:rPr>
        <w:t xml:space="preserve">Cursos.</w:t>
      </w:r>
      <w:r>
        <w:rPr>
          <w:rFonts w:ascii="Cambria" w:cs="Cambria" w:eastAsia="Cambria" w:hAnsi="Cambria"/>
          <w:color w:val="000000"/>
          <w:sz w:val="23"/>
          <w:szCs w:val="23"/>
        </w:rPr>
        <w:t xml:space="preserve"> Formación breve y focalizada en un tema específico de alguna de las ocho Escuelas Académicas.</w:t>
      </w:r>
    </w:p>
    <w:p>
      <w:pPr>
        <w:pStyle w:val="ListParagraph"/>
        <w:numPr>
          <w:ilvl w:val="0"/>
          <w:numId w:val="1"/>
        </w:numPr>
        <w:spacing w:after="80"/>
        <w:jc w:val="both"/>
      </w:pPr>
      <w:r>
        <w:rPr>
          <w:rFonts w:ascii="Cambria" w:cs="Cambria" w:eastAsia="Cambria" w:hAnsi="Cambria"/>
          <w:b/>
          <w:bCs/>
          <w:color w:val="000000"/>
          <w:sz w:val="23"/>
          <w:szCs w:val="23"/>
        </w:rPr>
        <w:t xml:space="preserve">Diplomados.</w:t>
      </w:r>
      <w:r>
        <w:rPr>
          <w:rFonts w:ascii="Cambria" w:cs="Cambria" w:eastAsia="Cambria" w:hAnsi="Cambria"/>
          <w:color w:val="000000"/>
          <w:sz w:val="23"/>
          <w:szCs w:val="23"/>
        </w:rPr>
        <w:t xml:space="preserve"> Formación de mayor duración que integra varias líneas de una misma escuela en un recorrido estructurado.</w:t>
      </w:r>
    </w:p>
    <w:p>
      <w:pPr>
        <w:pStyle w:val="ListParagraph"/>
        <w:numPr>
          <w:ilvl w:val="0"/>
          <w:numId w:val="1"/>
        </w:numPr>
        <w:spacing w:after="80"/>
        <w:jc w:val="both"/>
      </w:pPr>
      <w:r>
        <w:rPr>
          <w:rFonts w:ascii="Cambria" w:cs="Cambria" w:eastAsia="Cambria" w:hAnsi="Cambria"/>
          <w:b/>
          <w:bCs/>
          <w:color w:val="000000"/>
          <w:sz w:val="23"/>
          <w:szCs w:val="23"/>
        </w:rPr>
        <w:t xml:space="preserve">Bootcamps.</w:t>
      </w:r>
      <w:r>
        <w:rPr>
          <w:rFonts w:ascii="Cambria" w:cs="Cambria" w:eastAsia="Cambria" w:hAnsi="Cambria"/>
          <w:color w:val="000000"/>
          <w:sz w:val="23"/>
          <w:szCs w:val="23"/>
        </w:rPr>
        <w:t xml:space="preserve"> Formación intensiva y práctica, orientada a desarrollar una competencia específica en un periodo corto de tiempo.</w:t>
      </w:r>
    </w:p>
    <w:p>
      <w:pPr>
        <w:pStyle w:val="ListParagraph"/>
        <w:numPr>
          <w:ilvl w:val="0"/>
          <w:numId w:val="1"/>
        </w:numPr>
        <w:spacing w:after="80"/>
        <w:jc w:val="both"/>
      </w:pPr>
      <w:r>
        <w:rPr>
          <w:rFonts w:ascii="Cambria" w:cs="Cambria" w:eastAsia="Cambria" w:hAnsi="Cambria"/>
          <w:b/>
          <w:bCs/>
          <w:color w:val="000000"/>
          <w:sz w:val="23"/>
          <w:szCs w:val="23"/>
        </w:rPr>
        <w:t xml:space="preserve">Talleres especializados.</w:t>
      </w:r>
      <w:r>
        <w:rPr>
          <w:rFonts w:ascii="Cambria" w:cs="Cambria" w:eastAsia="Cambria" w:hAnsi="Cambria"/>
          <w:color w:val="000000"/>
          <w:sz w:val="23"/>
          <w:szCs w:val="23"/>
        </w:rPr>
        <w:t xml:space="preserve"> Sesiones prácticas de corta duración, centradas en una herramienta o metodología específica.</w:t>
      </w:r>
    </w:p>
    <w:p>
      <w:pPr>
        <w:pStyle w:val="ListParagraph"/>
        <w:numPr>
          <w:ilvl w:val="0"/>
          <w:numId w:val="1"/>
        </w:numPr>
        <w:spacing w:after="80"/>
        <w:jc w:val="both"/>
      </w:pPr>
      <w:r>
        <w:rPr>
          <w:rFonts w:ascii="Cambria" w:cs="Cambria" w:eastAsia="Cambria" w:hAnsi="Cambria"/>
          <w:b/>
          <w:bCs/>
          <w:color w:val="000000"/>
          <w:sz w:val="23"/>
          <w:szCs w:val="23"/>
        </w:rPr>
        <w:t xml:space="preserve">Seminarios.</w:t>
      </w:r>
      <w:r>
        <w:rPr>
          <w:rFonts w:ascii="Cambria" w:cs="Cambria" w:eastAsia="Cambria" w:hAnsi="Cambria"/>
          <w:color w:val="000000"/>
          <w:sz w:val="23"/>
          <w:szCs w:val="23"/>
        </w:rPr>
        <w:t xml:space="preserve"> Espacios de actualización y discusión sobre temas emergentes o de coyuntura, con menor carga práctica que un curso.</w:t>
      </w:r>
    </w:p>
    <w:p>
      <w:pPr>
        <w:pStyle w:val="ListParagraph"/>
        <w:numPr>
          <w:ilvl w:val="0"/>
          <w:numId w:val="1"/>
        </w:numPr>
        <w:spacing w:after="80"/>
        <w:jc w:val="both"/>
      </w:pPr>
      <w:r>
        <w:rPr>
          <w:rFonts w:ascii="Cambria" w:cs="Cambria" w:eastAsia="Cambria" w:hAnsi="Cambria"/>
          <w:b/>
          <w:bCs/>
          <w:color w:val="000000"/>
          <w:sz w:val="23"/>
          <w:szCs w:val="23"/>
        </w:rPr>
        <w:t xml:space="preserve">Mentorías.</w:t>
      </w:r>
      <w:r>
        <w:rPr>
          <w:rFonts w:ascii="Cambria" w:cs="Cambria" w:eastAsia="Cambria" w:hAnsi="Cambria"/>
          <w:color w:val="000000"/>
          <w:sz w:val="23"/>
          <w:szCs w:val="23"/>
        </w:rPr>
        <w:t xml:space="preserve"> Acompañamiento individualizado, conforme al rol de Mentor descrito en 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Programas ejecutivos.</w:t>
      </w:r>
      <w:r>
        <w:rPr>
          <w:rFonts w:ascii="Cambria" w:cs="Cambria" w:eastAsia="Cambria" w:hAnsi="Cambria"/>
          <w:color w:val="000000"/>
          <w:sz w:val="23"/>
          <w:szCs w:val="23"/>
        </w:rPr>
        <w:t xml:space="preserve"> Formación de alta síntesis dirigida a directivos y tomadores de decisión, con foco en aplicación inmediata.</w:t>
      </w:r>
    </w:p>
    <w:p>
      <w:pPr>
        <w:pStyle w:val="ListParagraph"/>
        <w:numPr>
          <w:ilvl w:val="0"/>
          <w:numId w:val="1"/>
        </w:numPr>
        <w:spacing w:after="80"/>
        <w:jc w:val="both"/>
      </w:pPr>
      <w:r>
        <w:rPr>
          <w:rFonts w:ascii="Cambria" w:cs="Cambria" w:eastAsia="Cambria" w:hAnsi="Cambria"/>
          <w:b/>
          <w:bCs/>
          <w:color w:val="000000"/>
          <w:sz w:val="23"/>
          <w:szCs w:val="23"/>
        </w:rPr>
        <w:t xml:space="preserve">Certificaciones profesionales.</w:t>
      </w:r>
      <w:r>
        <w:rPr>
          <w:rFonts w:ascii="Cambria" w:cs="Cambria" w:eastAsia="Cambria" w:hAnsi="Cambria"/>
          <w:color w:val="000000"/>
          <w:sz w:val="23"/>
          <w:szCs w:val="23"/>
        </w:rPr>
        <w:t xml:space="preserve"> Procesos formativos que conducen directamente a un nivel del Sistema Oficial de Certificación ODYRA.</w:t>
      </w:r>
    </w:p>
    <w:p>
      <w:pPr>
        <w:pStyle w:val="ListParagraph"/>
        <w:numPr>
          <w:ilvl w:val="0"/>
          <w:numId w:val="1"/>
        </w:numPr>
        <w:spacing w:after="80"/>
        <w:jc w:val="both"/>
      </w:pPr>
      <w:r>
        <w:rPr>
          <w:rFonts w:ascii="Cambria" w:cs="Cambria" w:eastAsia="Cambria" w:hAnsi="Cambria"/>
          <w:b/>
          <w:bCs/>
          <w:color w:val="000000"/>
          <w:sz w:val="23"/>
          <w:szCs w:val="23"/>
        </w:rPr>
        <w:t xml:space="preserve">Microcredenciales.</w:t>
      </w:r>
      <w:r>
        <w:rPr>
          <w:rFonts w:ascii="Cambria" w:cs="Cambria" w:eastAsia="Cambria" w:hAnsi="Cambria"/>
          <w:color w:val="000000"/>
          <w:sz w:val="23"/>
          <w:szCs w:val="23"/>
        </w:rPr>
        <w:t xml:space="preserve"> Reconocimientos de competencias específicas y acotadas, acumulables hacia certificaciones de mayor alcance.</w:t>
      </w:r>
    </w:p>
    <w:p>
      <w:pPr>
        <w:pStyle w:val="ListParagraph"/>
        <w:numPr>
          <w:ilvl w:val="0"/>
          <w:numId w:val="1"/>
        </w:numPr>
        <w:spacing w:after="80"/>
        <w:jc w:val="both"/>
      </w:pPr>
      <w:r>
        <w:rPr>
          <w:rFonts w:ascii="Cambria" w:cs="Cambria" w:eastAsia="Cambria" w:hAnsi="Cambria"/>
          <w:b/>
          <w:bCs/>
          <w:color w:val="000000"/>
          <w:sz w:val="23"/>
          <w:szCs w:val="23"/>
        </w:rPr>
        <w:t xml:space="preserve">Especializaciones</w:t>
      </w:r>
      <w:r>
        <w:rPr>
          <w:rFonts w:ascii="Cambria" w:cs="Cambria" w:eastAsia="Cambria" w:hAnsi="Cambria"/>
          <w:color w:val="000000"/>
          <w:sz w:val="23"/>
          <w:szCs w:val="23"/>
        </w:rPr>
        <w:t xml:space="preserve"> </w:t>
      </w:r>
      <w:r>
        <w:rPr>
          <w:rFonts w:ascii="Cambria" w:cs="Cambria" w:eastAsia="Cambria" w:hAnsi="Cambria"/>
          <w:b/>
          <w:bCs/>
          <w:color w:val="000000"/>
          <w:sz w:val="23"/>
          <w:szCs w:val="23"/>
        </w:rPr>
        <w:t xml:space="preserve">(proyección futura).</w:t>
      </w:r>
      <w:r>
        <w:rPr>
          <w:rFonts w:ascii="Cambria" w:cs="Cambria" w:eastAsia="Cambria" w:hAnsi="Cambria"/>
          <w:color w:val="000000"/>
          <w:sz w:val="23"/>
          <w:szCs w:val="23"/>
        </w:rPr>
        <w:t xml:space="preserve"> Programas de posgrado de profundización en una escuela académica específica.</w:t>
      </w:r>
    </w:p>
    <w:p>
      <w:pPr>
        <w:pStyle w:val="ListParagraph"/>
        <w:numPr>
          <w:ilvl w:val="0"/>
          <w:numId w:val="1"/>
        </w:numPr>
        <w:spacing w:after="80"/>
        <w:jc w:val="both"/>
      </w:pPr>
      <w:r>
        <w:rPr>
          <w:rFonts w:ascii="Cambria" w:cs="Cambria" w:eastAsia="Cambria" w:hAnsi="Cambria"/>
          <w:b/>
          <w:bCs/>
          <w:color w:val="000000"/>
          <w:sz w:val="23"/>
          <w:szCs w:val="23"/>
        </w:rPr>
        <w:t xml:space="preserve">Maestrías</w:t>
      </w:r>
      <w:r>
        <w:rPr>
          <w:rFonts w:ascii="Cambria" w:cs="Cambria" w:eastAsia="Cambria" w:hAnsi="Cambria"/>
          <w:color w:val="000000"/>
          <w:sz w:val="23"/>
          <w:szCs w:val="23"/>
        </w:rPr>
        <w:t xml:space="preserve"> </w:t>
      </w:r>
      <w:r>
        <w:rPr>
          <w:rFonts w:ascii="Cambria" w:cs="Cambria" w:eastAsia="Cambria" w:hAnsi="Cambria"/>
          <w:b/>
          <w:bCs/>
          <w:color w:val="000000"/>
          <w:sz w:val="23"/>
          <w:szCs w:val="23"/>
        </w:rPr>
        <w:t xml:space="preserve">(Visión 2040).</w:t>
      </w:r>
      <w:r>
        <w:rPr>
          <w:rFonts w:ascii="Cambria" w:cs="Cambria" w:eastAsia="Cambria" w:hAnsi="Cambria"/>
          <w:color w:val="000000"/>
          <w:sz w:val="23"/>
          <w:szCs w:val="23"/>
        </w:rPr>
        <w:t xml:space="preserve"> Programas de posgrado de alta profundidad conceptual y metodológica, desarrollados en alianza con instituciones de educación superior.</w:t>
      </w:r>
    </w:p>
    <w:p>
      <w:pPr>
        <w:pStyle w:val="ListParagraph"/>
        <w:numPr>
          <w:ilvl w:val="0"/>
          <w:numId w:val="1"/>
        </w:numPr>
        <w:spacing w:after="80"/>
        <w:jc w:val="both"/>
      </w:pPr>
      <w:r>
        <w:rPr>
          <w:rFonts w:ascii="Cambria" w:cs="Cambria" w:eastAsia="Cambria" w:hAnsi="Cambria"/>
          <w:b/>
          <w:bCs/>
          <w:color w:val="000000"/>
          <w:sz w:val="23"/>
          <w:szCs w:val="23"/>
        </w:rPr>
        <w:t xml:space="preserve">Doctorados profesionales</w:t>
      </w:r>
      <w:r>
        <w:rPr>
          <w:rFonts w:ascii="Cambria" w:cs="Cambria" w:eastAsia="Cambria" w:hAnsi="Cambria"/>
          <w:color w:val="000000"/>
          <w:sz w:val="23"/>
          <w:szCs w:val="23"/>
        </w:rPr>
        <w:t xml:space="preserve"> </w:t>
      </w:r>
      <w:r>
        <w:rPr>
          <w:rFonts w:ascii="Cambria" w:cs="Cambria" w:eastAsia="Cambria" w:hAnsi="Cambria"/>
          <w:b/>
          <w:bCs/>
          <w:color w:val="000000"/>
          <w:sz w:val="23"/>
          <w:szCs w:val="23"/>
        </w:rPr>
        <w:t xml:space="preserve">(Visión 2040).</w:t>
      </w:r>
      <w:r>
        <w:rPr>
          <w:rFonts w:ascii="Cambria" w:cs="Cambria" w:eastAsia="Cambria" w:hAnsi="Cambria"/>
          <w:color w:val="000000"/>
          <w:sz w:val="23"/>
          <w:szCs w:val="23"/>
        </w:rPr>
        <w:t xml:space="preserve"> Programas orientados a la formación de investigadores capaces de ampliar el Sistema ODYRA mediante nuevo conocimiento validado.</w:t>
      </w:r>
    </w:p>
    <w:p>
      <w:pPr>
        <w:pStyle w:val="Heading1"/>
        <w:pageBreakBefore/>
        <w:spacing w:after="60" w:before="200"/>
      </w:pPr>
      <w:r>
        <w:rPr>
          <w:rFonts w:ascii="Cambria" w:cs="Cambria" w:eastAsia="Cambria" w:hAnsi="Cambria"/>
          <w:b/>
          <w:bCs/>
          <w:color w:val="1E2761"/>
          <w:sz w:val="22"/>
          <w:szCs w:val="22"/>
        </w:rPr>
        <w:t xml:space="preserve">PARTE IV</w:t>
      </w:r>
    </w:p>
    <w:p>
      <w:pPr>
        <w:pStyle w:val="Heading2"/>
        <w:spacing w:after="120" w:before="260"/>
      </w:pPr>
      <w:r>
        <w:rPr>
          <w:rFonts w:ascii="Cambria" w:cs="Cambria" w:eastAsia="Cambria" w:hAnsi="Cambria"/>
          <w:b/>
          <w:bCs/>
          <w:color w:val="1E2761"/>
          <w:sz w:val="26"/>
          <w:szCs w:val="26"/>
        </w:rPr>
        <w:t xml:space="preserve">CERTIFICACIONES</w:t>
      </w:r>
    </w:p>
    <w:p>
      <w:pPr>
        <w:spacing w:after="160" w:line="300"/>
        <w:jc w:val="both"/>
      </w:pPr>
      <w:r>
        <w:rPr>
          <w:rFonts w:ascii="Cambria" w:cs="Cambria" w:eastAsia="Cambria" w:hAnsi="Cambria"/>
          <w:color w:val="000000"/>
          <w:sz w:val="24"/>
          <w:szCs w:val="24"/>
        </w:rPr>
        <w:t xml:space="preserve">Los Programas Oficiales de Formación no establecen una escalera de certificación propia. Toda certificación otorgada dentro del Sistema ODYRA sigue, sin excepción, los cinco niveles oficiales establecidos en el </w:t>
      </w:r>
      <w:r>
        <w:rPr>
          <w:rFonts w:ascii="Cambria" w:cs="Cambria" w:eastAsia="Cambria" w:hAnsi="Cambria"/>
          <w:b/>
          <w:bCs/>
          <w:color w:val="000000"/>
          <w:sz w:val="24"/>
          <w:szCs w:val="24"/>
        </w:rPr>
        <w:t xml:space="preserve">Sistema Oficial de Certificación ODYRA</w:t>
      </w:r>
      <w:r>
        <w:rPr>
          <w:rFonts w:ascii="Cambria" w:cs="Cambria" w:eastAsia="Cambria" w:hAnsi="Cambria"/>
          <w:color w:val="000000"/>
          <w:sz w:val="24"/>
          <w:szCs w:val="24"/>
        </w:rPr>
        <w:t xml:space="preserve">: Consultor Asociado ODYRA, Consultor Profesional ODYRA, Consultor Senior ODYRA, Arquitecto del Método ODYRA y Fellow ODYRA.</w:t>
      </w:r>
    </w:p>
    <w:p>
      <w:pPr>
        <w:spacing w:after="160" w:line="300"/>
        <w:jc w:val="both"/>
      </w:pPr>
      <w:r>
        <w:rPr>
          <w:rFonts w:ascii="Cambria" w:cs="Cambria" w:eastAsia="Cambria" w:hAnsi="Cambria"/>
          <w:color w:val="000000"/>
          <w:sz w:val="24"/>
          <w:szCs w:val="24"/>
        </w:rPr>
        <w:t xml:space="preserve">Cada una de las ocho Escuelas Académicas descritas en la Parte II ofrece una ruta de formación propia hacia esos mismos cinco niveles: una persona puede, por ejemplo, alcanzar el nivel de Consultor Profesional ODYRA con especialización en la Escuela de Gerencia Integral de Proyectos, o en la Escuela de Tierras, Formalización y Ordenamiento Rural. Lo que varía entre escuelas es el contenido de la especialización; lo que permanece constante es la escalera de certificación, sus competencias evaluadas y su proceso de evaluación, conforme a lo establecido en el Sistema Oficial de Certificación ODYRA.</w:t>
      </w:r>
    </w:p>
    <w:p>
      <w:pPr>
        <w:pStyle w:val="Heading1"/>
        <w:pageBreakBefore/>
        <w:spacing w:after="60" w:before="200"/>
      </w:pPr>
      <w:r>
        <w:rPr>
          <w:rFonts w:ascii="Cambria" w:cs="Cambria" w:eastAsia="Cambria" w:hAnsi="Cambria"/>
          <w:b/>
          <w:bCs/>
          <w:color w:val="1E2761"/>
          <w:sz w:val="22"/>
          <w:szCs w:val="22"/>
        </w:rPr>
        <w:t xml:space="preserve">PARTE V</w:t>
      </w:r>
    </w:p>
    <w:p>
      <w:pPr>
        <w:pStyle w:val="Heading2"/>
        <w:spacing w:after="120" w:before="260"/>
      </w:pPr>
      <w:r>
        <w:rPr>
          <w:rFonts w:ascii="Cambria" w:cs="Cambria" w:eastAsia="Cambria" w:hAnsi="Cambria"/>
          <w:b/>
          <w:bCs/>
          <w:color w:val="1E2761"/>
          <w:sz w:val="26"/>
          <w:szCs w:val="26"/>
        </w:rPr>
        <w:t xml:space="preserve">VISIÓN ACADÉMICA 2040</w:t>
      </w:r>
    </w:p>
    <w:p>
      <w:pPr>
        <w:spacing w:after="160" w:line="300"/>
        <w:jc w:val="both"/>
      </w:pPr>
      <w:r>
        <w:rPr>
          <w:rFonts w:ascii="Cambria" w:cs="Cambria" w:eastAsia="Cambria" w:hAnsi="Cambria"/>
          <w:color w:val="000000"/>
          <w:sz w:val="24"/>
          <w:szCs w:val="24"/>
        </w:rPr>
        <w:t xml:space="preserve">Para el año 2040, la Escuela de Pensamiento ODYRA proyecta consolidar una oferta académica internacional, articulada con universidades, centros de investigación, organizaciones públicas y privadas, y comunidades de práctica. Su objetivo es formar profesionales capaces de integrar conocimiento experto, metodologías y tecnologías emergentes para responder a los desafíos de la transformación organizacional y territorial.</w:t>
      </w:r>
    </w:p>
    <w:p>
      <w:pPr>
        <w:spacing w:after="160" w:line="300"/>
        <w:jc w:val="both"/>
      </w:pPr>
      <w:r>
        <w:rPr>
          <w:rFonts w:ascii="Cambria" w:cs="Cambria" w:eastAsia="Cambria" w:hAnsi="Cambria"/>
          <w:color w:val="000000"/>
          <w:sz w:val="24"/>
          <w:szCs w:val="24"/>
        </w:rPr>
        <w:t xml:space="preserve">La visión incluye el desarrollo de programas de posgrado —especializaciones, maestrías y doctorados profesionales, conforme a la Parte III de este documento—, una plataforma global de aprendizaje, certificaciones con reconocimiento internacional y una red permanente de docentes, investigadores y consultores que mantengan vivo el ecosistema de conocimiento ODYRA. Esta proyección es consistente con la Visión 2040 del Sistema ODYRA establecida en la Arquitectura del Conocimiento ODYRA, de la cual los Programas Oficiales de Formación constituyen su expresión académica.</w:t>
      </w:r>
    </w:p>
    <w:p>
      <w:pPr>
        <w:pStyle w:val="Heading1"/>
        <w:pageBreakBefore/>
        <w:spacing w:after="60" w:before="200"/>
      </w:pPr>
      <w:r>
        <w:rPr>
          <w:rFonts w:ascii="Cambria" w:cs="Cambria" w:eastAsia="Cambria" w:hAnsi="Cambria"/>
          <w:b/>
          <w:bCs/>
          <w:color w:val="1E2761"/>
          <w:sz w:val="22"/>
          <w:szCs w:val="22"/>
        </w:rPr>
        <w:t xml:space="preserve">PARTE VI</w:t>
      </w:r>
    </w:p>
    <w:p>
      <w:pPr>
        <w:pStyle w:val="Heading2"/>
        <w:spacing w:after="120" w:before="260"/>
      </w:pPr>
      <w:r>
        <w:rPr>
          <w:rFonts w:ascii="Cambria" w:cs="Cambria" w:eastAsia="Cambria" w:hAnsi="Cambria"/>
          <w:b/>
          <w:bCs/>
          <w:color w:val="1E2761"/>
          <w:sz w:val="26"/>
          <w:szCs w:val="26"/>
        </w:rPr>
        <w:t xml:space="preserve">GOBERNANZA ACADÉMICA</w:t>
      </w:r>
    </w:p>
    <w:p>
      <w:pPr>
        <w:spacing w:after="160" w:line="300"/>
        <w:jc w:val="both"/>
      </w:pPr>
      <w:r>
        <w:rPr>
          <w:rFonts w:ascii="Cambria" w:cs="Cambria" w:eastAsia="Cambria" w:hAnsi="Cambria"/>
          <w:color w:val="000000"/>
          <w:sz w:val="24"/>
          <w:szCs w:val="24"/>
        </w:rPr>
        <w:t xml:space="preserve">La calidad de la oferta formativa del Sistema ODYRA depende de reglas institucionales explícitas que garanticen su coherencia con el resto del Sistema.</w:t>
      </w:r>
    </w:p>
    <w:p>
      <w:pPr>
        <w:pStyle w:val="ListParagraph"/>
        <w:numPr>
          <w:ilvl w:val="0"/>
          <w:numId w:val="1"/>
        </w:numPr>
        <w:spacing w:after="80"/>
        <w:jc w:val="both"/>
      </w:pPr>
      <w:r>
        <w:rPr>
          <w:rFonts w:ascii="Cambria" w:cs="Cambria" w:eastAsia="Cambria" w:hAnsi="Cambria"/>
          <w:b/>
          <w:bCs/>
          <w:color w:val="000000"/>
          <w:sz w:val="23"/>
          <w:szCs w:val="23"/>
        </w:rPr>
        <w:t xml:space="preserve">Diseño curricular.</w:t>
      </w:r>
      <w:r>
        <w:rPr>
          <w:rFonts w:ascii="Cambria" w:cs="Cambria" w:eastAsia="Cambria" w:hAnsi="Cambria"/>
          <w:color w:val="000000"/>
          <w:sz w:val="23"/>
          <w:szCs w:val="23"/>
        </w:rPr>
        <w:t xml:space="preserve"> Todo contenido formativo deberá derivar de los principios, modelos y metodologías oficiales establecidos en el Hexágono Fundacional y en los documentos operativos del Sistema ODYRA.</w:t>
      </w:r>
    </w:p>
    <w:p>
      <w:pPr>
        <w:pStyle w:val="ListParagraph"/>
        <w:numPr>
          <w:ilvl w:val="0"/>
          <w:numId w:val="1"/>
        </w:numPr>
        <w:spacing w:after="80"/>
        <w:jc w:val="both"/>
      </w:pPr>
      <w:r>
        <w:rPr>
          <w:rFonts w:ascii="Cambria" w:cs="Cambria" w:eastAsia="Cambria" w:hAnsi="Cambria"/>
          <w:b/>
          <w:bCs/>
          <w:color w:val="000000"/>
          <w:sz w:val="23"/>
          <w:szCs w:val="23"/>
        </w:rPr>
        <w:t xml:space="preserve">Aprobación de nuevas escuelas o líneas.</w:t>
      </w:r>
      <w:r>
        <w:rPr>
          <w:rFonts w:ascii="Cambria" w:cs="Cambria" w:eastAsia="Cambria" w:hAnsi="Cambria"/>
          <w:color w:val="000000"/>
          <w:sz w:val="23"/>
          <w:szCs w:val="23"/>
        </w:rPr>
        <w:t xml:space="preserve"> La incorporación de una nueva escuela académica, o de nuevas líneas dentro de las ocho existentes, exige la misma validación conceptual que exige el Manual de Modelos ODYRA para un nuevo modelo.</w:t>
      </w:r>
    </w:p>
    <w:p>
      <w:pPr>
        <w:pStyle w:val="ListParagraph"/>
        <w:numPr>
          <w:ilvl w:val="0"/>
          <w:numId w:val="1"/>
        </w:numPr>
        <w:spacing w:after="80"/>
        <w:jc w:val="both"/>
      </w:pPr>
      <w:r>
        <w:rPr>
          <w:rFonts w:ascii="Cambria" w:cs="Cambria" w:eastAsia="Cambria" w:hAnsi="Cambria"/>
          <w:b/>
          <w:bCs/>
          <w:color w:val="000000"/>
          <w:sz w:val="23"/>
          <w:szCs w:val="23"/>
        </w:rPr>
        <w:t xml:space="preserve">Calidad docente.</w:t>
      </w:r>
      <w:r>
        <w:rPr>
          <w:rFonts w:ascii="Cambria" w:cs="Cambria" w:eastAsia="Cambria" w:hAnsi="Cambria"/>
          <w:color w:val="000000"/>
          <w:sz w:val="23"/>
          <w:szCs w:val="23"/>
        </w:rPr>
        <w:t xml:space="preserve"> Todo instructor deberá cumplir el nivel mínimo de certificación exigido por el Sistema Oficial de Certificación ODYRA para el rol de Instructor.</w:t>
      </w:r>
    </w:p>
    <w:p>
      <w:pPr>
        <w:pStyle w:val="ListParagraph"/>
        <w:numPr>
          <w:ilvl w:val="0"/>
          <w:numId w:val="1"/>
        </w:numPr>
        <w:spacing w:after="80"/>
        <w:jc w:val="both"/>
      </w:pPr>
      <w:r>
        <w:rPr>
          <w:rFonts w:ascii="Cambria" w:cs="Cambria" w:eastAsia="Cambria" w:hAnsi="Cambria"/>
          <w:b/>
          <w:bCs/>
          <w:color w:val="000000"/>
          <w:sz w:val="23"/>
          <w:szCs w:val="23"/>
        </w:rPr>
        <w:t xml:space="preserve">Actualización de contenidos.</w:t>
      </w:r>
      <w:r>
        <w:rPr>
          <w:rFonts w:ascii="Cambria" w:cs="Cambria" w:eastAsia="Cambria" w:hAnsi="Cambria"/>
          <w:color w:val="000000"/>
          <w:sz w:val="23"/>
          <w:szCs w:val="23"/>
        </w:rPr>
        <w:t xml:space="preserve"> Los contenidos de cada escuela se revisan periódicamente, incorporando los aprendizajes documentados en la Biblioteca Oficial de Casos de Estudio ODYRA y los hallazgos del Laboratorio ODYRA de Inteligencia Aplicada (LOIA).</w:t>
      </w:r>
    </w:p>
    <w:p>
      <w:pPr>
        <w:pStyle w:val="ListParagraph"/>
        <w:numPr>
          <w:ilvl w:val="0"/>
          <w:numId w:val="1"/>
        </w:numPr>
        <w:spacing w:after="80"/>
        <w:jc w:val="both"/>
      </w:pPr>
      <w:r>
        <w:rPr>
          <w:rFonts w:ascii="Cambria" w:cs="Cambria" w:eastAsia="Cambria" w:hAnsi="Cambria"/>
          <w:b/>
          <w:bCs/>
          <w:color w:val="000000"/>
          <w:sz w:val="23"/>
          <w:szCs w:val="23"/>
        </w:rPr>
        <w:t xml:space="preserve">Evaluación de calidad académica.</w:t>
      </w:r>
      <w:r>
        <w:rPr>
          <w:rFonts w:ascii="Cambria" w:cs="Cambria" w:eastAsia="Cambria" w:hAnsi="Cambria"/>
          <w:color w:val="000000"/>
          <w:sz w:val="23"/>
          <w:szCs w:val="23"/>
        </w:rPr>
        <w:t xml:space="preserve"> El Comité Académico, descrito en el Sistema Oficial de Certificación ODYRA, supervisa la calidad pedagógica de los programas ofrecidos por las ocho escuelas.</w:t>
      </w:r>
    </w:p>
    <w:p>
      <w:pPr>
        <w:pStyle w:val="ListParagraph"/>
        <w:numPr>
          <w:ilvl w:val="0"/>
          <w:numId w:val="1"/>
        </w:numPr>
        <w:spacing w:after="80"/>
        <w:jc w:val="both"/>
      </w:pPr>
      <w:r>
        <w:rPr>
          <w:rFonts w:ascii="Cambria" w:cs="Cambria" w:eastAsia="Cambria" w:hAnsi="Cambria"/>
          <w:b/>
          <w:bCs/>
          <w:color w:val="000000"/>
          <w:sz w:val="23"/>
          <w:szCs w:val="23"/>
        </w:rPr>
        <w:t xml:space="preserve">Equivalencias y homologaciones.</w:t>
      </w:r>
      <w:r>
        <w:rPr>
          <w:rFonts w:ascii="Cambria" w:cs="Cambria" w:eastAsia="Cambria" w:hAnsi="Cambria"/>
          <w:color w:val="000000"/>
          <w:sz w:val="23"/>
          <w:szCs w:val="23"/>
        </w:rPr>
        <w:t xml:space="preserve"> Los créditos o niveles obtenidos en una escuela podrán homologarse parcialmente hacia otra, cuando exista coherencia de contenido, conforme a criterios establecidos por el Comité Académico.</w:t>
      </w:r>
    </w:p>
    <w:p>
      <w:pPr>
        <w:pStyle w:val="Heading1"/>
        <w:pBdr>
          <w:bottom w:val="single" w:color="1E2761" w:sz="6" w:space="4"/>
        </w:pBdr>
        <w:spacing w:after="240" w:before="60"/>
      </w:pPr>
      <w:r>
        <w:rPr>
          <w:rFonts w:ascii="Cambria" w:cs="Cambria" w:eastAsia="Cambria" w:hAnsi="Cambria"/>
          <w:b/>
          <w:bCs/>
          <w:color w:val="1E2761"/>
          <w:sz w:val="28"/>
          <w:szCs w:val="28"/>
        </w:rPr>
        <w:t xml:space="preserve">FRASE DE CIERRE</w:t>
      </w:r>
    </w:p>
    <w:p>
      <w:pPr>
        <w:spacing w:after="240" w:before="120"/>
        <w:jc w:val="center"/>
      </w:pPr>
      <w:r>
        <w:rPr>
          <w:rFonts w:ascii="Cambria" w:cs="Cambria" w:eastAsia="Cambria" w:hAnsi="Cambria"/>
          <w:b/>
          <w:bCs/>
          <w:i/>
          <w:iCs/>
          <w:color w:val="1E2761"/>
          <w:sz w:val="24"/>
          <w:szCs w:val="24"/>
        </w:rPr>
        <w:t xml:space="preserve">"La formación no consiste en transmitir respuestas, sino en desarrollar la capacidad de comprender la realidad, formular mejores preguntas y liderar transformaciones que generen valor para las organizaciones, los territorios y la sociedad."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2761" w:sz="6" w:space="8"/>
      </w:pBdr>
      <w:tabs>
        <w:tab w:val="right" w:pos="9026"/>
      </w:tabs>
    </w:pPr>
    <w:r>
      <w:rPr>
        <w:rFonts w:ascii="Calibri" w:cs="Calibri" w:eastAsia="Calibri" w:hAnsi="Calibri"/>
        <w:color w:val="6B7280"/>
        <w:sz w:val="15"/>
        <w:szCs w:val="15"/>
      </w:rPr>
      <w:t xml:space="preserve">Escuela de Pensamiento ODYRA</w:t>
    </w:r>
    <w:r>
      <w:rPr>
        <w:rFonts w:ascii="Calibri" w:cs="Calibri" w:eastAsia="Calibri" w:hAnsi="Calibri"/>
        <w:color w:val="6B7280"/>
        <w:sz w:val="15"/>
        <w:szCs w:val="15"/>
      </w:rPr>
      <w:t xml:space="preserve">	Página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2761" w:sz="8" w:space="8"/>
      </w:pBdr>
      <w:tabs>
        <w:tab w:val="right" w:pos="9026"/>
      </w:tabs>
    </w:pPr>
    <w:r>
      <w:drawing>
        <wp:inline distT="0" distB="0" distL="0" distR="0">
          <wp:extent cx="14287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428750" cy="323850"/>
                  </a:xfrm>
                  <a:prstGeom prst="rect">
                    <a:avLst/>
                  </a:prstGeom>
                </pic:spPr>
              </pic:pic>
            </a:graphicData>
          </a:graphic>
        </wp:inline>
      </w:drawing>
    </w:r>
    <w:r>
      <w:rPr>
        <w:rFonts w:ascii="Calibri" w:cs="Calibri" w:eastAsia="Calibri" w:hAnsi="Calibri"/>
        <w:b/>
        <w:bCs/>
        <w:color w:val="6B7280"/>
        <w:sz w:val="15"/>
        <w:szCs w:val="15"/>
      </w:rPr>
      <w:t xml:space="preserve">	PROGRAMAS DE FORMACIÓN ODYRA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a21776a34766d8d77f6c7a13da33fb65f87fa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2026-07-22T22:26:28.849Z</dcterms:created>
  <dcterms:modified xsi:type="dcterms:W3CDTF">2026-07-22T22:26:28.849Z</dcterms:modified>
</cp:coreProperties>
</file>

<file path=docProps/custom.xml><?xml version="1.0" encoding="utf-8"?>
<Properties xmlns="http://schemas.openxmlformats.org/officeDocument/2006/custom-properties" xmlns:vt="http://schemas.openxmlformats.org/officeDocument/2006/docPropsVTypes"/>
</file>