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E2761" w:sz="6" w:space="4"/>
        </w:pBdr>
        <w:spacing w:after="240" w:before="60"/>
      </w:pPr>
      <w:r>
        <w:rPr>
          <w:rFonts w:ascii="Cambria" w:cs="Cambria" w:eastAsia="Cambria" w:hAnsi="Cambria"/>
          <w:b/>
          <w:bCs/>
          <w:color w:val="1E2761"/>
          <w:sz w:val="28"/>
          <w:szCs w:val="28"/>
        </w:rPr>
        <w:t xml:space="preserve">SISTEMA ODYRA</w:t>
      </w:r>
    </w:p>
    <w:p>
      <w:pPr>
        <w:pStyle w:val="Heading1"/>
        <w:pBdr>
          <w:bottom w:val="single" w:color="1E2761" w:sz="6" w:space="4"/>
        </w:pBdr>
        <w:spacing w:after="240" w:before="60"/>
      </w:pPr>
      <w:r>
        <w:rPr>
          <w:rFonts w:ascii="Cambria" w:cs="Cambria" w:eastAsia="Cambria" w:hAnsi="Cambria"/>
          <w:b/>
          <w:bCs/>
          <w:color w:val="1E2761"/>
          <w:sz w:val="28"/>
          <w:szCs w:val="28"/>
        </w:rPr>
        <w:t xml:space="preserve">OBSERVATORIO DE CONSULTORÍA ESTRATÉGICA E INTELIGENCIA APLICADA — OBSERVATORIO INTERNACIONAL ODYRA</w:t>
      </w:r>
    </w:p>
    <w:p>
      <w:pPr>
        <w:spacing w:after="120" w:before="40"/>
        <w:jc w:val="center"/>
      </w:pPr>
      <w:r>
        <w:rPr>
          <w:rFonts w:ascii="Cambria" w:cs="Cambria" w:eastAsia="Cambria" w:hAnsi="Cambria"/>
          <w:i/>
          <w:iCs/>
          <w:color w:val="6B7280"/>
          <w:sz w:val="22"/>
          <w:szCs w:val="22"/>
        </w:rPr>
        <w:t xml:space="preserve">Centro Permanente de Vigilancia Estratégica e Inteligencia de la Escuela de Pensamiento ODYRA</w:t>
      </w:r>
    </w:p>
    <w:p>
      <w:pPr>
        <w:spacing w:after="120" w:before="40"/>
        <w:jc w:val="center"/>
      </w:pPr>
      <w:r>
        <w:rPr>
          <w:rFonts w:ascii="Cambria" w:cs="Cambria" w:eastAsia="Cambria" w:hAnsi="Cambria"/>
          <w:i/>
          <w:iCs/>
          <w:color w:val="6B7280"/>
          <w:sz w:val="22"/>
          <w:szCs w:val="22"/>
        </w:rPr>
        <w:t xml:space="preserve">Versión 1.0</w:t>
      </w:r>
    </w:p>
    <w:p>
      <w:pPr>
        <w:pStyle w:val="Heading1"/>
        <w:pBdr>
          <w:bottom w:val="single" w:color="1E2761" w:sz="6" w:space="4"/>
        </w:pBdr>
        <w:spacing w:after="240" w:before="60"/>
      </w:pPr>
      <w:r>
        <w:rPr>
          <w:rFonts w:ascii="Cambria" w:cs="Cambria" w:eastAsia="Cambria" w:hAnsi="Cambria"/>
          <w:b/>
          <w:bCs/>
          <w:color w:val="1E2761"/>
          <w:sz w:val="28"/>
          <w:szCs w:val="28"/>
        </w:rPr>
        <w:t xml:space="preserve">PRÓLOGO</w:t>
      </w:r>
    </w:p>
    <w:p>
      <w:pPr>
        <w:spacing w:after="160" w:line="300"/>
        <w:jc w:val="both"/>
      </w:pPr>
      <w:r>
        <w:rPr>
          <w:rFonts w:ascii="Cambria" w:cs="Cambria" w:eastAsia="Cambria" w:hAnsi="Cambria"/>
          <w:color w:val="000000"/>
          <w:sz w:val="24"/>
          <w:szCs w:val="24"/>
        </w:rPr>
        <w:t xml:space="preserve">Toda disciplina que aspira a evolucionar necesita observar de manera permanente la realidad sobre la que actúa. No basta con desarrollar metodologías, formar profesionales o crear herramientas; es indispensable comprender cómo cambian las organizaciones, cómo evolucionan las necesidades de los territorios, qué tendencias emergen y cuáles son los nuevos desafíos que enfrenta la consultoría estratégica en un mundo impulsado por el conocimiento y la inteligencia artificial.</w:t>
      </w:r>
    </w:p>
    <w:p>
      <w:pPr>
        <w:spacing w:after="160" w:line="300"/>
        <w:jc w:val="both"/>
      </w:pPr>
      <w:r>
        <w:rPr>
          <w:rFonts w:ascii="Cambria" w:cs="Cambria" w:eastAsia="Cambria" w:hAnsi="Cambria"/>
          <w:color w:val="000000"/>
          <w:sz w:val="24"/>
          <w:szCs w:val="24"/>
        </w:rPr>
        <w:t xml:space="preserve">El Observatorio de Consultoría Estratégica e Inteligencia Aplicada nace como el centro permanente de análisis, investigación, vigilancia estratégica y producción de conocimiento sobre la evolución de la consultoría, las organizaciones inteligentes y las tecnologías que transforman la toma de decisiones. Su misión consiste en convertir información dispersa en inteligencia útil para orientar la evolución del Sistema ODYRA y contribuir al desarrollo de organizaciones más preparadas para afrontar los desafíos del siglo XXI.</w:t>
      </w:r>
    </w:p>
    <w:p>
      <w:pPr>
        <w:spacing w:after="160" w:line="300"/>
        <w:jc w:val="both"/>
      </w:pPr>
      <w:r>
        <w:rPr>
          <w:rFonts w:ascii="Cambria" w:cs="Cambria" w:eastAsia="Cambria" w:hAnsi="Cambria"/>
          <w:color w:val="000000"/>
          <w:sz w:val="24"/>
          <w:szCs w:val="24"/>
        </w:rPr>
        <w:t xml:space="preserve">Este documento no crea una instancia nueva y paralela a la ya anunciada en Investigaciones Aplicadas ODYRA: desarrolla en detalle al </w:t>
      </w:r>
      <w:r>
        <w:rPr>
          <w:rFonts w:ascii="Cambria" w:cs="Cambria" w:eastAsia="Cambria" w:hAnsi="Cambria"/>
          <w:b/>
          <w:bCs/>
          <w:color w:val="000000"/>
          <w:sz w:val="24"/>
          <w:szCs w:val="24"/>
        </w:rPr>
        <w:t xml:space="preserve">Observatorio Internacional ODYRA</w:t>
      </w:r>
      <w:r>
        <w:rPr>
          <w:rFonts w:ascii="Cambria" w:cs="Cambria" w:eastAsia="Cambria" w:hAnsi="Cambria"/>
          <w:color w:val="000000"/>
          <w:sz w:val="24"/>
          <w:szCs w:val="24"/>
        </w:rPr>
        <w:t xml:space="preserve">, presentado allí de manera general, y establece su naturaleza, su metodología y su gobernanza como documento propio del Sistema.</w:t>
      </w:r>
    </w:p>
    <w:p>
      <w:pPr>
        <w:pStyle w:val="Heading1"/>
        <w:pageBreakBefore/>
        <w:spacing w:after="60" w:before="200"/>
      </w:pPr>
      <w:r>
        <w:rPr>
          <w:rFonts w:ascii="Cambria" w:cs="Cambria" w:eastAsia="Cambria" w:hAnsi="Cambria"/>
          <w:b/>
          <w:bCs/>
          <w:color w:val="1E2761"/>
          <w:sz w:val="22"/>
          <w:szCs w:val="22"/>
        </w:rPr>
        <w:t xml:space="preserve">PARTE I</w:t>
      </w:r>
    </w:p>
    <w:p>
      <w:pPr>
        <w:pStyle w:val="Heading2"/>
        <w:spacing w:after="120" w:before="260"/>
      </w:pPr>
      <w:r>
        <w:rPr>
          <w:rFonts w:ascii="Cambria" w:cs="Cambria" w:eastAsia="Cambria" w:hAnsi="Cambria"/>
          <w:b/>
          <w:bCs/>
          <w:color w:val="1E2761"/>
          <w:sz w:val="26"/>
          <w:szCs w:val="26"/>
        </w:rPr>
        <w:t xml:space="preserve">NATURALEZA DEL OBSERVATORIO</w:t>
      </w:r>
    </w:p>
    <w:p>
      <w:pPr>
        <w:spacing w:after="160" w:line="300"/>
        <w:jc w:val="both"/>
      </w:pPr>
      <w:r>
        <w:rPr>
          <w:rFonts w:ascii="Cambria" w:cs="Cambria" w:eastAsia="Cambria" w:hAnsi="Cambria"/>
          <w:color w:val="000000"/>
          <w:sz w:val="24"/>
          <w:szCs w:val="24"/>
        </w:rPr>
        <w:t xml:space="preserve">El Observatorio es la unidad oficial encargada de recopilar, analizar, interpretar y difundir información estratégica sobre la evolución de la consultoría, la inteligencia aplicada y la transformación organizacional.</w:t>
      </w:r>
    </w:p>
    <w:p>
      <w:pPr>
        <w:spacing w:after="160" w:line="300"/>
        <w:jc w:val="both"/>
      </w:pPr>
      <w:r>
        <w:rPr>
          <w:rFonts w:ascii="Cambria" w:cs="Cambria" w:eastAsia="Cambria" w:hAnsi="Cambria"/>
          <w:color w:val="000000"/>
          <w:sz w:val="24"/>
          <w:szCs w:val="24"/>
        </w:rPr>
        <w:t xml:space="preserve">No es únicamente un centro de estadísticas; es un espacio permanente de producción de inteligencia para orientar decisiones, investigaciones, modelos y políticas dentro del Sistema ODYRA. Su propósito es observar el presente para anticipar el futuro.</w:t>
      </w:r>
    </w:p>
    <w:p>
      <w:pPr>
        <w:spacing w:after="160" w:line="300"/>
        <w:jc w:val="both"/>
      </w:pPr>
      <w:r>
        <w:rPr>
          <w:rFonts w:ascii="Cambria" w:cs="Cambria" w:eastAsia="Cambria" w:hAnsi="Cambria"/>
          <w:color w:val="000000"/>
          <w:sz w:val="24"/>
          <w:szCs w:val="24"/>
        </w:rPr>
        <w:t xml:space="preserve">A diferencia del LAB ODYRA —que experimenta y valida desarrollos deliberados, conforme al Principio de Puerta Única de Innovación establecido en el Laboratorio de Innovación, Consultoría e Inteligencia Aplicada—, el Observatorio no diseña ni valida soluciones: vigila el entorno externo al Sistema y produce la evidencia que orienta hacia dónde debe dirigirse esa innovación.</w:t>
      </w:r>
    </w:p>
    <w:p>
      <w:pPr>
        <w:pStyle w:val="Heading1"/>
        <w:pageBreakBefore/>
        <w:spacing w:after="60" w:before="200"/>
      </w:pPr>
      <w:r>
        <w:rPr>
          <w:rFonts w:ascii="Cambria" w:cs="Cambria" w:eastAsia="Cambria" w:hAnsi="Cambria"/>
          <w:b/>
          <w:bCs/>
          <w:color w:val="1E2761"/>
          <w:sz w:val="22"/>
          <w:szCs w:val="22"/>
        </w:rPr>
        <w:t xml:space="preserve">PARTE II</w:t>
      </w:r>
    </w:p>
    <w:p>
      <w:pPr>
        <w:pStyle w:val="Heading2"/>
        <w:spacing w:after="120" w:before="260"/>
      </w:pPr>
      <w:r>
        <w:rPr>
          <w:rFonts w:ascii="Cambria" w:cs="Cambria" w:eastAsia="Cambria" w:hAnsi="Cambria"/>
          <w:b/>
          <w:bCs/>
          <w:color w:val="1E2761"/>
          <w:sz w:val="26"/>
          <w:szCs w:val="26"/>
        </w:rPr>
        <w:t xml:space="preserve">MISIÓN Y VISIÓN</w:t>
      </w:r>
    </w:p>
    <w:p>
      <w:pPr>
        <w:spacing w:after="160" w:line="300"/>
        <w:jc w:val="both"/>
      </w:pPr>
      <w:r>
        <w:rPr>
          <w:rFonts w:ascii="Cambria" w:cs="Cambria" w:eastAsia="Cambria" w:hAnsi="Cambria"/>
          <w:b/>
          <w:bCs/>
          <w:color w:val="000000"/>
          <w:sz w:val="24"/>
          <w:szCs w:val="24"/>
        </w:rPr>
        <w:t xml:space="preserve">Misión.</w:t>
      </w:r>
      <w:r>
        <w:rPr>
          <w:rFonts w:ascii="Cambria" w:cs="Cambria" w:eastAsia="Cambria" w:hAnsi="Cambria"/>
          <w:color w:val="000000"/>
          <w:sz w:val="24"/>
          <w:szCs w:val="24"/>
        </w:rPr>
        <w:t xml:space="preserve"> Generar inteligencia estratégica mediante la observación, el análisis y la investigación de las tendencias que impactan la consultoría estratégica, las organizaciones, la gestión de proyectos, la asociatividad, el desarrollo territorial y la inteligencia artificial.</w:t>
      </w:r>
    </w:p>
    <w:p>
      <w:pPr>
        <w:spacing w:after="160" w:line="300"/>
        <w:jc w:val="both"/>
      </w:pPr>
      <w:r>
        <w:rPr>
          <w:rFonts w:ascii="Cambria" w:cs="Cambria" w:eastAsia="Cambria" w:hAnsi="Cambria"/>
          <w:b/>
          <w:bCs/>
          <w:color w:val="000000"/>
          <w:sz w:val="24"/>
          <w:szCs w:val="24"/>
        </w:rPr>
        <w:t xml:space="preserve">Visión.</w:t>
      </w:r>
      <w:r>
        <w:rPr>
          <w:rFonts w:ascii="Cambria" w:cs="Cambria" w:eastAsia="Cambria" w:hAnsi="Cambria"/>
          <w:color w:val="000000"/>
          <w:sz w:val="24"/>
          <w:szCs w:val="24"/>
        </w:rPr>
        <w:t xml:space="preserve"> Para el año 2040, el Observatorio ODYRA será reconocido como una fuente de referencia en Iberoamérica para el análisis prospectivo, la investigación aplicada y la generación de conocimiento sobre consultoría estratégica e inteligencia aplicada, contribuyendo a la toma de decisiones en organizaciones públicas, privadas, sociales y académicas.</w:t>
      </w:r>
    </w:p>
    <w:p>
      <w:pPr>
        <w:pStyle w:val="Heading1"/>
        <w:pageBreakBefore/>
        <w:spacing w:after="60" w:before="200"/>
      </w:pPr>
      <w:r>
        <w:rPr>
          <w:rFonts w:ascii="Cambria" w:cs="Cambria" w:eastAsia="Cambria" w:hAnsi="Cambria"/>
          <w:b/>
          <w:bCs/>
          <w:color w:val="1E2761"/>
          <w:sz w:val="22"/>
          <w:szCs w:val="22"/>
        </w:rPr>
        <w:t xml:space="preserve">PARTE III</w:t>
      </w:r>
    </w:p>
    <w:p>
      <w:pPr>
        <w:pStyle w:val="Heading2"/>
        <w:spacing w:after="120" w:before="260"/>
      </w:pPr>
      <w:r>
        <w:rPr>
          <w:rFonts w:ascii="Cambria" w:cs="Cambria" w:eastAsia="Cambria" w:hAnsi="Cambria"/>
          <w:b/>
          <w:bCs/>
          <w:color w:val="1E2761"/>
          <w:sz w:val="26"/>
          <w:szCs w:val="26"/>
        </w:rPr>
        <w:t xml:space="preserve">LÍNEAS PERMANENTES DE OBSERVACIÓN</w:t>
      </w:r>
    </w:p>
    <w:p>
      <w:pPr>
        <w:spacing w:after="160" w:line="300"/>
        <w:jc w:val="both"/>
      </w:pPr>
      <w:r>
        <w:rPr>
          <w:rFonts w:ascii="Cambria" w:cs="Cambria" w:eastAsia="Cambria" w:hAnsi="Cambria"/>
          <w:color w:val="000000"/>
          <w:sz w:val="24"/>
          <w:szCs w:val="24"/>
        </w:rPr>
        <w:t xml:space="preserve">El Observatorio desarrolla vigilancia e investigación en siete áreas, alineadas con las nueve líneas oficiales de investigación establecidas en Investigaciones Aplicadas ODYRA:</w:t>
      </w:r>
    </w:p>
    <w:p>
      <w:pPr>
        <w:pStyle w:val="ListParagraph"/>
        <w:numPr>
          <w:ilvl w:val="0"/>
          <w:numId w:val="1"/>
        </w:numPr>
        <w:spacing w:after="80"/>
        <w:jc w:val="both"/>
      </w:pPr>
      <w:r>
        <w:rPr>
          <w:rFonts w:ascii="Cambria" w:cs="Cambria" w:eastAsia="Cambria" w:hAnsi="Cambria"/>
          <w:b/>
          <w:bCs/>
          <w:color w:val="000000"/>
          <w:sz w:val="23"/>
          <w:szCs w:val="23"/>
        </w:rPr>
        <w:t xml:space="preserve">Consultoría Estratégica.</w:t>
      </w:r>
      <w:r>
        <w:rPr>
          <w:rFonts w:ascii="Cambria" w:cs="Cambria" w:eastAsia="Cambria" w:hAnsi="Cambria"/>
          <w:color w:val="000000"/>
          <w:sz w:val="23"/>
          <w:szCs w:val="23"/>
        </w:rPr>
        <w:t xml:space="preserve"> Nuevas tendencias, modelos emergentes, competencias del consultor y transformación del sector.</w:t>
      </w:r>
    </w:p>
    <w:p>
      <w:pPr>
        <w:pStyle w:val="ListParagraph"/>
        <w:numPr>
          <w:ilvl w:val="0"/>
          <w:numId w:val="1"/>
        </w:numPr>
        <w:spacing w:after="80"/>
        <w:jc w:val="both"/>
      </w:pPr>
      <w:r>
        <w:rPr>
          <w:rFonts w:ascii="Cambria" w:cs="Cambria" w:eastAsia="Cambria" w:hAnsi="Cambria"/>
          <w:b/>
          <w:bCs/>
          <w:color w:val="000000"/>
          <w:sz w:val="23"/>
          <w:szCs w:val="23"/>
        </w:rPr>
        <w:t xml:space="preserve">Inteligencia Artificial Aplicada.</w:t>
      </w:r>
      <w:r>
        <w:rPr>
          <w:rFonts w:ascii="Cambria" w:cs="Cambria" w:eastAsia="Cambria" w:hAnsi="Cambria"/>
          <w:color w:val="000000"/>
          <w:sz w:val="23"/>
          <w:szCs w:val="23"/>
        </w:rPr>
        <w:t xml:space="preserve"> Nuevas herramientas, agentes inteligentes, automatización, IA generativa, ética de la IA y regulación.</w:t>
      </w:r>
    </w:p>
    <w:p>
      <w:pPr>
        <w:pStyle w:val="ListParagraph"/>
        <w:numPr>
          <w:ilvl w:val="0"/>
          <w:numId w:val="1"/>
        </w:numPr>
        <w:spacing w:after="80"/>
        <w:jc w:val="both"/>
      </w:pPr>
      <w:r>
        <w:rPr>
          <w:rFonts w:ascii="Cambria" w:cs="Cambria" w:eastAsia="Cambria" w:hAnsi="Cambria"/>
          <w:b/>
          <w:bCs/>
          <w:color w:val="000000"/>
          <w:sz w:val="23"/>
          <w:szCs w:val="23"/>
        </w:rPr>
        <w:t xml:space="preserve">Gestión de Proyectos.</w:t>
      </w:r>
      <w:r>
        <w:rPr>
          <w:rFonts w:ascii="Cambria" w:cs="Cambria" w:eastAsia="Cambria" w:hAnsi="Cambria"/>
          <w:color w:val="000000"/>
          <w:sz w:val="23"/>
          <w:szCs w:val="23"/>
        </w:rPr>
        <w:t xml:space="preserve"> Metodologías, buenas prácticas, innovación en oficinas de proyectos (PMO), cooperación internacional y financiación.</w:t>
      </w:r>
    </w:p>
    <w:p>
      <w:pPr>
        <w:pStyle w:val="ListParagraph"/>
        <w:numPr>
          <w:ilvl w:val="0"/>
          <w:numId w:val="1"/>
        </w:numPr>
        <w:spacing w:after="80"/>
        <w:jc w:val="both"/>
      </w:pPr>
      <w:r>
        <w:rPr>
          <w:rFonts w:ascii="Cambria" w:cs="Cambria" w:eastAsia="Cambria" w:hAnsi="Cambria"/>
          <w:b/>
          <w:bCs/>
          <w:color w:val="000000"/>
          <w:sz w:val="23"/>
          <w:szCs w:val="23"/>
        </w:rPr>
        <w:t xml:space="preserve">Asociatividad.</w:t>
      </w:r>
      <w:r>
        <w:rPr>
          <w:rFonts w:ascii="Cambria" w:cs="Cambria" w:eastAsia="Cambria" w:hAnsi="Cambria"/>
          <w:color w:val="000000"/>
          <w:sz w:val="23"/>
          <w:szCs w:val="23"/>
        </w:rPr>
        <w:t xml:space="preserve"> Redes empresariales, cooperativas, clústeres, economía solidaria y desarrollo asociativo.</w:t>
      </w:r>
    </w:p>
    <w:p>
      <w:pPr>
        <w:pStyle w:val="ListParagraph"/>
        <w:numPr>
          <w:ilvl w:val="0"/>
          <w:numId w:val="1"/>
        </w:numPr>
        <w:spacing w:after="80"/>
        <w:jc w:val="both"/>
      </w:pPr>
      <w:r>
        <w:rPr>
          <w:rFonts w:ascii="Cambria" w:cs="Cambria" w:eastAsia="Cambria" w:hAnsi="Cambria"/>
          <w:b/>
          <w:bCs/>
          <w:color w:val="000000"/>
          <w:sz w:val="23"/>
          <w:szCs w:val="23"/>
        </w:rPr>
        <w:t xml:space="preserve">Desarrollo Territorial.</w:t>
      </w:r>
      <w:r>
        <w:rPr>
          <w:rFonts w:ascii="Cambria" w:cs="Cambria" w:eastAsia="Cambria" w:hAnsi="Cambria"/>
          <w:color w:val="000000"/>
          <w:sz w:val="23"/>
          <w:szCs w:val="23"/>
        </w:rPr>
        <w:t xml:space="preserve"> Gobernanza, planeación, competitividad, desarrollo rural e innovación territorial.</w:t>
      </w:r>
    </w:p>
    <w:p>
      <w:pPr>
        <w:pStyle w:val="ListParagraph"/>
        <w:numPr>
          <w:ilvl w:val="0"/>
          <w:numId w:val="1"/>
        </w:numPr>
        <w:spacing w:after="80"/>
        <w:jc w:val="both"/>
      </w:pPr>
      <w:r>
        <w:rPr>
          <w:rFonts w:ascii="Cambria" w:cs="Cambria" w:eastAsia="Cambria" w:hAnsi="Cambria"/>
          <w:b/>
          <w:bCs/>
          <w:color w:val="000000"/>
          <w:sz w:val="23"/>
          <w:szCs w:val="23"/>
        </w:rPr>
        <w:t xml:space="preserve">Organizaciones Inteligentes.</w:t>
      </w:r>
      <w:r>
        <w:rPr>
          <w:rFonts w:ascii="Cambria" w:cs="Cambria" w:eastAsia="Cambria" w:hAnsi="Cambria"/>
          <w:color w:val="000000"/>
          <w:sz w:val="23"/>
          <w:szCs w:val="23"/>
        </w:rPr>
        <w:t xml:space="preserve"> Gestión del conocimiento, cultura organizacional, liderazgo, transformación digital y aprendizaje organizacional.</w:t>
      </w:r>
    </w:p>
    <w:p>
      <w:pPr>
        <w:pStyle w:val="ListParagraph"/>
        <w:numPr>
          <w:ilvl w:val="0"/>
          <w:numId w:val="1"/>
        </w:numPr>
        <w:spacing w:after="80"/>
        <w:jc w:val="both"/>
      </w:pPr>
      <w:r>
        <w:rPr>
          <w:rFonts w:ascii="Cambria" w:cs="Cambria" w:eastAsia="Cambria" w:hAnsi="Cambria"/>
          <w:b/>
          <w:bCs/>
          <w:color w:val="000000"/>
          <w:sz w:val="23"/>
          <w:szCs w:val="23"/>
        </w:rPr>
        <w:t xml:space="preserve">Educación y Formación.</w:t>
      </w:r>
      <w:r>
        <w:rPr>
          <w:rFonts w:ascii="Cambria" w:cs="Cambria" w:eastAsia="Cambria" w:hAnsi="Cambria"/>
          <w:color w:val="000000"/>
          <w:sz w:val="23"/>
          <w:szCs w:val="23"/>
        </w:rPr>
        <w:t xml:space="preserve"> Competencias del futuro, nuevos modelos educativos, certificaciones y aprendizaje permanente, en articulación con los Programas Oficiales de Formación ODYRA.</w:t>
      </w:r>
    </w:p>
    <w:p>
      <w:pPr>
        <w:pStyle w:val="Heading1"/>
        <w:pageBreakBefore/>
        <w:spacing w:after="60" w:before="200"/>
      </w:pPr>
      <w:r>
        <w:rPr>
          <w:rFonts w:ascii="Cambria" w:cs="Cambria" w:eastAsia="Cambria" w:hAnsi="Cambria"/>
          <w:b/>
          <w:bCs/>
          <w:color w:val="1E2761"/>
          <w:sz w:val="22"/>
          <w:szCs w:val="22"/>
        </w:rPr>
        <w:t xml:space="preserve">PARTE IV</w:t>
      </w:r>
    </w:p>
    <w:p>
      <w:pPr>
        <w:pStyle w:val="Heading2"/>
        <w:spacing w:after="120" w:before="260"/>
      </w:pPr>
      <w:r>
        <w:rPr>
          <w:rFonts w:ascii="Cambria" w:cs="Cambria" w:eastAsia="Cambria" w:hAnsi="Cambria"/>
          <w:b/>
          <w:bCs/>
          <w:color w:val="1E2761"/>
          <w:sz w:val="26"/>
          <w:szCs w:val="26"/>
        </w:rPr>
        <w:t xml:space="preserve">PRODUCTOS DEL OBSERVATORIO</w:t>
      </w:r>
    </w:p>
    <w:p>
      <w:pPr>
        <w:spacing w:after="160" w:line="300"/>
        <w:jc w:val="both"/>
      </w:pPr>
      <w:r>
        <w:rPr>
          <w:rFonts w:ascii="Cambria" w:cs="Cambria" w:eastAsia="Cambria" w:hAnsi="Cambria"/>
          <w:color w:val="000000"/>
          <w:sz w:val="24"/>
          <w:szCs w:val="24"/>
        </w:rPr>
        <w:t xml:space="preserve">El Observatorio publica periódicamente informes de tendencias, estudios sectoriales, reportes ejecutivos, boletines de inteligencia, indicadores estratégicos, estudios comparativos, rankings, casos destacados —seleccionados del Banco Oficial de Casos establecido en la Biblioteca Oficial de Casos de Estudio ODYRA—, alertas estratégicas, mapas de innovación, ejercicios de prospectiva, libros blancos, documentos de política y recomendaciones metodológicas.</w:t>
      </w:r>
    </w:p>
    <w:p>
      <w:pPr>
        <w:spacing w:after="160" w:line="300"/>
        <w:jc w:val="both"/>
      </w:pPr>
      <w:r>
        <w:rPr>
          <w:rFonts w:ascii="Cambria" w:cs="Cambria" w:eastAsia="Cambria" w:hAnsi="Cambria"/>
          <w:color w:val="000000"/>
          <w:sz w:val="24"/>
          <w:szCs w:val="24"/>
        </w:rPr>
        <w:t xml:space="preserve">Todos estos productos se incorporan a la Colección de Investigación del Programa Oficial de Publicaciones Académicas ODYRA, y ninguno se considera oficial hasta cumplir el proceso editorial establecido en dicho Programa.</w:t>
      </w:r>
    </w:p>
    <w:p>
      <w:pPr>
        <w:pStyle w:val="Heading1"/>
        <w:pageBreakBefore/>
        <w:spacing w:after="60" w:before="200"/>
      </w:pPr>
      <w:r>
        <w:rPr>
          <w:rFonts w:ascii="Cambria" w:cs="Cambria" w:eastAsia="Cambria" w:hAnsi="Cambria"/>
          <w:b/>
          <w:bCs/>
          <w:color w:val="1E2761"/>
          <w:sz w:val="22"/>
          <w:szCs w:val="22"/>
        </w:rPr>
        <w:t xml:space="preserve">PARTE V</w:t>
      </w:r>
    </w:p>
    <w:p>
      <w:pPr>
        <w:pStyle w:val="Heading2"/>
        <w:spacing w:after="120" w:before="260"/>
      </w:pPr>
      <w:r>
        <w:rPr>
          <w:rFonts w:ascii="Cambria" w:cs="Cambria" w:eastAsia="Cambria" w:hAnsi="Cambria"/>
          <w:b/>
          <w:bCs/>
          <w:color w:val="1E2761"/>
          <w:sz w:val="26"/>
          <w:szCs w:val="26"/>
        </w:rPr>
        <w:t xml:space="preserve">METODOLOGÍA DE OBSERVACIÓN</w:t>
      </w:r>
    </w:p>
    <w:p>
      <w:pPr>
        <w:spacing w:after="160" w:line="300"/>
        <w:jc w:val="both"/>
      </w:pPr>
      <w:r>
        <w:rPr>
          <w:rFonts w:ascii="Cambria" w:cs="Cambria" w:eastAsia="Cambria" w:hAnsi="Cambria"/>
          <w:color w:val="000000"/>
          <w:sz w:val="24"/>
          <w:szCs w:val="24"/>
        </w:rPr>
        <w:t xml:space="preserve">El proceso permanente del Observatorio sigue un ciclo de ocho etapas —Observar, Recolectar información, Analizar, Interpretar, Generar inteligencia, Publicar conocimiento, Transferir aprendizaje y Retroalimentar el Sistema ODYRA—, que constituye una especialización del Ciclo del Conocimiento ODYRA (CCO) establecido con carácter general en la Arquitectura del Conocimiento ODYRA, adaptada a la función específica de vigilancia estratégica permanente.</w:t>
      </w:r>
    </w:p>
    <w:p>
      <w:pPr>
        <w:spacing w:after="160" w:line="300"/>
        <w:jc w:val="both"/>
      </w:pPr>
      <w:r>
        <w:rPr>
          <w:rFonts w:ascii="Cambria" w:cs="Cambria" w:eastAsia="Cambria" w:hAnsi="Cambria"/>
          <w:color w:val="000000"/>
          <w:sz w:val="24"/>
          <w:szCs w:val="24"/>
        </w:rPr>
        <w:t xml:space="preserve">Las etapas de Observar, Generar inteligencia (equivalente a Modelar) y Retroalimentar (equivalente a Mejorar) corresponden directamente a etapas homónimas o análogas del CCO; las etapas de Recolectar información, Analizar, Interpretar, Publicar conocimiento y Transferir aprendizaje detallan, para el caso específico de la vigilancia estratégica, lo que el CCO general describe en sus etapas de Comprender, Sistematizar, Enseñar y Aplicar.</w:t>
      </w:r>
    </w:p>
    <w:p>
      <w:pPr>
        <w:spacing w:after="160" w:line="300"/>
        <w:jc w:val="both"/>
      </w:pPr>
      <w:r>
        <w:rPr>
          <w:rFonts w:ascii="Cambria" w:cs="Cambria" w:eastAsia="Cambria" w:hAnsi="Cambria"/>
          <w:color w:val="000000"/>
          <w:sz w:val="24"/>
          <w:szCs w:val="24"/>
        </w:rPr>
        <w:t xml:space="preserve">Este ciclo garantiza que el conocimiento producido se convierta en mejoras concretas para el Método ODYRA y sus diferentes componentes, y no permanezca como información pasiva sin consecuencia práctica.</w:t>
      </w:r>
    </w:p>
    <w:p>
      <w:pPr>
        <w:pStyle w:val="Heading1"/>
        <w:pageBreakBefore/>
        <w:spacing w:after="60" w:before="200"/>
      </w:pPr>
      <w:r>
        <w:rPr>
          <w:rFonts w:ascii="Cambria" w:cs="Cambria" w:eastAsia="Cambria" w:hAnsi="Cambria"/>
          <w:b/>
          <w:bCs/>
          <w:color w:val="1E2761"/>
          <w:sz w:val="22"/>
          <w:szCs w:val="22"/>
        </w:rPr>
        <w:t xml:space="preserve">PARTE VI</w:t>
      </w:r>
    </w:p>
    <w:p>
      <w:pPr>
        <w:pStyle w:val="Heading2"/>
        <w:spacing w:after="120" w:before="260"/>
      </w:pPr>
      <w:r>
        <w:rPr>
          <w:rFonts w:ascii="Cambria" w:cs="Cambria" w:eastAsia="Cambria" w:hAnsi="Cambria"/>
          <w:b/>
          <w:bCs/>
          <w:color w:val="1E2761"/>
          <w:sz w:val="26"/>
          <w:szCs w:val="26"/>
        </w:rPr>
        <w:t xml:space="preserve">FUENTES DE INFORMACIÓN</w:t>
      </w:r>
    </w:p>
    <w:p>
      <w:pPr>
        <w:spacing w:after="160" w:line="300"/>
        <w:jc w:val="both"/>
      </w:pPr>
      <w:r>
        <w:rPr>
          <w:rFonts w:ascii="Cambria" w:cs="Cambria" w:eastAsia="Cambria" w:hAnsi="Cambria"/>
          <w:color w:val="000000"/>
          <w:sz w:val="24"/>
          <w:szCs w:val="24"/>
        </w:rPr>
        <w:t xml:space="preserve">El Observatorio integra información proveniente de fuentes externas e internas al Sistema ODYRA.</w:t>
      </w:r>
    </w:p>
    <w:p>
      <w:pPr>
        <w:spacing w:after="160" w:line="300"/>
        <w:jc w:val="both"/>
      </w:pPr>
      <w:r>
        <w:rPr>
          <w:rFonts w:ascii="Cambria" w:cs="Cambria" w:eastAsia="Cambria" w:hAnsi="Cambria"/>
          <w:b/>
          <w:bCs/>
          <w:color w:val="000000"/>
          <w:sz w:val="24"/>
          <w:szCs w:val="24"/>
        </w:rPr>
        <w:t xml:space="preserve">Fuentes externas:</w:t>
      </w:r>
      <w:r>
        <w:rPr>
          <w:rFonts w:ascii="Cambria" w:cs="Cambria" w:eastAsia="Cambria" w:hAnsi="Cambria"/>
          <w:color w:val="000000"/>
          <w:sz w:val="24"/>
          <w:szCs w:val="24"/>
        </w:rPr>
        <w:t xml:space="preserve"> universidades, centros de investigación, organismos internacionales, entidades públicas, empresas, organizaciones sociales, bases de datos especializadas, revistas científicas y redes profesionales, conforme a las instituciones aliadas descritas en el Programa de Alianzas Estratégicas y Cooperación Académica ODYRA.</w:t>
      </w:r>
    </w:p>
    <w:p>
      <w:pPr>
        <w:spacing w:after="160" w:line="300"/>
        <w:jc w:val="both"/>
      </w:pPr>
      <w:r>
        <w:rPr>
          <w:rFonts w:ascii="Cambria" w:cs="Cambria" w:eastAsia="Cambria" w:hAnsi="Cambria"/>
          <w:b/>
          <w:bCs/>
          <w:color w:val="000000"/>
          <w:sz w:val="24"/>
          <w:szCs w:val="24"/>
        </w:rPr>
        <w:t xml:space="preserve">Fuentes internas:</w:t>
      </w:r>
      <w:r>
        <w:rPr>
          <w:rFonts w:ascii="Cambria" w:cs="Cambria" w:eastAsia="Cambria" w:hAnsi="Cambria"/>
          <w:color w:val="000000"/>
          <w:sz w:val="24"/>
          <w:szCs w:val="24"/>
        </w:rPr>
        <w:t xml:space="preserve"> el Banco Oficial de Casos de la Biblioteca Oficial de Casos de Estudio ODYRA, la Comunidad Internacional de Práctica ODYRA, el LAB ODYRA y sus laboratorios especializados, e Investigaciones Aplicadas ODYRA.</w:t>
      </w:r>
    </w:p>
    <w:p>
      <w:pPr>
        <w:spacing w:after="160" w:line="300"/>
        <w:jc w:val="both"/>
      </w:pPr>
      <w:r>
        <w:rPr>
          <w:rFonts w:ascii="Cambria" w:cs="Cambria" w:eastAsia="Cambria" w:hAnsi="Cambria"/>
          <w:color w:val="000000"/>
          <w:sz w:val="24"/>
          <w:szCs w:val="24"/>
        </w:rPr>
        <w:t xml:space="preserve">Esta doble fuente —externa e interna— permite que el Observatorio contraste la evolución del propio Sistema ODYRA con la evolución del entorno en el que opera.</w:t>
      </w:r>
    </w:p>
    <w:p>
      <w:pPr>
        <w:pStyle w:val="Heading1"/>
        <w:pageBreakBefore/>
        <w:spacing w:after="60" w:before="200"/>
      </w:pPr>
      <w:r>
        <w:rPr>
          <w:rFonts w:ascii="Cambria" w:cs="Cambria" w:eastAsia="Cambria" w:hAnsi="Cambria"/>
          <w:b/>
          <w:bCs/>
          <w:color w:val="1E2761"/>
          <w:sz w:val="22"/>
          <w:szCs w:val="22"/>
        </w:rPr>
        <w:t xml:space="preserve">PARTE VII</w:t>
      </w:r>
    </w:p>
    <w:p>
      <w:pPr>
        <w:pStyle w:val="Heading2"/>
        <w:spacing w:after="120" w:before="260"/>
      </w:pPr>
      <w:r>
        <w:rPr>
          <w:rFonts w:ascii="Cambria" w:cs="Cambria" w:eastAsia="Cambria" w:hAnsi="Cambria"/>
          <w:b/>
          <w:bCs/>
          <w:color w:val="1E2761"/>
          <w:sz w:val="26"/>
          <w:szCs w:val="26"/>
        </w:rPr>
        <w:t xml:space="preserve">RELACIÓN CON EL ECOSISTEMA ODYRA</w:t>
      </w:r>
    </w:p>
    <w:p>
      <w:pPr>
        <w:spacing w:after="160" w:line="300"/>
        <w:jc w:val="both"/>
      </w:pPr>
      <w:r>
        <w:rPr>
          <w:rFonts w:ascii="Cambria" w:cs="Cambria" w:eastAsia="Cambria" w:hAnsi="Cambria"/>
          <w:color w:val="000000"/>
          <w:sz w:val="24"/>
          <w:szCs w:val="24"/>
        </w:rPr>
        <w:t xml:space="preserve">El Observatorio mantiene una interacción permanente con el conjunto del Sistema ODYRA: recibe orientación filosófica de la Escuela de Pensamiento y el Canon Intelectual ODYRA; se articula operativamente con la Arquitectura del Conocimiento ODYRA para la clasificación y preservación de sus hallazgos; comparte evidencia con el LAB ODYRA, que la utiliza como insumo para nuevas líneas de experimentación; nutre a la Comunidad Internacional de Práctica ODYRA y a los Programas Oficiales de Formación ODYRA con tendencias actualizadas; retroalimenta al Sistema Oficial de Certificación ODYRA sobre competencias emergentes que deban incorporarse a los perfiles de certificación; y alimenta con evidencia al Manual de Modelos ODYRA y al Marco Metodológico ODYRA para la actualización de modelos y metodologías vigentes.</w:t>
      </w:r>
    </w:p>
    <w:p>
      <w:pPr>
        <w:spacing w:after="160" w:line="300"/>
        <w:jc w:val="both"/>
      </w:pPr>
      <w:r>
        <w:rPr>
          <w:rFonts w:ascii="Cambria" w:cs="Cambria" w:eastAsia="Cambria" w:hAnsi="Cambria"/>
          <w:color w:val="000000"/>
          <w:sz w:val="24"/>
          <w:szCs w:val="24"/>
        </w:rPr>
        <w:t xml:space="preserve">Esta red de relaciones no constituye un mapa adicional del ecosistema: se articula con los dos mapas oficiales ya establecidos en el Sistema ODYRA —el Mapa del Ecosistema ODYRA, de la Carta Magna, y el Mapa Maestro ODYRA, de la Arquitectura del Conocimiento ODYRA—, aportando a ambos la evidencia externa que ninguno de los dos recoge por sí solo.</w:t>
      </w:r>
    </w:p>
    <w:p>
      <w:pPr>
        <w:pStyle w:val="Heading1"/>
        <w:pageBreakBefore/>
        <w:spacing w:after="60" w:before="200"/>
      </w:pPr>
      <w:r>
        <w:rPr>
          <w:rFonts w:ascii="Cambria" w:cs="Cambria" w:eastAsia="Cambria" w:hAnsi="Cambria"/>
          <w:b/>
          <w:bCs/>
          <w:color w:val="1E2761"/>
          <w:sz w:val="22"/>
          <w:szCs w:val="22"/>
        </w:rPr>
        <w:t xml:space="preserve">PARTE VIII</w:t>
      </w:r>
    </w:p>
    <w:p>
      <w:pPr>
        <w:pStyle w:val="Heading2"/>
        <w:spacing w:after="120" w:before="260"/>
      </w:pPr>
      <w:r>
        <w:rPr>
          <w:rFonts w:ascii="Cambria" w:cs="Cambria" w:eastAsia="Cambria" w:hAnsi="Cambria"/>
          <w:b/>
          <w:bCs/>
          <w:color w:val="1E2761"/>
          <w:sz w:val="26"/>
          <w:szCs w:val="26"/>
        </w:rPr>
        <w:t xml:space="preserve">GOBERNANZA DEL OBSERVATORIO</w:t>
      </w:r>
    </w:p>
    <w:p>
      <w:pPr>
        <w:spacing w:after="160" w:line="300"/>
        <w:jc w:val="both"/>
      </w:pPr>
      <w:r>
        <w:rPr>
          <w:rFonts w:ascii="Cambria" w:cs="Cambria" w:eastAsia="Cambria" w:hAnsi="Cambria"/>
          <w:color w:val="000000"/>
          <w:sz w:val="24"/>
          <w:szCs w:val="24"/>
        </w:rPr>
        <w:t xml:space="preserve">El Observatorio está orientado por un </w:t>
      </w:r>
      <w:r>
        <w:rPr>
          <w:rFonts w:ascii="Cambria" w:cs="Cambria" w:eastAsia="Cambria" w:hAnsi="Cambria"/>
          <w:b/>
          <w:bCs/>
          <w:color w:val="000000"/>
          <w:sz w:val="24"/>
          <w:szCs w:val="24"/>
        </w:rPr>
        <w:t xml:space="preserve">Comité Estratégico del Observatorio</w:t>
      </w:r>
      <w:r>
        <w:rPr>
          <w:rFonts w:ascii="Cambria" w:cs="Cambria" w:eastAsia="Cambria" w:hAnsi="Cambria"/>
          <w:color w:val="000000"/>
          <w:sz w:val="24"/>
          <w:szCs w:val="24"/>
        </w:rPr>
        <w:t xml:space="preserve">, encargado de:</w:t>
      </w:r>
    </w:p>
    <w:p>
      <w:pPr>
        <w:pStyle w:val="ListParagraph"/>
        <w:numPr>
          <w:ilvl w:val="0"/>
          <w:numId w:val="1"/>
        </w:numPr>
        <w:spacing w:after="80"/>
        <w:jc w:val="both"/>
      </w:pPr>
      <w:r>
        <w:rPr>
          <w:rFonts w:ascii="Cambria" w:cs="Cambria" w:eastAsia="Cambria" w:hAnsi="Cambria"/>
          <w:color w:val="000000"/>
          <w:sz w:val="23"/>
          <w:szCs w:val="23"/>
        </w:rPr>
        <w:t xml:space="preserve">Definir las líneas prioritarias de observación, en articulación con las nueve líneas de Investigaciones Aplicadas ODYRA.</w:t>
      </w:r>
    </w:p>
    <w:p>
      <w:pPr>
        <w:pStyle w:val="ListParagraph"/>
        <w:numPr>
          <w:ilvl w:val="0"/>
          <w:numId w:val="1"/>
        </w:numPr>
        <w:spacing w:after="80"/>
        <w:jc w:val="both"/>
      </w:pPr>
      <w:r>
        <w:rPr>
          <w:rFonts w:ascii="Cambria" w:cs="Cambria" w:eastAsia="Cambria" w:hAnsi="Cambria"/>
          <w:color w:val="000000"/>
          <w:sz w:val="23"/>
          <w:szCs w:val="23"/>
        </w:rPr>
        <w:t xml:space="preserve">Validar las metodologías de observación empleadas.</w:t>
      </w:r>
    </w:p>
    <w:p>
      <w:pPr>
        <w:pStyle w:val="ListParagraph"/>
        <w:numPr>
          <w:ilvl w:val="0"/>
          <w:numId w:val="1"/>
        </w:numPr>
        <w:spacing w:after="80"/>
        <w:jc w:val="both"/>
      </w:pPr>
      <w:r>
        <w:rPr>
          <w:rFonts w:ascii="Cambria" w:cs="Cambria" w:eastAsia="Cambria" w:hAnsi="Cambria"/>
          <w:color w:val="000000"/>
          <w:sz w:val="23"/>
          <w:szCs w:val="23"/>
        </w:rPr>
        <w:t xml:space="preserve">Aprobar las publicaciones estratégicas antes de su difusión, en coordinación con el Comité Editorial ODYRA.</w:t>
      </w:r>
    </w:p>
    <w:p>
      <w:pPr>
        <w:pStyle w:val="ListParagraph"/>
        <w:numPr>
          <w:ilvl w:val="0"/>
          <w:numId w:val="1"/>
        </w:numPr>
        <w:spacing w:after="80"/>
        <w:jc w:val="both"/>
      </w:pPr>
      <w:r>
        <w:rPr>
          <w:rFonts w:ascii="Cambria" w:cs="Cambria" w:eastAsia="Cambria" w:hAnsi="Cambria"/>
          <w:color w:val="000000"/>
          <w:sz w:val="23"/>
          <w:szCs w:val="23"/>
        </w:rPr>
        <w:t xml:space="preserve">Promover alianzas nacionales e internacionales, en articulación con el Programa de Alianzas Estratégicas y Cooperación Académica ODYRA.</w:t>
      </w:r>
    </w:p>
    <w:p>
      <w:pPr>
        <w:pStyle w:val="ListParagraph"/>
        <w:numPr>
          <w:ilvl w:val="0"/>
          <w:numId w:val="1"/>
        </w:numPr>
        <w:spacing w:after="80"/>
        <w:jc w:val="both"/>
      </w:pPr>
      <w:r>
        <w:rPr>
          <w:rFonts w:ascii="Cambria" w:cs="Cambria" w:eastAsia="Cambria" w:hAnsi="Cambria"/>
          <w:color w:val="000000"/>
          <w:sz w:val="23"/>
          <w:szCs w:val="23"/>
        </w:rPr>
        <w:t xml:space="preserve">Garantizar la calidad científica y técnica de los productos del Observatorio, coordinando con el Comité Científico del LAB ODYRA cuando un hallazgo del Observatorio origine una nueva línea de experimentación.</w:t>
      </w:r>
    </w:p>
    <w:p>
      <w:pPr>
        <w:pStyle w:val="ListParagraph"/>
        <w:numPr>
          <w:ilvl w:val="0"/>
          <w:numId w:val="1"/>
        </w:numPr>
        <w:spacing w:after="80"/>
        <w:jc w:val="both"/>
      </w:pPr>
      <w:r>
        <w:rPr>
          <w:rFonts w:ascii="Cambria" w:cs="Cambria" w:eastAsia="Cambria" w:hAnsi="Cambria"/>
          <w:color w:val="000000"/>
          <w:sz w:val="23"/>
          <w:szCs w:val="23"/>
        </w:rPr>
        <w:t xml:space="preserve">Velar por el cumplimiento de los principios éticos y de transparencia establecidos en el Canon Intelectual ODYRA.</w:t>
      </w:r>
    </w:p>
    <w:p>
      <w:pPr>
        <w:spacing w:after="160" w:line="300"/>
        <w:jc w:val="both"/>
      </w:pPr>
      <w:r>
        <w:rPr>
          <w:rFonts w:ascii="Cambria" w:cs="Cambria" w:eastAsia="Cambria" w:hAnsi="Cambria"/>
          <w:color w:val="000000"/>
          <w:sz w:val="24"/>
          <w:szCs w:val="24"/>
        </w:rPr>
        <w:t xml:space="preserve">El Comité Estratégico del Observatorio reporta al Consejo de Certificación ODYRA, máxima instancia técnica e intelectual del Sistema establecida en el Sistema Oficial de Certificación ODYRA.</w:t>
      </w:r>
    </w:p>
    <w:p>
      <w:pPr>
        <w:pStyle w:val="Heading1"/>
        <w:pageBreakBefore/>
        <w:spacing w:after="60" w:before="200"/>
      </w:pPr>
      <w:r>
        <w:rPr>
          <w:rFonts w:ascii="Cambria" w:cs="Cambria" w:eastAsia="Cambria" w:hAnsi="Cambria"/>
          <w:b/>
          <w:bCs/>
          <w:color w:val="1E2761"/>
          <w:sz w:val="22"/>
          <w:szCs w:val="22"/>
        </w:rPr>
        <w:t xml:space="preserve">PARTE IX</w:t>
      </w:r>
    </w:p>
    <w:p>
      <w:pPr>
        <w:pStyle w:val="Heading2"/>
        <w:spacing w:after="120" w:before="260"/>
      </w:pPr>
      <w:r>
        <w:rPr>
          <w:rFonts w:ascii="Cambria" w:cs="Cambria" w:eastAsia="Cambria" w:hAnsi="Cambria"/>
          <w:b/>
          <w:bCs/>
          <w:color w:val="1E2761"/>
          <w:sz w:val="26"/>
          <w:szCs w:val="26"/>
        </w:rPr>
        <w:t xml:space="preserve">VISIÓN 2040</w:t>
      </w:r>
    </w:p>
    <w:p>
      <w:pPr>
        <w:spacing w:after="160" w:line="300"/>
        <w:jc w:val="both"/>
      </w:pPr>
      <w:r>
        <w:rPr>
          <w:rFonts w:ascii="Cambria" w:cs="Cambria" w:eastAsia="Cambria" w:hAnsi="Cambria"/>
          <w:color w:val="000000"/>
          <w:sz w:val="24"/>
          <w:szCs w:val="24"/>
        </w:rPr>
        <w:t xml:space="preserve">En el año 2040, el Observatorio de Consultoría Estratégica e Inteligencia Aplicada será una referencia internacional para el análisis de la evolución de la consultoría, la gestión del conocimiento y la inteligencia artificial aplicada a las organizaciones. Sus informes influirán en programas académicos, políticas institucionales, procesos de innovación y estrategias de transformación organizacional. Más que un repositorio de información, será un generador de inteligencia estratégica que permitirá anticipar tendencias, identificar oportunidades y orientar la evolución permanente del Sistema ODYRA y de la Escuela de Pensamiento.</w:t>
      </w:r>
    </w:p>
    <w:p>
      <w:pPr>
        <w:spacing w:after="160" w:line="300"/>
        <w:jc w:val="both"/>
      </w:pPr>
      <w:r>
        <w:rPr>
          <w:rFonts w:ascii="Cambria" w:cs="Cambria" w:eastAsia="Cambria" w:hAnsi="Cambria"/>
          <w:color w:val="000000"/>
          <w:sz w:val="24"/>
          <w:szCs w:val="24"/>
        </w:rPr>
        <w:t xml:space="preserve">Con esta visión se completa, desde la dimensión de vigilancia estratégica, la Visión 2040 distribuida a lo largo de los catorce documentos que preceden a este: la Arquitectura del Conocimiento describe la evolución del conocimiento; la Comunidad, la evolución de las personas; las Investigaciones Aplicadas, la evolución de la evidencia formal; las Publicaciones, la evolución del legado escrito; las Alianzas, la evolución de la cooperación; el LAB ODYRA, la evolución de la innovación deliberada; y el Observatorio, la evolución de la mirada permanente sobre el entorno.</w:t>
      </w:r>
    </w:p>
    <w:p>
      <w:pPr>
        <w:pStyle w:val="Heading1"/>
        <w:pBdr>
          <w:bottom w:val="single" w:color="1E2761" w:sz="6" w:space="4"/>
        </w:pBdr>
        <w:spacing w:after="240" w:before="60"/>
      </w:pPr>
      <w:r>
        <w:rPr>
          <w:rFonts w:ascii="Cambria" w:cs="Cambria" w:eastAsia="Cambria" w:hAnsi="Cambria"/>
          <w:b/>
          <w:bCs/>
          <w:color w:val="1E2761"/>
          <w:sz w:val="28"/>
          <w:szCs w:val="28"/>
        </w:rPr>
        <w:t xml:space="preserve">EPÍLOGO</w:t>
      </w:r>
    </w:p>
    <w:p>
      <w:pPr>
        <w:spacing w:after="160" w:line="300"/>
        <w:jc w:val="both"/>
      </w:pPr>
      <w:r>
        <w:rPr>
          <w:rFonts w:ascii="Cambria" w:cs="Cambria" w:eastAsia="Cambria" w:hAnsi="Cambria"/>
          <w:color w:val="000000"/>
          <w:sz w:val="24"/>
          <w:szCs w:val="24"/>
        </w:rPr>
        <w:t xml:space="preserve">Las organizaciones que prosperan no son únicamente las que actúan con rapidez, sino aquellas que desarrollan la capacidad de comprender los cambios antes que los demás. El Observatorio ODYRA nace con ese propósito: transformar datos en conocimiento, conocimiento en inteligencia e inteligencia en decisiones que fortalezcan organizaciones, territorios y comunidades. Observar no es un ejercicio pasivo; es el primer acto de toda transformación consciente. Cada informe, cada investigación y cada análisis contribuirán a mantener vivo el Sistema ODYRA, asegurando que su evolución esté siempre fundamentada en evidencia, aprendizaje y visión de futuro.</w:t>
      </w:r>
    </w:p>
    <w:p>
      <w:pPr>
        <w:spacing w:after="240" w:before="120"/>
        <w:jc w:val="center"/>
      </w:pPr>
      <w:r>
        <w:rPr>
          <w:rFonts w:ascii="Cambria" w:cs="Cambria" w:eastAsia="Cambria" w:hAnsi="Cambria"/>
          <w:b/>
          <w:bCs/>
          <w:i/>
          <w:iCs/>
          <w:color w:val="1E2761"/>
          <w:sz w:val="24"/>
          <w:szCs w:val="24"/>
        </w:rPr>
        <w:t xml:space="preserve">"El Observatorio ODYRA no solo estudia la realidad; la interpreta para anticipar el futuro. Porque quien observa con inteligencia comprende el cambio antes de que el cambio lo obligue a actuar."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6" w:space="8"/>
      </w:pBdr>
      <w:tabs>
        <w:tab w:val="right" w:pos="9026"/>
      </w:tabs>
    </w:pPr>
    <w:r>
      <w:rPr>
        <w:rFonts w:ascii="Calibri" w:cs="Calibri" w:eastAsia="Calibri" w:hAnsi="Calibri"/>
        <w:color w:val="6B7280"/>
        <w:sz w:val="15"/>
        <w:szCs w:val="15"/>
      </w:rPr>
      <w:t xml:space="preserve">Escuela de Pensamiento ODYRA</w:t>
    </w:r>
    <w:r>
      <w:rPr>
        <w:rFonts w:ascii="Calibri" w:cs="Calibri" w:eastAsia="Calibri" w:hAnsi="Calibri"/>
        <w:color w:val="6B7280"/>
        <w:sz w:val="15"/>
        <w:szCs w:val="15"/>
      </w:rPr>
      <w:t xml:space="preserve">	Página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8" w:space="8"/>
      </w:pBdr>
      <w:tabs>
        <w:tab w:val="right" w:pos="9026"/>
      </w:tabs>
    </w:pPr>
    <w:r>
      <w:drawing>
        <wp:inline distT="0" distB="0" distL="0" distR="0">
          <wp:extent cx="1428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r>
      <w:rPr>
        <w:rFonts w:ascii="Calibri" w:cs="Calibri" w:eastAsia="Calibri" w:hAnsi="Calibri"/>
        <w:b/>
        <w:bCs/>
        <w:color w:val="6B7280"/>
        <w:sz w:val="15"/>
        <w:szCs w:val="15"/>
      </w:rPr>
      <w:t xml:space="preserve">	OBSERVATORIO ODYRA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a21776a34766d8d77f6c7a13da33fb65f87fa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2026-07-22T22:26:39.036Z</dcterms:created>
  <dcterms:modified xsi:type="dcterms:W3CDTF">2026-07-22T22:26:39.037Z</dcterms:modified>
</cp:coreProperties>
</file>

<file path=docProps/custom.xml><?xml version="1.0" encoding="utf-8"?>
<Properties xmlns="http://schemas.openxmlformats.org/officeDocument/2006/custom-properties" xmlns:vt="http://schemas.openxmlformats.org/officeDocument/2006/docPropsVTypes"/>
</file>