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SISTEMA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PROGRAMA DE ALIANZAS ESTRATÉGICAS Y COOPERACIÓN ACADÉMICA</w:t>
      </w:r>
    </w:p>
    <w:p>
      <w:pPr>
        <w:spacing w:after="120" w:before="40"/>
        <w:jc w:val="center"/>
      </w:pPr>
      <w:r>
        <w:rPr>
          <w:rFonts w:ascii="Cambria" w:cs="Cambria" w:eastAsia="Cambria" w:hAnsi="Cambria"/>
          <w:i/>
          <w:iCs/>
          <w:color w:val="6B7280"/>
          <w:sz w:val="22"/>
          <w:szCs w:val="22"/>
        </w:rPr>
        <w:t xml:space="preserve">Política de Cooperación Interinstitucional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Ninguna escuela de pensamiento alcanza relevancia actuando de manera aislada. La producción de conocimiento, la investigación, la innovación y la formación de nuevas generaciones requieren redes de cooperación capaces de integrar saberes, experiencias y capacidades institucionales.</w:t>
      </w:r>
    </w:p>
    <w:p>
      <w:pPr>
        <w:spacing w:after="160" w:line="300"/>
        <w:jc w:val="both"/>
      </w:pPr>
      <w:r>
        <w:rPr>
          <w:rFonts w:ascii="Cambria" w:cs="Cambria" w:eastAsia="Cambria" w:hAnsi="Cambria"/>
          <w:color w:val="000000"/>
          <w:sz w:val="24"/>
          <w:szCs w:val="24"/>
        </w:rPr>
        <w:t xml:space="preserve">La Escuela de Pensamiento ODYRA concibe las alianzas estratégicas como un mecanismo para ampliar el impacto de su conocimiento, fortalecer la investigación aplicada, promover la formación de consultores y contribuir al desarrollo de organizaciones, territorios y comunidades.</w:t>
      </w:r>
    </w:p>
    <w:p>
      <w:pPr>
        <w:spacing w:after="160" w:line="300"/>
        <w:jc w:val="both"/>
      </w:pPr>
      <w:r>
        <w:rPr>
          <w:rFonts w:ascii="Cambria" w:cs="Cambria" w:eastAsia="Cambria" w:hAnsi="Cambria"/>
          <w:color w:val="000000"/>
          <w:sz w:val="24"/>
          <w:szCs w:val="24"/>
        </w:rPr>
        <w:t xml:space="preserve">Este Programa establece la política institucional para construir relaciones permanentes con universidades, centros de investigación, instituciones de formación, entidades públicas, organizaciones privadas, organismos internacionales y redes profesionales. No sustituye a la Comunidad Internacional de Práctica ODYRA, que agrupa a las personas que forman parte del Sistema: este Programa regula las relaciones del Sistema ODYRA con instituciones, como sujetos de cooperación distintos de sus miembros individuales.</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PROPÓSITO DEL PROGRAMA</w:t>
      </w:r>
    </w:p>
    <w:p>
      <w:pPr>
        <w:spacing w:after="160" w:line="300"/>
        <w:jc w:val="both"/>
      </w:pPr>
      <w:r>
        <w:rPr>
          <w:rFonts w:ascii="Cambria" w:cs="Cambria" w:eastAsia="Cambria" w:hAnsi="Cambria"/>
          <w:color w:val="000000"/>
          <w:sz w:val="24"/>
          <w:szCs w:val="24"/>
        </w:rPr>
        <w:t xml:space="preserve">El Programa de Alianzas Estratégicas busca:</w:t>
      </w:r>
    </w:p>
    <w:p>
      <w:pPr>
        <w:pStyle w:val="ListParagraph"/>
        <w:numPr>
          <w:ilvl w:val="0"/>
          <w:numId w:val="1"/>
        </w:numPr>
        <w:spacing w:after="80"/>
        <w:jc w:val="both"/>
      </w:pPr>
      <w:r>
        <w:rPr>
          <w:rFonts w:ascii="Cambria" w:cs="Cambria" w:eastAsia="Cambria" w:hAnsi="Cambria"/>
          <w:color w:val="000000"/>
          <w:sz w:val="23"/>
          <w:szCs w:val="23"/>
        </w:rPr>
        <w:t xml:space="preserve">Fortalecer la Escuela de Pensamiento ODYRA mediante el respaldo institucional de organizaciones reconocidas.</w:t>
      </w:r>
    </w:p>
    <w:p>
      <w:pPr>
        <w:pStyle w:val="ListParagraph"/>
        <w:numPr>
          <w:ilvl w:val="0"/>
          <w:numId w:val="1"/>
        </w:numPr>
        <w:spacing w:after="80"/>
        <w:jc w:val="both"/>
      </w:pPr>
      <w:r>
        <w:rPr>
          <w:rFonts w:ascii="Cambria" w:cs="Cambria" w:eastAsia="Cambria" w:hAnsi="Cambria"/>
          <w:color w:val="000000"/>
          <w:sz w:val="23"/>
          <w:szCs w:val="23"/>
        </w:rPr>
        <w:t xml:space="preserve">Impulsar la investigación aplicada, conforme a lo establecido en Investigaciones Aplicadas ODYRA.</w:t>
      </w:r>
    </w:p>
    <w:p>
      <w:pPr>
        <w:pStyle w:val="ListParagraph"/>
        <w:numPr>
          <w:ilvl w:val="0"/>
          <w:numId w:val="1"/>
        </w:numPr>
        <w:spacing w:after="80"/>
        <w:jc w:val="both"/>
      </w:pPr>
      <w:r>
        <w:rPr>
          <w:rFonts w:ascii="Cambria" w:cs="Cambria" w:eastAsia="Cambria" w:hAnsi="Cambria"/>
          <w:color w:val="000000"/>
          <w:sz w:val="23"/>
          <w:szCs w:val="23"/>
        </w:rPr>
        <w:t xml:space="preserve">Desarrollar programas conjuntos de formación, en articulación con los Programas Oficiales de Formación ODYRA.</w:t>
      </w:r>
    </w:p>
    <w:p>
      <w:pPr>
        <w:pStyle w:val="ListParagraph"/>
        <w:numPr>
          <w:ilvl w:val="0"/>
          <w:numId w:val="1"/>
        </w:numPr>
        <w:spacing w:after="80"/>
        <w:jc w:val="both"/>
      </w:pPr>
      <w:r>
        <w:rPr>
          <w:rFonts w:ascii="Cambria" w:cs="Cambria" w:eastAsia="Cambria" w:hAnsi="Cambria"/>
          <w:color w:val="000000"/>
          <w:sz w:val="23"/>
          <w:szCs w:val="23"/>
        </w:rPr>
        <w:t xml:space="preserve">Promover la innovación mediante la colaboración con centros y laboratorios externos al Sistema.</w:t>
      </w:r>
    </w:p>
    <w:p>
      <w:pPr>
        <w:pStyle w:val="ListParagraph"/>
        <w:numPr>
          <w:ilvl w:val="0"/>
          <w:numId w:val="1"/>
        </w:numPr>
        <w:spacing w:after="80"/>
        <w:jc w:val="both"/>
      </w:pPr>
      <w:r>
        <w:rPr>
          <w:rFonts w:ascii="Cambria" w:cs="Cambria" w:eastAsia="Cambria" w:hAnsi="Cambria"/>
          <w:color w:val="000000"/>
          <w:sz w:val="23"/>
          <w:szCs w:val="23"/>
        </w:rPr>
        <w:t xml:space="preserve">Facilitar la transferencia de conocimiento entre la Escuela y sus instituciones aliadas.</w:t>
      </w:r>
    </w:p>
    <w:p>
      <w:pPr>
        <w:pStyle w:val="ListParagraph"/>
        <w:numPr>
          <w:ilvl w:val="0"/>
          <w:numId w:val="1"/>
        </w:numPr>
        <w:spacing w:after="80"/>
        <w:jc w:val="both"/>
      </w:pPr>
      <w:r>
        <w:rPr>
          <w:rFonts w:ascii="Cambria" w:cs="Cambria" w:eastAsia="Cambria" w:hAnsi="Cambria"/>
          <w:color w:val="000000"/>
          <w:sz w:val="23"/>
          <w:szCs w:val="23"/>
        </w:rPr>
        <w:t xml:space="preserve">Internacionalizar el Sistema ODYRA, ampliando su presencia más allá de su origen.</w:t>
      </w:r>
    </w:p>
    <w:p>
      <w:pPr>
        <w:pStyle w:val="ListParagraph"/>
        <w:numPr>
          <w:ilvl w:val="0"/>
          <w:numId w:val="1"/>
        </w:numPr>
        <w:spacing w:after="80"/>
        <w:jc w:val="both"/>
      </w:pPr>
      <w:r>
        <w:rPr>
          <w:rFonts w:ascii="Cambria" w:cs="Cambria" w:eastAsia="Cambria" w:hAnsi="Cambria"/>
          <w:color w:val="000000"/>
          <w:sz w:val="23"/>
          <w:szCs w:val="23"/>
        </w:rPr>
        <w:t xml:space="preserve">Crear redes de cooperación científica y profesional que multipliquen el impacto del conocimiento generado.</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ECOSISTEMA DE INSTITUCIONES ALIADAS</w:t>
      </w:r>
    </w:p>
    <w:p>
      <w:pPr>
        <w:spacing w:after="160" w:line="300"/>
        <w:jc w:val="both"/>
      </w:pPr>
      <w:r>
        <w:rPr>
          <w:rFonts w:ascii="Cambria" w:cs="Cambria" w:eastAsia="Cambria" w:hAnsi="Cambria"/>
          <w:color w:val="000000"/>
          <w:sz w:val="24"/>
          <w:szCs w:val="24"/>
        </w:rPr>
        <w:t xml:space="preserve">El Programa reconoce ocho categorías de instituciones aliadas, cada una con un propósito de cooperación específico.</w:t>
      </w:r>
    </w:p>
    <w:p>
      <w:pPr>
        <w:spacing w:after="160" w:line="300"/>
        <w:jc w:val="both"/>
      </w:pPr>
      <w:r>
        <w:rPr>
          <w:rFonts w:ascii="Cambria" w:cs="Cambria" w:eastAsia="Cambria" w:hAnsi="Cambria"/>
          <w:b/>
          <w:bCs/>
          <w:color w:val="000000"/>
          <w:sz w:val="24"/>
          <w:szCs w:val="24"/>
        </w:rPr>
        <w:t xml:space="preserve">1. Universidades.</w:t>
      </w:r>
      <w:r>
        <w:rPr>
          <w:rFonts w:ascii="Cambria" w:cs="Cambria" w:eastAsia="Cambria" w:hAnsi="Cambria"/>
          <w:color w:val="000000"/>
          <w:sz w:val="24"/>
          <w:szCs w:val="24"/>
        </w:rPr>
        <w:t xml:space="preserve"> Alianzas con universidades nacionales e internacionales para diplomados, especializaciones, maestrías, doctorados, educación continua, investigación, publicaciones conjuntas, semilleros de investigación, dirección de trabajos de grado, prácticas académicas y pasantías.</w:t>
      </w:r>
    </w:p>
    <w:p>
      <w:pPr>
        <w:spacing w:after="160" w:line="300"/>
        <w:jc w:val="both"/>
      </w:pPr>
      <w:r>
        <w:rPr>
          <w:rFonts w:ascii="Cambria" w:cs="Cambria" w:eastAsia="Cambria" w:hAnsi="Cambria"/>
          <w:b/>
          <w:bCs/>
          <w:color w:val="000000"/>
          <w:sz w:val="24"/>
          <w:szCs w:val="24"/>
        </w:rPr>
        <w:t xml:space="preserve">2. Instituciones de Educación Superior.</w:t>
      </w:r>
      <w:r>
        <w:rPr>
          <w:rFonts w:ascii="Cambria" w:cs="Cambria" w:eastAsia="Cambria" w:hAnsi="Cambria"/>
          <w:color w:val="000000"/>
          <w:sz w:val="24"/>
          <w:szCs w:val="24"/>
        </w:rPr>
        <w:t xml:space="preserve"> Instituciones universitarias, escuelas tecnológicas, instituciones técnicas y tecnológicas, y centros de formación especializada, con las que se desarrollan alianzas de menor alcance académico pero igual rigor institucional que con las universidades.</w:t>
      </w:r>
    </w:p>
    <w:p>
      <w:pPr>
        <w:spacing w:after="160" w:line="300"/>
        <w:jc w:val="both"/>
      </w:pPr>
      <w:r>
        <w:rPr>
          <w:rFonts w:ascii="Cambria" w:cs="Cambria" w:eastAsia="Cambria" w:hAnsi="Cambria"/>
          <w:b/>
          <w:bCs/>
          <w:color w:val="000000"/>
          <w:sz w:val="24"/>
          <w:szCs w:val="24"/>
        </w:rPr>
        <w:t xml:space="preserve">3. Centros de Investigación.</w:t>
      </w:r>
      <w:r>
        <w:rPr>
          <w:rFonts w:ascii="Cambria" w:cs="Cambria" w:eastAsia="Cambria" w:hAnsi="Cambria"/>
          <w:color w:val="000000"/>
          <w:sz w:val="24"/>
          <w:szCs w:val="24"/>
        </w:rPr>
        <w:t xml:space="preserve"> Convenios para investigación aplicada, laboratorios conjuntos, innovación, prospectiva, inteligencia artificial y desarrollo territorial, en articulación directa con los laboratorios establecidos en Investigaciones Aplicadas ODYRA.</w:t>
      </w:r>
    </w:p>
    <w:p>
      <w:pPr>
        <w:spacing w:after="160" w:line="300"/>
        <w:jc w:val="both"/>
      </w:pPr>
      <w:r>
        <w:rPr>
          <w:rFonts w:ascii="Cambria" w:cs="Cambria" w:eastAsia="Cambria" w:hAnsi="Cambria"/>
          <w:b/>
          <w:bCs/>
          <w:color w:val="000000"/>
          <w:sz w:val="24"/>
          <w:szCs w:val="24"/>
        </w:rPr>
        <w:t xml:space="preserve">4. Escuelas de Gobierno.</w:t>
      </w:r>
      <w:r>
        <w:rPr>
          <w:rFonts w:ascii="Cambria" w:cs="Cambria" w:eastAsia="Cambria" w:hAnsi="Cambria"/>
          <w:color w:val="000000"/>
          <w:sz w:val="24"/>
          <w:szCs w:val="24"/>
        </w:rPr>
        <w:t xml:space="preserve"> Cooperación para gestión pública, gobernanza, planeación, proyectos, asociatividad y fortalecimiento institucional, dado el origen del Sistema ODYRA en el acompañamiento a entidades públicas.</w:t>
      </w:r>
    </w:p>
    <w:p>
      <w:pPr>
        <w:spacing w:after="160" w:line="300"/>
        <w:jc w:val="both"/>
      </w:pPr>
      <w:r>
        <w:rPr>
          <w:rFonts w:ascii="Cambria" w:cs="Cambria" w:eastAsia="Cambria" w:hAnsi="Cambria"/>
          <w:b/>
          <w:bCs/>
          <w:color w:val="000000"/>
          <w:sz w:val="24"/>
          <w:szCs w:val="24"/>
        </w:rPr>
        <w:t xml:space="preserve">5. Entidades Públicas.</w:t>
      </w:r>
      <w:r>
        <w:rPr>
          <w:rFonts w:ascii="Cambria" w:cs="Cambria" w:eastAsia="Cambria" w:hAnsi="Cambria"/>
          <w:color w:val="000000"/>
          <w:sz w:val="24"/>
          <w:szCs w:val="24"/>
        </w:rPr>
        <w:t xml:space="preserve"> Alianzas con ministerios, gobernaciones, alcaldías, corporaciones autónomas, empresas industriales y comerciales del Estado, agencias estatales y entidades descentralizadas.</w:t>
      </w:r>
    </w:p>
    <w:p>
      <w:pPr>
        <w:spacing w:after="160" w:line="300"/>
        <w:jc w:val="both"/>
      </w:pPr>
      <w:r>
        <w:rPr>
          <w:rFonts w:ascii="Cambria" w:cs="Cambria" w:eastAsia="Cambria" w:hAnsi="Cambria"/>
          <w:b/>
          <w:bCs/>
          <w:color w:val="000000"/>
          <w:sz w:val="24"/>
          <w:szCs w:val="24"/>
        </w:rPr>
        <w:t xml:space="preserve">6. Organizaciones del Sector Privado.</w:t>
      </w:r>
      <w:r>
        <w:rPr>
          <w:rFonts w:ascii="Cambria" w:cs="Cambria" w:eastAsia="Cambria" w:hAnsi="Cambria"/>
          <w:color w:val="000000"/>
          <w:sz w:val="24"/>
          <w:szCs w:val="24"/>
        </w:rPr>
        <w:t xml:space="preserve"> Convenios para innovación, consultoría, transformación organizacional, IA aplicada, gestión estratégica y formación empresarial.</w:t>
      </w:r>
    </w:p>
    <w:p>
      <w:pPr>
        <w:spacing w:after="160" w:line="300"/>
        <w:jc w:val="both"/>
      </w:pPr>
      <w:r>
        <w:rPr>
          <w:rFonts w:ascii="Cambria" w:cs="Cambria" w:eastAsia="Cambria" w:hAnsi="Cambria"/>
          <w:b/>
          <w:bCs/>
          <w:color w:val="000000"/>
          <w:sz w:val="24"/>
          <w:szCs w:val="24"/>
        </w:rPr>
        <w:t xml:space="preserve">7. Organizaciones Sociales.</w:t>
      </w:r>
      <w:r>
        <w:rPr>
          <w:rFonts w:ascii="Cambria" w:cs="Cambria" w:eastAsia="Cambria" w:hAnsi="Cambria"/>
          <w:color w:val="000000"/>
          <w:sz w:val="24"/>
          <w:szCs w:val="24"/>
        </w:rPr>
        <w:t xml:space="preserve"> Fundaciones, ONG, cooperativas, asociaciones, federaciones y redes comunitarias, reflejando la experiencia de la Escuela en asociatividad y desarrollo territorial.</w:t>
      </w:r>
    </w:p>
    <w:p>
      <w:pPr>
        <w:spacing w:after="160" w:line="300"/>
        <w:jc w:val="both"/>
      </w:pPr>
      <w:r>
        <w:rPr>
          <w:rFonts w:ascii="Cambria" w:cs="Cambria" w:eastAsia="Cambria" w:hAnsi="Cambria"/>
          <w:b/>
          <w:bCs/>
          <w:color w:val="000000"/>
          <w:sz w:val="24"/>
          <w:szCs w:val="24"/>
        </w:rPr>
        <w:t xml:space="preserve">8. Organismos Internacionales.</w:t>
      </w:r>
      <w:r>
        <w:rPr>
          <w:rFonts w:ascii="Cambria" w:cs="Cambria" w:eastAsia="Cambria" w:hAnsi="Cambria"/>
          <w:color w:val="000000"/>
          <w:sz w:val="24"/>
          <w:szCs w:val="24"/>
        </w:rPr>
        <w:t xml:space="preserve"> Relaciones con organismos como Naciones Unidas, el Banco Mundial, el BID, la CAF, la CEPAL, el PNUD, la FAO, la OEA, la Unión Europea y agencias de cooperación internacional.</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MODALIDADES DE COOPERACIÓN</w:t>
      </w:r>
    </w:p>
    <w:p>
      <w:pPr>
        <w:spacing w:after="160" w:line="300"/>
        <w:jc w:val="both"/>
      </w:pPr>
      <w:r>
        <w:rPr>
          <w:rFonts w:ascii="Cambria" w:cs="Cambria" w:eastAsia="Cambria" w:hAnsi="Cambria"/>
          <w:color w:val="000000"/>
          <w:sz w:val="24"/>
          <w:szCs w:val="24"/>
        </w:rPr>
        <w:t xml:space="preserve">La cooperación entre la Escuela de Pensamiento ODYRA y sus instituciones aliadas podrá desarrollarse mediante:</w:t>
      </w:r>
    </w:p>
    <w:p>
      <w:pPr>
        <w:pStyle w:val="ListParagraph"/>
        <w:numPr>
          <w:ilvl w:val="0"/>
          <w:numId w:val="1"/>
        </w:numPr>
        <w:spacing w:after="80"/>
        <w:jc w:val="both"/>
      </w:pPr>
      <w:r>
        <w:rPr>
          <w:rFonts w:ascii="Cambria" w:cs="Cambria" w:eastAsia="Cambria" w:hAnsi="Cambria"/>
          <w:color w:val="000000"/>
          <w:sz w:val="23"/>
          <w:szCs w:val="23"/>
        </w:rPr>
        <w:t xml:space="preserve">Convenios Marco y Convenios Específicos.</w:t>
      </w:r>
    </w:p>
    <w:p>
      <w:pPr>
        <w:pStyle w:val="ListParagraph"/>
        <w:numPr>
          <w:ilvl w:val="0"/>
          <w:numId w:val="1"/>
        </w:numPr>
        <w:spacing w:after="80"/>
        <w:jc w:val="both"/>
      </w:pPr>
      <w:r>
        <w:rPr>
          <w:rFonts w:ascii="Cambria" w:cs="Cambria" w:eastAsia="Cambria" w:hAnsi="Cambria"/>
          <w:color w:val="000000"/>
          <w:sz w:val="23"/>
          <w:szCs w:val="23"/>
        </w:rPr>
        <w:t xml:space="preserve">Memorandos de Entendimiento.</w:t>
      </w:r>
    </w:p>
    <w:p>
      <w:pPr>
        <w:pStyle w:val="ListParagraph"/>
        <w:numPr>
          <w:ilvl w:val="0"/>
          <w:numId w:val="1"/>
        </w:numPr>
        <w:spacing w:after="80"/>
        <w:jc w:val="both"/>
      </w:pPr>
      <w:r>
        <w:rPr>
          <w:rFonts w:ascii="Cambria" w:cs="Cambria" w:eastAsia="Cambria" w:hAnsi="Cambria"/>
          <w:color w:val="000000"/>
          <w:sz w:val="23"/>
          <w:szCs w:val="23"/>
        </w:rPr>
        <w:t xml:space="preserve">Alianzas Estratégicas de mayor alcance e integralidad.</w:t>
      </w:r>
    </w:p>
    <w:p>
      <w:pPr>
        <w:pStyle w:val="ListParagraph"/>
        <w:numPr>
          <w:ilvl w:val="0"/>
          <w:numId w:val="1"/>
        </w:numPr>
        <w:spacing w:after="80"/>
        <w:jc w:val="both"/>
      </w:pPr>
      <w:r>
        <w:rPr>
          <w:rFonts w:ascii="Cambria" w:cs="Cambria" w:eastAsia="Cambria" w:hAnsi="Cambria"/>
          <w:color w:val="000000"/>
          <w:sz w:val="23"/>
          <w:szCs w:val="23"/>
        </w:rPr>
        <w:t xml:space="preserve">Redes Académicas, de Investigación y de Innovación.</w:t>
      </w:r>
    </w:p>
    <w:p>
      <w:pPr>
        <w:pStyle w:val="ListParagraph"/>
        <w:numPr>
          <w:ilvl w:val="0"/>
          <w:numId w:val="1"/>
        </w:numPr>
        <w:spacing w:after="80"/>
        <w:jc w:val="both"/>
      </w:pPr>
      <w:r>
        <w:rPr>
          <w:rFonts w:ascii="Cambria" w:cs="Cambria" w:eastAsia="Cambria" w:hAnsi="Cambria"/>
          <w:color w:val="000000"/>
          <w:sz w:val="23"/>
          <w:szCs w:val="23"/>
        </w:rPr>
        <w:t xml:space="preserve">Proyectos conjuntos y publicaciones compartidas, conforme al Programa Oficial de Publicaciones Académicas ODYRA.</w:t>
      </w:r>
    </w:p>
    <w:p>
      <w:pPr>
        <w:pStyle w:val="ListParagraph"/>
        <w:numPr>
          <w:ilvl w:val="0"/>
          <w:numId w:val="1"/>
        </w:numPr>
        <w:spacing w:after="80"/>
        <w:jc w:val="both"/>
      </w:pPr>
      <w:r>
        <w:rPr>
          <w:rFonts w:ascii="Cambria" w:cs="Cambria" w:eastAsia="Cambria" w:hAnsi="Cambria"/>
          <w:color w:val="000000"/>
          <w:sz w:val="23"/>
          <w:szCs w:val="23"/>
        </w:rPr>
        <w:t xml:space="preserve">Intercambio de investigadores y docentes, y movilidad académica.</w:t>
      </w:r>
    </w:p>
    <w:p>
      <w:pPr>
        <w:pStyle w:val="ListParagraph"/>
        <w:numPr>
          <w:ilvl w:val="0"/>
          <w:numId w:val="1"/>
        </w:numPr>
        <w:spacing w:after="80"/>
        <w:jc w:val="both"/>
      </w:pPr>
      <w:r>
        <w:rPr>
          <w:rFonts w:ascii="Cambria" w:cs="Cambria" w:eastAsia="Cambria" w:hAnsi="Cambria"/>
          <w:color w:val="000000"/>
          <w:sz w:val="23"/>
          <w:szCs w:val="23"/>
        </w:rPr>
        <w:t xml:space="preserve">Eventos científicos y misiones internacionales.</w:t>
      </w:r>
    </w:p>
    <w:p>
      <w:pPr>
        <w:spacing w:after="160" w:line="300"/>
        <w:jc w:val="both"/>
      </w:pPr>
      <w:r>
        <w:rPr>
          <w:rFonts w:ascii="Cambria" w:cs="Cambria" w:eastAsia="Cambria" w:hAnsi="Cambria"/>
          <w:color w:val="000000"/>
          <w:sz w:val="24"/>
          <w:szCs w:val="24"/>
        </w:rPr>
        <w:t xml:space="preserve">La modalidad específica se define conforme a la naturaleza, el alcance y la duración prevista de cada relación de cooperación, siguiendo los criterios de aprobación establecidos en la Parte VIII de este documento.</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LÍNEAS PRIORITARIAS DE COOPERACIÓN</w:t>
      </w:r>
    </w:p>
    <w:p>
      <w:pPr>
        <w:spacing w:after="160" w:line="300"/>
        <w:jc w:val="both"/>
      </w:pPr>
      <w:r>
        <w:rPr>
          <w:rFonts w:ascii="Cambria" w:cs="Cambria" w:eastAsia="Cambria" w:hAnsi="Cambria"/>
          <w:color w:val="000000"/>
          <w:sz w:val="24"/>
          <w:szCs w:val="24"/>
        </w:rPr>
        <w:t xml:space="preserve">Las alianzas se orientarán especialmente a los campos que ya constituyen el núcleo de conocimiento del Sistema ODYRA: consultoría estratégica, inteligencia aplicada, inteligencia artificial, gestión del conocimiento, gestión de proyectos, asociatividad, desarrollo territorial, innovación pública, transformación organizacional, gobernanza, liderazgo, prospectiva, planeación estratégica, gestión del cambio y fortalecimiento institucional.</w:t>
      </w:r>
    </w:p>
    <w:p>
      <w:pPr>
        <w:spacing w:after="160" w:line="300"/>
        <w:jc w:val="both"/>
      </w:pPr>
      <w:r>
        <w:rPr>
          <w:rFonts w:ascii="Cambria" w:cs="Cambria" w:eastAsia="Cambria" w:hAnsi="Cambria"/>
          <w:color w:val="000000"/>
          <w:sz w:val="24"/>
          <w:szCs w:val="24"/>
        </w:rPr>
        <w:t xml:space="preserve">Estas líneas corresponden directamente a las ocho Escuelas Académicas establecidas en los Programas Oficiales de Formación ODYRA y a las nueve líneas de investigación establecidas en Investigaciones Aplicadas ODYRA, garantizando que toda alianza fortalezca un campo ya reconocido del Sistema y no disperse sus esfuerzos en direcciones ajenas a su identidad.</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RED ACADÉMICA INTERNACIONAL ODYRA</w:t>
      </w:r>
    </w:p>
    <w:p>
      <w:pPr>
        <w:spacing w:after="160" w:line="300"/>
        <w:jc w:val="both"/>
      </w:pPr>
      <w:r>
        <w:rPr>
          <w:rFonts w:ascii="Cambria" w:cs="Cambria" w:eastAsia="Cambria" w:hAnsi="Cambria"/>
          <w:color w:val="000000"/>
          <w:sz w:val="24"/>
          <w:szCs w:val="24"/>
        </w:rPr>
        <w:t xml:space="preserve">Como visión de largo plazo, la Escuela impulsará la creación de la </w:t>
      </w:r>
      <w:r>
        <w:rPr>
          <w:rFonts w:ascii="Cambria" w:cs="Cambria" w:eastAsia="Cambria" w:hAnsi="Cambria"/>
          <w:b/>
          <w:bCs/>
          <w:color w:val="000000"/>
          <w:sz w:val="24"/>
          <w:szCs w:val="24"/>
        </w:rPr>
        <w:t xml:space="preserve">Red Académica Internacional ODYRA</w:t>
      </w:r>
      <w:r>
        <w:rPr>
          <w:rFonts w:ascii="Cambria" w:cs="Cambria" w:eastAsia="Cambria" w:hAnsi="Cambria"/>
          <w:color w:val="000000"/>
          <w:sz w:val="24"/>
          <w:szCs w:val="24"/>
        </w:rPr>
        <w:t xml:space="preserve">, integrada por universidades, centros de investigación y demás instituciones aliadas descritas en la Parte II, interesadas en desarrollar conocimiento sobre consultoría estratégica e inteligencia aplicada.</w:t>
      </w:r>
    </w:p>
    <w:p>
      <w:pPr>
        <w:spacing w:after="160" w:line="300"/>
        <w:jc w:val="both"/>
      </w:pPr>
      <w:r>
        <w:rPr>
          <w:rFonts w:ascii="Cambria" w:cs="Cambria" w:eastAsia="Cambria" w:hAnsi="Cambria"/>
          <w:color w:val="000000"/>
          <w:sz w:val="24"/>
          <w:szCs w:val="24"/>
        </w:rPr>
        <w:t xml:space="preserve">Esta red facilitará la ejecución de proyectos colaborativos, publicaciones conjuntas, intercambios académicos y espacios permanentes de diálogo entre la academia y la práctica profesional. A diferencia de la Comunidad Internacional de Práctica ODYRA —que agrupa a consultores, investigadores y estudiantes como miembros individuales del Sistema—, la Red Académica Internacional agrupa a las instituciones mismas como sujetos de cooperación, y ambas redes se articulan y complementan: las personas de la Comunidad son, con frecuencia, quienes materializan en la práctica los convenios suscritos con las instituciones de la Red.</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BENEFICIOS PARA LAS INSTITUCIONES ALIADAS</w:t>
      </w:r>
    </w:p>
    <w:p>
      <w:pPr>
        <w:spacing w:after="160" w:line="300"/>
        <w:jc w:val="both"/>
      </w:pPr>
      <w:r>
        <w:rPr>
          <w:rFonts w:ascii="Cambria" w:cs="Cambria" w:eastAsia="Cambria" w:hAnsi="Cambria"/>
          <w:color w:val="000000"/>
          <w:sz w:val="24"/>
          <w:szCs w:val="24"/>
        </w:rPr>
        <w:t xml:space="preserve">Las organizaciones vinculadas al Programa podrán participar en:</w:t>
      </w:r>
    </w:p>
    <w:p>
      <w:pPr>
        <w:pStyle w:val="ListParagraph"/>
        <w:numPr>
          <w:ilvl w:val="0"/>
          <w:numId w:val="1"/>
        </w:numPr>
        <w:spacing w:after="80"/>
        <w:jc w:val="both"/>
      </w:pPr>
      <w:r>
        <w:rPr>
          <w:rFonts w:ascii="Cambria" w:cs="Cambria" w:eastAsia="Cambria" w:hAnsi="Cambria"/>
          <w:color w:val="000000"/>
          <w:sz w:val="23"/>
          <w:szCs w:val="23"/>
        </w:rPr>
        <w:t xml:space="preserve">Los cinco niveles del </w:t>
      </w:r>
      <w:r>
        <w:rPr>
          <w:rFonts w:ascii="Cambria" w:cs="Cambria" w:eastAsia="Cambria" w:hAnsi="Cambria"/>
          <w:b/>
          <w:bCs/>
          <w:color w:val="000000"/>
          <w:sz w:val="23"/>
          <w:szCs w:val="23"/>
        </w:rPr>
        <w:t xml:space="preserve">Sistema Oficial de Certificación ODYRA</w:t>
      </w:r>
      <w:r>
        <w:rPr>
          <w:rFonts w:ascii="Cambria" w:cs="Cambria" w:eastAsia="Cambria" w:hAnsi="Cambria"/>
          <w:color w:val="000000"/>
          <w:sz w:val="23"/>
          <w:szCs w:val="23"/>
        </w:rPr>
        <w:t xml:space="preserve">, formando o certificando a sus propios equipos.</w:t>
      </w:r>
    </w:p>
    <w:p>
      <w:pPr>
        <w:pStyle w:val="ListParagraph"/>
        <w:numPr>
          <w:ilvl w:val="0"/>
          <w:numId w:val="1"/>
        </w:numPr>
        <w:spacing w:after="80"/>
        <w:jc w:val="both"/>
      </w:pPr>
      <w:r>
        <w:rPr>
          <w:rFonts w:ascii="Cambria" w:cs="Cambria" w:eastAsia="Cambria" w:hAnsi="Cambria"/>
          <w:color w:val="000000"/>
          <w:sz w:val="23"/>
          <w:szCs w:val="23"/>
        </w:rPr>
        <w:t xml:space="preserve">Los laboratorios especializados establecidos en </w:t>
      </w:r>
      <w:r>
        <w:rPr>
          <w:rFonts w:ascii="Cambria" w:cs="Cambria" w:eastAsia="Cambria" w:hAnsi="Cambria"/>
          <w:b/>
          <w:bCs/>
          <w:color w:val="000000"/>
          <w:sz w:val="23"/>
          <w:szCs w:val="23"/>
        </w:rPr>
        <w:t xml:space="preserve">Investigaciones Aplicadas ODYRA</w:t>
      </w:r>
      <w:r>
        <w:rPr>
          <w:rFonts w:ascii="Cambria" w:cs="Cambria" w:eastAsia="Cambria" w:hAnsi="Cambria"/>
          <w:color w:val="000000"/>
          <w:sz w:val="23"/>
          <w:szCs w:val="23"/>
        </w:rPr>
        <w:t xml:space="preserve">.</w:t>
      </w:r>
    </w:p>
    <w:p>
      <w:pPr>
        <w:pStyle w:val="ListParagraph"/>
        <w:numPr>
          <w:ilvl w:val="0"/>
          <w:numId w:val="1"/>
        </w:numPr>
        <w:spacing w:after="80"/>
        <w:jc w:val="both"/>
      </w:pPr>
      <w:r>
        <w:rPr>
          <w:rFonts w:ascii="Cambria" w:cs="Cambria" w:eastAsia="Cambria" w:hAnsi="Cambria"/>
          <w:color w:val="000000"/>
          <w:sz w:val="23"/>
          <w:szCs w:val="23"/>
        </w:rPr>
        <w:t xml:space="preserve">Investigaciones aplicadas conjuntas y publicaciones académicas compartidas, conforme al </w:t>
      </w:r>
      <w:r>
        <w:rPr>
          <w:rFonts w:ascii="Cambria" w:cs="Cambria" w:eastAsia="Cambria" w:hAnsi="Cambria"/>
          <w:b/>
          <w:bCs/>
          <w:color w:val="000000"/>
          <w:sz w:val="23"/>
          <w:szCs w:val="23"/>
        </w:rPr>
        <w:t xml:space="preserve">Programa Oficial de Publicaciones Académicas ODYRA</w:t>
      </w:r>
      <w:r>
        <w:rPr>
          <w:rFonts w:ascii="Cambria" w:cs="Cambria" w:eastAsia="Cambria" w:hAnsi="Cambria"/>
          <w:color w:val="000000"/>
          <w:sz w:val="23"/>
          <w:szCs w:val="23"/>
        </w:rPr>
        <w:t xml:space="preserve">.</w:t>
      </w:r>
    </w:p>
    <w:p>
      <w:pPr>
        <w:pStyle w:val="ListParagraph"/>
        <w:numPr>
          <w:ilvl w:val="0"/>
          <w:numId w:val="1"/>
        </w:numPr>
        <w:spacing w:after="80"/>
        <w:jc w:val="both"/>
      </w:pPr>
      <w:r>
        <w:rPr>
          <w:rFonts w:ascii="Cambria" w:cs="Cambria" w:eastAsia="Cambria" w:hAnsi="Cambria"/>
          <w:color w:val="000000"/>
          <w:sz w:val="23"/>
          <w:szCs w:val="23"/>
        </w:rPr>
        <w:t xml:space="preserve">Desarrollo metodológico conjunto, conforme al </w:t>
      </w:r>
      <w:r>
        <w:rPr>
          <w:rFonts w:ascii="Cambria" w:cs="Cambria" w:eastAsia="Cambria" w:hAnsi="Cambria"/>
          <w:b/>
          <w:bCs/>
          <w:color w:val="000000"/>
          <w:sz w:val="23"/>
          <w:szCs w:val="23"/>
        </w:rPr>
        <w:t xml:space="preserve">Manual de Modelos ODYRA</w:t>
      </w:r>
      <w:r>
        <w:rPr>
          <w:rFonts w:ascii="Cambria" w:cs="Cambria" w:eastAsia="Cambria" w:hAnsi="Cambria"/>
          <w:color w:val="000000"/>
          <w:sz w:val="23"/>
          <w:szCs w:val="23"/>
        </w:rPr>
        <w:t xml:space="preserve"> y al </w:t>
      </w:r>
      <w:r>
        <w:rPr>
          <w:rFonts w:ascii="Cambria" w:cs="Cambria" w:eastAsia="Cambria" w:hAnsi="Cambria"/>
          <w:b/>
          <w:bCs/>
          <w:color w:val="000000"/>
          <w:sz w:val="23"/>
          <w:szCs w:val="23"/>
        </w:rPr>
        <w:t xml:space="preserve">Marco Metodológico ODYRA</w:t>
      </w:r>
      <w:r>
        <w:rPr>
          <w:rFonts w:ascii="Cambria" w:cs="Cambria" w:eastAsia="Cambria" w:hAnsi="Cambria"/>
          <w:color w:val="000000"/>
          <w:sz w:val="23"/>
          <w:szCs w:val="23"/>
        </w:rPr>
        <w:t xml:space="preserve">.</w:t>
      </w:r>
    </w:p>
    <w:p>
      <w:pPr>
        <w:pStyle w:val="ListParagraph"/>
        <w:numPr>
          <w:ilvl w:val="0"/>
          <w:numId w:val="1"/>
        </w:numPr>
        <w:spacing w:after="80"/>
        <w:jc w:val="both"/>
      </w:pPr>
      <w:r>
        <w:rPr>
          <w:rFonts w:ascii="Cambria" w:cs="Cambria" w:eastAsia="Cambria" w:hAnsi="Cambria"/>
          <w:color w:val="000000"/>
          <w:sz w:val="23"/>
          <w:szCs w:val="23"/>
        </w:rPr>
        <w:t xml:space="preserve">Formación especializada a través de los </w:t>
      </w:r>
      <w:r>
        <w:rPr>
          <w:rFonts w:ascii="Cambria" w:cs="Cambria" w:eastAsia="Cambria" w:hAnsi="Cambria"/>
          <w:b/>
          <w:bCs/>
          <w:color w:val="000000"/>
          <w:sz w:val="23"/>
          <w:szCs w:val="23"/>
        </w:rPr>
        <w:t xml:space="preserve">Programas Oficiales de Formación ODYRA</w:t>
      </w:r>
      <w:r>
        <w:rPr>
          <w:rFonts w:ascii="Cambria" w:cs="Cambria" w:eastAsia="Cambria" w:hAnsi="Cambria"/>
          <w:color w:val="000000"/>
          <w:sz w:val="23"/>
          <w:szCs w:val="23"/>
        </w:rPr>
        <w:t xml:space="preserve">.</w:t>
      </w:r>
    </w:p>
    <w:p>
      <w:pPr>
        <w:pStyle w:val="ListParagraph"/>
        <w:numPr>
          <w:ilvl w:val="0"/>
          <w:numId w:val="1"/>
        </w:numPr>
        <w:spacing w:after="80"/>
        <w:jc w:val="both"/>
      </w:pPr>
      <w:r>
        <w:rPr>
          <w:rFonts w:ascii="Cambria" w:cs="Cambria" w:eastAsia="Cambria" w:hAnsi="Cambria"/>
          <w:color w:val="000000"/>
          <w:sz w:val="23"/>
          <w:szCs w:val="23"/>
        </w:rPr>
        <w:t xml:space="preserve">Los informes y hallazgos del </w:t>
      </w:r>
      <w:r>
        <w:rPr>
          <w:rFonts w:ascii="Cambria" w:cs="Cambria" w:eastAsia="Cambria" w:hAnsi="Cambria"/>
          <w:b/>
          <w:bCs/>
          <w:color w:val="000000"/>
          <w:sz w:val="23"/>
          <w:szCs w:val="23"/>
        </w:rPr>
        <w:t xml:space="preserve">Observatorio Internacional ODYRA</w:t>
      </w:r>
      <w:r>
        <w:rPr>
          <w:rFonts w:ascii="Cambria" w:cs="Cambria" w:eastAsia="Cambria" w:hAnsi="Cambria"/>
          <w:color w:val="000000"/>
          <w:sz w:val="23"/>
          <w:szCs w:val="23"/>
        </w:rPr>
        <w:t xml:space="preserve">.</w:t>
      </w:r>
    </w:p>
    <w:p>
      <w:pPr>
        <w:pStyle w:val="ListParagraph"/>
        <w:numPr>
          <w:ilvl w:val="0"/>
          <w:numId w:val="1"/>
        </w:numPr>
        <w:spacing w:after="80"/>
        <w:jc w:val="both"/>
      </w:pPr>
      <w:r>
        <w:rPr>
          <w:rFonts w:ascii="Cambria" w:cs="Cambria" w:eastAsia="Cambria" w:hAnsi="Cambria"/>
          <w:color w:val="000000"/>
          <w:sz w:val="23"/>
          <w:szCs w:val="23"/>
        </w:rPr>
        <w:t xml:space="preserve">La </w:t>
      </w:r>
      <w:r>
        <w:rPr>
          <w:rFonts w:ascii="Cambria" w:cs="Cambria" w:eastAsia="Cambria" w:hAnsi="Cambria"/>
          <w:b/>
          <w:bCs/>
          <w:color w:val="000000"/>
          <w:sz w:val="23"/>
          <w:szCs w:val="23"/>
        </w:rPr>
        <w:t xml:space="preserve">Comunidad Internacional de Práctica ODYRA</w:t>
      </w:r>
      <w:r>
        <w:rPr>
          <w:rFonts w:ascii="Cambria" w:cs="Cambria" w:eastAsia="Cambria" w:hAnsi="Cambria"/>
          <w:color w:val="000000"/>
          <w:sz w:val="23"/>
          <w:szCs w:val="23"/>
        </w:rPr>
        <w:t xml:space="preserve">, con acceso a sus capítulos, eventos y espacios de colaboración.</w:t>
      </w:r>
    </w:p>
    <w:p>
      <w:pPr>
        <w:pStyle w:val="ListParagraph"/>
        <w:numPr>
          <w:ilvl w:val="0"/>
          <w:numId w:val="1"/>
        </w:numPr>
        <w:spacing w:after="80"/>
        <w:jc w:val="both"/>
      </w:pPr>
      <w:r>
        <w:rPr>
          <w:rFonts w:ascii="Cambria" w:cs="Cambria" w:eastAsia="Cambria" w:hAnsi="Cambria"/>
          <w:color w:val="000000"/>
          <w:sz w:val="23"/>
          <w:szCs w:val="23"/>
        </w:rPr>
        <w:t xml:space="preserve">La </w:t>
      </w:r>
      <w:r>
        <w:rPr>
          <w:rFonts w:ascii="Cambria" w:cs="Cambria" w:eastAsia="Cambria" w:hAnsi="Cambria"/>
          <w:b/>
          <w:bCs/>
          <w:color w:val="000000"/>
          <w:sz w:val="23"/>
          <w:szCs w:val="23"/>
        </w:rPr>
        <w:t xml:space="preserve">Biblioteca Viva del Conocimiento ODYRA</w:t>
      </w:r>
      <w:r>
        <w:rPr>
          <w:rFonts w:ascii="Cambria" w:cs="Cambria" w:eastAsia="Cambria" w:hAnsi="Cambria"/>
          <w:color w:val="000000"/>
          <w:sz w:val="23"/>
          <w:szCs w:val="23"/>
        </w:rPr>
        <w:t xml:space="preserve">, como repositorio central del Sistema.</w:t>
      </w:r>
    </w:p>
    <w:p>
      <w:pPr>
        <w:pStyle w:val="ListParagraph"/>
        <w:numPr>
          <w:ilvl w:val="0"/>
          <w:numId w:val="1"/>
        </w:numPr>
        <w:spacing w:after="80"/>
        <w:jc w:val="both"/>
      </w:pPr>
      <w:r>
        <w:rPr>
          <w:rFonts w:ascii="Cambria" w:cs="Cambria" w:eastAsia="Cambria" w:hAnsi="Cambria"/>
          <w:color w:val="000000"/>
          <w:sz w:val="23"/>
          <w:szCs w:val="23"/>
        </w:rPr>
        <w:t xml:space="preserve">Eventos científicos, convocatorias de cooperación y desarrollo conjunto de proyectos estratégicos.</w:t>
      </w:r>
    </w:p>
    <w:p>
      <w:pPr>
        <w:spacing w:after="160" w:line="300"/>
        <w:jc w:val="both"/>
      </w:pPr>
      <w:r>
        <w:rPr>
          <w:rFonts w:ascii="Cambria" w:cs="Cambria" w:eastAsia="Cambria" w:hAnsi="Cambria"/>
          <w:color w:val="000000"/>
          <w:sz w:val="24"/>
          <w:szCs w:val="24"/>
        </w:rPr>
        <w:t xml:space="preserve">Los beneficios específicos de cada institución aliada se definen en el convenio o memorando correspondiente, conforme a la modalidad de cooperación elegida.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GOBERNANZA DE LAS ALIANZAS</w:t>
      </w:r>
    </w:p>
    <w:p>
      <w:pPr>
        <w:spacing w:after="160" w:line="300"/>
        <w:jc w:val="both"/>
      </w:pPr>
      <w:r>
        <w:rPr>
          <w:rFonts w:ascii="Cambria" w:cs="Cambria" w:eastAsia="Cambria" w:hAnsi="Cambria"/>
          <w:color w:val="000000"/>
          <w:sz w:val="24"/>
          <w:szCs w:val="24"/>
        </w:rPr>
        <w:t xml:space="preserve">La suscripción, el desarrollo y la terminación de alianzas institucionales siguen un proceso de gobernanza explícito, que protege la coherencia del Sistema ODYRA frente a un crecimiento desordenado de sus relaciones interinstitucionales.</w:t>
      </w:r>
    </w:p>
    <w:p>
      <w:pPr>
        <w:pStyle w:val="ListParagraph"/>
        <w:numPr>
          <w:ilvl w:val="0"/>
          <w:numId w:val="1"/>
        </w:numPr>
        <w:spacing w:after="80"/>
        <w:jc w:val="both"/>
      </w:pPr>
      <w:r>
        <w:rPr>
          <w:rFonts w:ascii="Cambria" w:cs="Cambria" w:eastAsia="Cambria" w:hAnsi="Cambria"/>
          <w:b/>
          <w:bCs/>
          <w:color w:val="000000"/>
          <w:sz w:val="23"/>
          <w:szCs w:val="23"/>
        </w:rPr>
        <w:t xml:space="preserve">Criterios de selección.</w:t>
      </w:r>
      <w:r>
        <w:rPr>
          <w:rFonts w:ascii="Cambria" w:cs="Cambria" w:eastAsia="Cambria" w:hAnsi="Cambria"/>
          <w:color w:val="000000"/>
          <w:sz w:val="23"/>
          <w:szCs w:val="23"/>
        </w:rPr>
        <w:t xml:space="preserve"> Toda institución aliada deberá compartir, de manera demostrable, principios compatibles con los establecidos en el Canon Intelectual ODYRA, y su vinculación no podrá comprometer la independencia intelectual de la Escuela.</w:t>
      </w:r>
    </w:p>
    <w:p>
      <w:pPr>
        <w:pStyle w:val="ListParagraph"/>
        <w:numPr>
          <w:ilvl w:val="0"/>
          <w:numId w:val="1"/>
        </w:numPr>
        <w:spacing w:after="80"/>
        <w:jc w:val="both"/>
      </w:pPr>
      <w:r>
        <w:rPr>
          <w:rFonts w:ascii="Cambria" w:cs="Cambria" w:eastAsia="Cambria" w:hAnsi="Cambria"/>
          <w:b/>
          <w:bCs/>
          <w:color w:val="000000"/>
          <w:sz w:val="23"/>
          <w:szCs w:val="23"/>
        </w:rPr>
        <w:t xml:space="preserve">Proceso de aprobación.</w:t>
      </w:r>
      <w:r>
        <w:rPr>
          <w:rFonts w:ascii="Cambria" w:cs="Cambria" w:eastAsia="Cambria" w:hAnsi="Cambria"/>
          <w:color w:val="000000"/>
          <w:sz w:val="23"/>
          <w:szCs w:val="23"/>
        </w:rPr>
        <w:t xml:space="preserve"> Toda alianza de alcance estratégico deberá ser revisada y aprobada por el Consejo de Certificación ODYRA, máxima instancia técnica e intelectual del Sistema establecida en el Sistema Oficial de Certificación ODYRA. Las alianzas de menor alcance —como convenios específicos puntuales— podrán aprobarse a nivel del Comité Editorial o el Comité Académico, según su naturaleza.</w:t>
      </w:r>
    </w:p>
    <w:p>
      <w:pPr>
        <w:pStyle w:val="ListParagraph"/>
        <w:numPr>
          <w:ilvl w:val="0"/>
          <w:numId w:val="1"/>
        </w:numPr>
        <w:spacing w:after="80"/>
        <w:jc w:val="both"/>
      </w:pPr>
      <w:r>
        <w:rPr>
          <w:rFonts w:ascii="Cambria" w:cs="Cambria" w:eastAsia="Cambria" w:hAnsi="Cambria"/>
          <w:b/>
          <w:bCs/>
          <w:color w:val="000000"/>
          <w:sz w:val="23"/>
          <w:szCs w:val="23"/>
        </w:rPr>
        <w:t xml:space="preserve">Evaluación periódica.</w:t>
      </w:r>
      <w:r>
        <w:rPr>
          <w:rFonts w:ascii="Cambria" w:cs="Cambria" w:eastAsia="Cambria" w:hAnsi="Cambria"/>
          <w:color w:val="000000"/>
          <w:sz w:val="23"/>
          <w:szCs w:val="23"/>
        </w:rPr>
        <w:t xml:space="preserve"> Toda alianza vigente se evalúa periódicamente, verificando que continúe generando valor recíproco y que la institución aliada mantenga la coherencia declarada al momento de su vinculación.</w:t>
      </w:r>
    </w:p>
    <w:p>
      <w:pPr>
        <w:pStyle w:val="ListParagraph"/>
        <w:numPr>
          <w:ilvl w:val="0"/>
          <w:numId w:val="1"/>
        </w:numPr>
        <w:spacing w:after="80"/>
        <w:jc w:val="both"/>
      </w:pPr>
      <w:r>
        <w:rPr>
          <w:rFonts w:ascii="Cambria" w:cs="Cambria" w:eastAsia="Cambria" w:hAnsi="Cambria"/>
          <w:b/>
          <w:bCs/>
          <w:color w:val="000000"/>
          <w:sz w:val="23"/>
          <w:szCs w:val="23"/>
        </w:rPr>
        <w:t xml:space="preserve">Terminación de alianzas.</w:t>
      </w:r>
      <w:r>
        <w:rPr>
          <w:rFonts w:ascii="Cambria" w:cs="Cambria" w:eastAsia="Cambria" w:hAnsi="Cambria"/>
          <w:color w:val="000000"/>
          <w:sz w:val="23"/>
          <w:szCs w:val="23"/>
        </w:rPr>
        <w:t xml:space="preserve"> Una alianza podrá terminarse por vencimiento del plazo pactado, por incumplimiento de sus términos, o cuando la institución aliada actúe de manera contraria a los principios del Canon Intelectual ODYRA, sin perjuicio de los compromisos ya adquiridos con terceros.</w:t>
      </w:r>
    </w:p>
    <w:p>
      <w:pPr>
        <w:pStyle w:val="ListParagraph"/>
        <w:numPr>
          <w:ilvl w:val="0"/>
          <w:numId w:val="1"/>
        </w:numPr>
        <w:spacing w:after="80"/>
        <w:jc w:val="both"/>
      </w:pPr>
      <w:r>
        <w:rPr>
          <w:rFonts w:ascii="Cambria" w:cs="Cambria" w:eastAsia="Cambria" w:hAnsi="Cambria"/>
          <w:b/>
          <w:bCs/>
          <w:color w:val="000000"/>
          <w:sz w:val="23"/>
          <w:szCs w:val="23"/>
        </w:rPr>
        <w:t xml:space="preserve">Registro oficial.</w:t>
      </w:r>
      <w:r>
        <w:rPr>
          <w:rFonts w:ascii="Cambria" w:cs="Cambria" w:eastAsia="Cambria" w:hAnsi="Cambria"/>
          <w:color w:val="000000"/>
          <w:sz w:val="23"/>
          <w:szCs w:val="23"/>
        </w:rPr>
        <w:t xml:space="preserve"> Toda alianza suscrita se incorpora a un registro oficial de cooperación interinstitucional, conforme a los principios de control documental establecidos en la Carta Magna del Sistema ODYRA.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VISIÓN 2040</w:t>
      </w:r>
    </w:p>
    <w:p>
      <w:pPr>
        <w:spacing w:after="160" w:line="300"/>
        <w:jc w:val="both"/>
      </w:pPr>
      <w:r>
        <w:rPr>
          <w:rFonts w:ascii="Cambria" w:cs="Cambria" w:eastAsia="Cambria" w:hAnsi="Cambria"/>
          <w:color w:val="000000"/>
          <w:sz w:val="24"/>
          <w:szCs w:val="24"/>
        </w:rPr>
        <w:t xml:space="preserve">Para el año 2040, la Escuela de Pensamiento ODYRA proyecta consolidar una red internacional de cooperación integrada por universidades, instituciones académicas, centros de investigación, organismos multilaterales, entidades públicas, organizaciones privadas y comunidades de práctica en América Latina y otras regiones.</w:t>
      </w:r>
    </w:p>
    <w:p>
      <w:pPr>
        <w:spacing w:after="160" w:line="300"/>
        <w:jc w:val="both"/>
      </w:pPr>
      <w:r>
        <w:rPr>
          <w:rFonts w:ascii="Cambria" w:cs="Cambria" w:eastAsia="Cambria" w:hAnsi="Cambria"/>
          <w:color w:val="000000"/>
          <w:sz w:val="24"/>
          <w:szCs w:val="24"/>
        </w:rPr>
        <w:t xml:space="preserve">Esta red será un ecosistema vivo de generación, validación y transferencia de conocimiento, donde la investigación aplicada, la innovación y la inteligencia artificial se articulen para fortalecer organizaciones más inteligentes, éticas y sostenibles. El reconocimiento de ODYRA no dependerá únicamente de sus publicaciones o certificaciones, sino de su capacidad para construir alianzas duraderas que multipliquen el impacto del conocimiento y contribuyan al desarrollo de los territorios.</w:t>
      </w:r>
    </w:p>
    <w:p>
      <w:pPr>
        <w:spacing w:after="160" w:line="300"/>
        <w:jc w:val="both"/>
      </w:pPr>
      <w:r>
        <w:rPr>
          <w:rFonts w:ascii="Cambria" w:cs="Cambria" w:eastAsia="Cambria" w:hAnsi="Cambria"/>
          <w:color w:val="000000"/>
          <w:sz w:val="24"/>
          <w:szCs w:val="24"/>
        </w:rPr>
        <w:t xml:space="preserve">Esta visión completa, desde la dimensión interinstitucional, la Visión 2040 del Sistema ODYRA ya desarrollada en la Arquitectura del Conocimiento, los Programas de Formación, la Comunidad Internacional de Práctica, las Investigaciones Aplicadas y el Programa Oficial de Publicaciones Académicas.</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spacing w:after="160" w:line="300"/>
        <w:jc w:val="both"/>
      </w:pPr>
      <w:r>
        <w:rPr>
          <w:rFonts w:ascii="Cambria" w:cs="Cambria" w:eastAsia="Cambria" w:hAnsi="Cambria"/>
          <w:color w:val="000000"/>
          <w:sz w:val="24"/>
          <w:szCs w:val="24"/>
        </w:rPr>
        <w:t xml:space="preserve">Las grandes transformaciones nacen cuando el conocimiento deja de pertenecer a una sola institución y comienza a construirse de manera colaborativa. La Escuela de Pensamiento ODYRA entiende que cooperar no significa compartir únicamente recursos, sino también visiones, experiencias y propósitos. Cada alianza será una oportunidad para aprender, innovar y generar valor colectivo, consolidando una comunidad internacional comprometida con la excelencia, la ética y la transformación organizacional.</w:t>
      </w:r>
    </w:p>
    <w:p>
      <w:pPr>
        <w:spacing w:after="240" w:before="120"/>
        <w:jc w:val="center"/>
      </w:pPr>
      <w:r>
        <w:rPr>
          <w:rFonts w:ascii="Cambria" w:cs="Cambria" w:eastAsia="Cambria" w:hAnsi="Cambria"/>
          <w:b/>
          <w:bCs/>
          <w:i/>
          <w:iCs/>
          <w:color w:val="1E2761"/>
          <w:sz w:val="24"/>
          <w:szCs w:val="24"/>
        </w:rPr>
        <w:t xml:space="preserve">"Las ideas construyen escuelas de pensamiento; las alianzas construyen el futuro de esas escuelas."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ALIANZAS ESTRATÉGICAS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2026-07-22T22:26:38.496Z</dcterms:created>
  <dcterms:modified xsi:type="dcterms:W3CDTF">2026-07-22T22:26:38.496Z</dcterms:modified>
</cp:coreProperties>
</file>

<file path=docProps/custom.xml><?xml version="1.0" encoding="utf-8"?>
<Properties xmlns="http://schemas.openxmlformats.org/officeDocument/2006/custom-properties" xmlns:vt="http://schemas.openxmlformats.org/officeDocument/2006/docPropsVTypes"/>
</file>