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Web Application Pentest Finding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Damin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2026-05-04</w:t>
            </w:r>
          </w:p>
        </w:tc>
      </w:tr>
      <w:tr>
        <w:tc>
          <w:tcPr>
            <w:tcW w:type="dxa" w:w="4968"/>
          </w:tcPr>
          <w:p>
            <w:r>
              <w:t>Report Type</w:t>
            </w:r>
          </w:p>
        </w:tc>
        <w:tc>
          <w:tcPr>
            <w:tcW w:type="dxa" w:w="4968"/>
          </w:tcPr>
          <w:p>
            <w:r>
              <w:t>PENTEST</w:t>
            </w:r>
          </w:p>
        </w:tc>
      </w:tr>
    </w:tbl>
    <w:p>
      <w:pPr>
        <w:pStyle w:val="Heading1"/>
      </w:pPr>
      <w:r>
        <w:t>1. Executive Summary</w:t>
      </w:r>
    </w:p>
    <w:p>
      <w:r>
        <w:t>A reflected cross-site scripting issue was identified in a demo web application search parameter. The application reflects user-controlled input in the HTTP response without sufficient output encoding.</w:t>
      </w:r>
    </w:p>
    <w:p>
      <w:r>
        <w:rPr>
          <w:b/>
        </w:rPr>
        <w:t xml:space="preserve">Key Risk: </w:t>
      </w:r>
      <w:r>
        <w:t>An attacker may craft a malicious URL that executes JavaScript in the victim's browser when opened.</w:t>
      </w:r>
    </w:p>
    <w:p>
      <w:pPr>
        <w:pStyle w:val="Heading1"/>
      </w:pPr>
      <w:r>
        <w:t>2. Target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Demo Web Application</w:t>
            </w:r>
          </w:p>
        </w:tc>
      </w:tr>
      <w:tr>
        <w:tc>
          <w:tcPr>
            <w:tcW w:type="dxa" w:w="4968"/>
          </w:tcPr>
          <w:p>
            <w:r>
              <w:t>scope</w:t>
            </w:r>
          </w:p>
        </w:tc>
        <w:tc>
          <w:tcPr>
            <w:tcW w:type="dxa" w:w="4968"/>
          </w:tcPr>
          <w:p>
            <w:r>
              <w:t>Authorized lab environment</w:t>
            </w:r>
          </w:p>
        </w:tc>
      </w:tr>
      <w:tr>
        <w:tc>
          <w:tcPr>
            <w:tcW w:type="dxa" w:w="4968"/>
          </w:tcPr>
          <w:p>
            <w:r>
              <w:t>finding_id</w:t>
            </w:r>
          </w:p>
        </w:tc>
        <w:tc>
          <w:tcPr>
            <w:tcW w:type="dxa" w:w="4968"/>
          </w:tcPr>
          <w:p>
            <w:r>
              <w:t>WEB-001</w:t>
            </w:r>
          </w:p>
        </w:tc>
      </w:tr>
      <w:tr>
        <w:tc>
          <w:tcPr>
            <w:tcW w:type="dxa" w:w="4968"/>
          </w:tcPr>
          <w:p>
            <w:r>
              <w:t>affected_endpoint</w:t>
            </w:r>
          </w:p>
        </w:tc>
        <w:tc>
          <w:tcPr>
            <w:tcW w:type="dxa" w:w="4968"/>
          </w:tcPr>
          <w:p>
            <w:r>
              <w:t>/search?q=</w:t>
            </w:r>
          </w:p>
        </w:tc>
      </w:tr>
      <w:tr>
        <w:tc>
          <w:tcPr>
            <w:tcW w:type="dxa" w:w="4968"/>
          </w:tcPr>
          <w:p>
            <w:r>
              <w:t>vulnerability_type</w:t>
            </w:r>
          </w:p>
        </w:tc>
        <w:tc>
          <w:tcPr>
            <w:tcW w:type="dxa" w:w="4968"/>
          </w:tcPr>
          <w:p>
            <w:r>
              <w:t>Reflected Cross-Site Scripting</w:t>
            </w:r>
          </w:p>
        </w:tc>
      </w:tr>
      <w:tr>
        <w:tc>
          <w:tcPr>
            <w:tcW w:type="dxa" w:w="4968"/>
          </w:tcPr>
          <w:p>
            <w:r>
              <w:t>cwe</w:t>
            </w:r>
          </w:p>
        </w:tc>
        <w:tc>
          <w:tcPr>
            <w:tcW w:type="dxa" w:w="4968"/>
          </w:tcPr>
          <w:p>
            <w:r>
              <w:t>CWE-79</w:t>
            </w:r>
          </w:p>
        </w:tc>
      </w:tr>
      <w:tr>
        <w:tc>
          <w:tcPr>
            <w:tcW w:type="dxa" w:w="4968"/>
          </w:tcPr>
          <w:p>
            <w:r>
              <w:t>owasp_category</w:t>
            </w:r>
          </w:p>
        </w:tc>
        <w:tc>
          <w:tcPr>
            <w:tcW w:type="dxa" w:w="4968"/>
          </w:tcPr>
          <w:p>
            <w:r>
              <w:t>Injection</w:t>
            </w:r>
          </w:p>
        </w:tc>
      </w:tr>
    </w:tbl>
    <w:p>
      <w:pPr>
        <w:pStyle w:val="Heading1"/>
      </w:pPr>
      <w:r>
        <w:t>3. Severity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risk_level</w:t>
            </w:r>
          </w:p>
        </w:tc>
        <w:tc>
          <w:tcPr>
            <w:tcW w:type="dxa" w:w="4968"/>
          </w:tcPr>
          <w:p>
            <w:r>
              <w:t>Medium</w:t>
            </w:r>
          </w:p>
        </w:tc>
      </w:tr>
      <w:tr>
        <w:tc>
          <w:tcPr>
            <w:tcW w:type="dxa" w:w="4968"/>
          </w:tcPr>
          <w:p>
            <w:r>
              <w:t>impact</w:t>
            </w:r>
          </w:p>
        </w:tc>
        <w:tc>
          <w:tcPr>
            <w:tcW w:type="dxa" w:w="4968"/>
          </w:tcPr>
          <w:p>
            <w:r>
              <w:t>Session theft, phishing, or arbitrary script execution in the user's browser</w:t>
            </w:r>
          </w:p>
        </w:tc>
      </w:tr>
      <w:tr>
        <w:tc>
          <w:tcPr>
            <w:tcW w:type="dxa" w:w="4968"/>
          </w:tcPr>
          <w:p>
            <w:r>
              <w:t>likelihood</w:t>
            </w:r>
          </w:p>
        </w:tc>
        <w:tc>
          <w:tcPr>
            <w:tcW w:type="dxa" w:w="4968"/>
          </w:tcPr>
          <w:p>
            <w:r>
              <w:t>Medium</w:t>
            </w:r>
          </w:p>
        </w:tc>
      </w:tr>
      <w:tr>
        <w:tc>
          <w:tcPr>
            <w:tcW w:type="dxa" w:w="4968"/>
          </w:tcPr>
          <w:p>
            <w:r>
              <w:t>exploitability</w:t>
            </w:r>
          </w:p>
        </w:tc>
        <w:tc>
          <w:tcPr>
            <w:tcW w:type="dxa" w:w="4968"/>
          </w:tcPr>
          <w:p>
            <w:r>
              <w:t>User interaction may be required</w:t>
            </w:r>
          </w:p>
        </w:tc>
      </w:tr>
    </w:tbl>
    <w:p>
      <w:pPr>
        <w:pStyle w:val="Heading1"/>
      </w:pPr>
      <w:r>
        <w:t>4. Technical Analysis</w:t>
      </w:r>
    </w:p>
    <w:p>
      <w:r>
        <w:t>The affected endpoint reflects the q parameter into the response body. If the input is not properly encoded before rendering, browser-side script execution may occur.</w:t>
      </w:r>
    </w:p>
    <w:p>
      <w:pPr>
        <w:pStyle w:val="Heading1"/>
      </w:pPr>
      <w:r>
        <w:t>5. Attack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Step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The attacker identifies an input parameter reflected in the response.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The attacker crafts a URL containing a script payload.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The victim opens the crafted URL.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The script executes in the victim's browser context.</w:t>
            </w:r>
          </w:p>
        </w:tc>
      </w:tr>
    </w:tbl>
    <w:p>
      <w:pPr>
        <w:pStyle w:val="Heading1"/>
      </w:pPr>
      <w:r>
        <w:t>6. Detection Points</w:t>
      </w:r>
    </w:p>
    <w:p>
      <w:pPr>
        <w:pStyle w:val="Heading2"/>
      </w:pPr>
      <w:r>
        <w:t>Application</w:t>
      </w:r>
    </w:p>
    <w:p>
      <w:pPr>
        <w:pStyle w:val="ListBullet"/>
      </w:pPr>
      <w:r>
        <w:t>Review server logs for suspicious script-like payloads in query parameters.</w:t>
      </w:r>
    </w:p>
    <w:p>
      <w:pPr>
        <w:pStyle w:val="ListBullet"/>
      </w:pPr>
      <w:r>
        <w:t>Monitor repeated requests containing encoded JavaScript patterns.</w:t>
      </w:r>
    </w:p>
    <w:p>
      <w:pPr>
        <w:pStyle w:val="Heading2"/>
      </w:pPr>
      <w:r>
        <w:t>Code</w:t>
      </w:r>
    </w:p>
    <w:p>
      <w:pPr>
        <w:pStyle w:val="ListBullet"/>
      </w:pPr>
      <w:r>
        <w:t>Inspect output rendering logic for missing context-aware encoding.</w:t>
      </w:r>
    </w:p>
    <w:p>
      <w:pPr>
        <w:pStyle w:val="ListBullet"/>
      </w:pPr>
      <w:r>
        <w:t>Verify whether template auto-escaping is enabled.</w:t>
      </w:r>
    </w:p>
    <w:p>
      <w:pPr>
        <w:pStyle w:val="Heading1"/>
      </w:pPr>
      <w:r>
        <w:t>7. Indicators of Compromise</w:t>
      </w:r>
    </w:p>
    <w:p>
      <w:pPr>
        <w:pStyle w:val="Heading2"/>
      </w:pPr>
      <w:r>
        <w:t>Urls</w:t>
      </w:r>
    </w:p>
    <w:p>
      <w:pPr>
        <w:pStyle w:val="ListBullet"/>
      </w:pPr>
      <w:r>
        <w:t>https://example.com/search?q=&lt;sanitized-payload&gt;</w:t>
      </w:r>
    </w:p>
    <w:p>
      <w:pPr>
        <w:pStyle w:val="Heading2"/>
      </w:pPr>
      <w:r>
        <w:t>Parameters</w:t>
      </w:r>
    </w:p>
    <w:p>
      <w:pPr>
        <w:pStyle w:val="ListBullet"/>
      </w:pPr>
      <w:r>
        <w:t>q</w:t>
      </w:r>
    </w:p>
    <w:p>
      <w:pPr>
        <w:pStyle w:val="Heading1"/>
      </w:pPr>
      <w:r>
        <w:t>8. MITRE ATT&amp;CK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Tactic</w:t>
            </w:r>
          </w:p>
        </w:tc>
        <w:tc>
          <w:tcPr>
            <w:tcW w:type="dxa" w:w="2484"/>
          </w:tcPr>
          <w:p>
            <w:r>
              <w:t>Technique ID</w:t>
            </w:r>
          </w:p>
        </w:tc>
        <w:tc>
          <w:tcPr>
            <w:tcW w:type="dxa" w:w="2484"/>
          </w:tcPr>
          <w:p>
            <w:r>
              <w:t>Technique Name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</w:tr>
      <w:tr>
        <w:tc>
          <w:tcPr>
            <w:tcW w:type="dxa" w:w="2484"/>
          </w:tcPr>
          <w:p>
            <w:r>
              <w:t>Initial Access</w:t>
            </w:r>
          </w:p>
        </w:tc>
        <w:tc>
          <w:tcPr>
            <w:tcW w:type="dxa" w:w="2484"/>
          </w:tcPr>
          <w:p>
            <w:r>
              <w:t>T1189</w:t>
            </w:r>
          </w:p>
        </w:tc>
        <w:tc>
          <w:tcPr>
            <w:tcW w:type="dxa" w:w="2484"/>
          </w:tcPr>
          <w:p>
            <w:r>
              <w:t>Drive-by Compromise</w:t>
            </w:r>
          </w:p>
        </w:tc>
        <w:tc>
          <w:tcPr>
            <w:tcW w:type="dxa" w:w="2484"/>
          </w:tcPr>
          <w:p>
            <w:r>
              <w:t>A crafted URL may be used to trigger browser-side script execution.</w:t>
            </w:r>
          </w:p>
        </w:tc>
      </w:tr>
      <w:tr>
        <w:tc>
          <w:tcPr>
            <w:tcW w:type="dxa" w:w="2484"/>
          </w:tcPr>
          <w:p>
            <w:r>
              <w:t>Credential Access</w:t>
            </w:r>
          </w:p>
        </w:tc>
        <w:tc>
          <w:tcPr>
            <w:tcW w:type="dxa" w:w="2484"/>
          </w:tcPr>
          <w:p>
            <w:r>
              <w:t>T1539</w:t>
            </w:r>
          </w:p>
        </w:tc>
        <w:tc>
          <w:tcPr>
            <w:tcW w:type="dxa" w:w="2484"/>
          </w:tcPr>
          <w:p>
            <w:r>
              <w:t>Steal Web Session Cookie</w:t>
            </w:r>
          </w:p>
        </w:tc>
        <w:tc>
          <w:tcPr>
            <w:tcW w:type="dxa" w:w="2484"/>
          </w:tcPr>
          <w:p>
            <w:r>
              <w:t>In insecure configurations, script execution may be abused to access session-related data.</w:t>
            </w:r>
          </w:p>
        </w:tc>
      </w:tr>
    </w:tbl>
    <w:p>
      <w:pPr>
        <w:pStyle w:val="Heading1"/>
      </w:pPr>
      <w:r>
        <w:t>9. Detection Rules</w:t>
      </w:r>
    </w:p>
    <w:p>
      <w:r>
        <w:t>No detection rules provided.</w:t>
      </w:r>
    </w:p>
    <w:p>
      <w:pPr>
        <w:pStyle w:val="Heading1"/>
      </w:pPr>
      <w:r>
        <w:t>10. Mitigation and Remediation</w:t>
      </w:r>
    </w:p>
    <w:p>
      <w:pPr>
        <w:pStyle w:val="ListBullet"/>
      </w:pPr>
      <w:r>
        <w:t>Apply context-aware output encoding.</w:t>
      </w:r>
    </w:p>
    <w:p>
      <w:pPr>
        <w:pStyle w:val="ListBullet"/>
      </w:pPr>
      <w:r>
        <w:t>Validate and sanitize user-controlled input.</w:t>
      </w:r>
    </w:p>
    <w:p>
      <w:pPr>
        <w:pStyle w:val="ListBullet"/>
      </w:pPr>
      <w:r>
        <w:t>Enable Content Security Policy where appropriate.</w:t>
      </w:r>
    </w:p>
    <w:p>
      <w:pPr>
        <w:pStyle w:val="ListBullet"/>
      </w:pPr>
      <w:r>
        <w:t>Use framework-provided template escaping features.</w:t>
      </w:r>
    </w:p>
    <w:p>
      <w:pPr>
        <w:pStyle w:val="ListBullet"/>
      </w:pPr>
      <w:r>
        <w:t>Add automated security tests for reflected input handling.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OWASP Web Security Testing Guide</w:t>
      </w:r>
    </w:p>
    <w:p>
      <w:pPr>
        <w:pStyle w:val="ListBullet"/>
      </w:pPr>
      <w:r>
        <w:t>OWASP Cross Site Scripting Prevention Cheat Sheet</w:t>
      </w:r>
    </w:p>
    <w:p>
      <w:pPr>
        <w:pStyle w:val="ListBullet"/>
      </w:pPr>
      <w:r>
        <w:t>CWE-79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