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Security Threat Model</w:t>
        <w:br/>
      </w:r>
    </w:p>
    <w:p>
      <w:pPr>
        <w:jc w:val="center"/>
      </w:pPr>
      <w:r>
        <w:rPr>
          <w:sz w:val="28"/>
        </w:rPr>
        <w:t>AI-Driven Security + Blockchain Insurance System</w:t>
        <w:br/>
      </w:r>
    </w:p>
    <w:p>
      <w:pPr>
        <w:pStyle w:val="Heading1"/>
      </w:pPr>
      <w:r>
        <w:t>SECTION 1: THREAT IDENTIFICATION (Top 5 Risks)</w:t>
      </w:r>
    </w:p>
    <w:p>
      <w:pPr>
        <w:pStyle w:val="Heading2"/>
      </w:pPr>
      <w:r>
        <w:t>1. Reentrancy Attack on ClaimsProcessor</w:t>
      </w:r>
    </w:p>
    <w:p>
      <w:r>
        <w:t>Vector: Malicious contract calls processClaim(), recursively drains funds during token transfer</w:t>
        <w:br/>
        <w:t>Mitigation: OpenZeppelin ReentrancyGuard + CEI pattern implemented</w:t>
        <w:br/>
        <w:t>Residual Risk: Low</w:t>
      </w:r>
    </w:p>
    <w:p>
      <w:pPr>
        <w:pStyle w:val="Heading2"/>
      </w:pPr>
      <w:r>
        <w:t>2. Flash Loan Governance Attack</w:t>
      </w:r>
    </w:p>
    <w:p>
      <w:r>
        <w:t>Vector: Attacker borrows large amount of CyberToken, gains voting power, manipulates claim decision</w:t>
        <w:br/>
        <w:t>Mitigation: NOT YET IMPLEMENTED — requires time-locked voting or snapshot-based governance</w:t>
        <w:br/>
        <w:t>Residual Risk: High</w:t>
      </w:r>
    </w:p>
    <w:p>
      <w:pPr>
        <w:pStyle w:val="Heading2"/>
      </w:pPr>
      <w:r>
        <w:t>3. Timestamp Manipulation</w:t>
      </w:r>
    </w:p>
    <w:p>
      <w:r>
        <w:t>Vector: Miner manipulates block.timestamp to submit fraudulent daily reports or posture snapshots</w:t>
        <w:br/>
        <w:t>Mitigation: Use block.number instead of block.timestamp for time-sensitive logic</w:t>
        <w:br/>
        <w:t>Residual Risk: Medium</w:t>
      </w:r>
    </w:p>
    <w:p>
      <w:pPr>
        <w:pStyle w:val="Heading2"/>
      </w:pPr>
      <w:r>
        <w:t>4. Off-Chain Database Compromise</w:t>
      </w:r>
    </w:p>
    <w:p>
      <w:r>
        <w:t>Vector: Attacker gains access to backend database, modifies AI reasoning text before Merkle root submission</w:t>
        <w:br/>
        <w:t>Mitigation: Append-only log architecture, cryptographic hashing, regular backups</w:t>
        <w:br/>
        <w:t>Residual Risk: Medium</w:t>
      </w:r>
    </w:p>
    <w:p>
      <w:pPr>
        <w:pStyle w:val="Heading2"/>
      </w:pPr>
      <w:r>
        <w:t>5. Oracle Failure (if external price feeds added)</w:t>
      </w:r>
    </w:p>
    <w:p>
      <w:r>
        <w:t>Vector: Chainlink or other oracle provides stale/incorrect data for claim amounts</w:t>
        <w:br/>
        <w:t>Mitigation: NOT APPLICABLE (system currently uses fixed token amounts)</w:t>
        <w:br/>
        <w:t>Residual Risk: N/A</w:t>
      </w:r>
    </w:p>
    <w:p>
      <w:pPr>
        <w:pStyle w:val="Heading1"/>
      </w:pPr>
      <w:r>
        <w:t>SECTION 2: CRITICAL VULNERABILITY ASSESSMENT</w:t>
      </w:r>
    </w:p>
    <w:p>
      <w:r>
        <w:t>Current Security Posture: MEDIUM</w:t>
        <w:br/>
        <w:t>✅ Reentrancy protection implemented</w:t>
        <w:br/>
        <w:t>✅ Access control modifiers enforced</w:t>
        <w:br/>
        <w:t>❌ No flash loan protection</w:t>
        <w:br/>
        <w:t>❌ No formal audit completed</w:t>
      </w:r>
    </w:p>
    <w:p>
      <w:pPr>
        <w:pStyle w:val="Heading1"/>
      </w:pPr>
      <w:r>
        <w:t>SECTION 3: RECOMMENDATIONS FOR PRODUCTION</w:t>
      </w:r>
    </w:p>
    <w:p>
      <w:pPr>
        <w:pStyle w:val="ListNumber"/>
      </w:pPr>
      <w:r>
        <w:t>1. Add time-lock to governance voting (7-day delay)</w:t>
        <w:br/>
        <w:t>2. Implement emergency pause function (OpenZeppelin Pausable)</w:t>
        <w:br/>
        <w:t>3. Conduct third-party security audit</w:t>
        <w:br/>
        <w:t>4. Add circuit breakers for abnormal payout amounts</w:t>
        <w:br/>
        <w:t>5. Implement rate limiting on claim submissions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