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AI-Driven Security Operations with Blockchain Accountability &amp; Insurance Verification</w:t>
        <w:br/>
      </w:r>
    </w:p>
    <w:p>
      <w:pPr>
        <w:jc w:val="center"/>
      </w:pPr>
      <w:r>
        <w:rPr>
          <w:sz w:val="36"/>
        </w:rPr>
        <w:t>Final Implementation Report</w:t>
        <w:br/>
        <w:br/>
      </w:r>
    </w:p>
    <w:p>
      <w:pPr>
        <w:jc w:val="center"/>
      </w:pPr>
      <w:r>
        <w:rPr>
          <w:sz w:val="28"/>
        </w:rPr>
        <w:t>Authors: Omar Dorgham, Mariam El-Kholey</w:t>
        <w:br/>
        <w:t>Course: AID 325 - Blockchain &amp; Distributed Ledgers</w:t>
        <w:br/>
        <w:t>Date: May 16, 2026</w:t>
      </w:r>
    </w:p>
    <w:p>
      <w:r>
        <w:br w:type="page"/>
      </w:r>
    </w:p>
    <w:p>
      <w:pPr>
        <w:pStyle w:val="Heading1"/>
      </w:pPr>
      <w:r>
        <w:t>2. EXECUTIVE SUMMARY</w:t>
      </w:r>
    </w:p>
    <w:p>
      <w:r>
        <w:t>The problem: AI accountability + insurance fraud.</w:t>
      </w:r>
    </w:p>
    <w:p>
      <w:r>
        <w:t>The solution: Blockchain-anchored audit trail + automated claims.</w:t>
      </w:r>
    </w:p>
    <w:p>
      <w:r>
        <w:t>Key innovation: Integration of AI defensive actions into insurance payout logic.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AI Accountability Module</w:t>
      </w:r>
    </w:p>
    <w:p>
      <w:pPr>
        <w:pStyle w:val="ListBullet"/>
      </w:pPr>
      <w:r>
        <w:t>• Off-chain: Full event database with reasoning text</w:t>
        <w:br/>
        <w:t>• On-chain: Merkle roots every 60 seconds</w:t>
        <w:br/>
        <w:t>• Daily reports: Summary hashes submitted to DailyReportRegistry</w:t>
      </w:r>
    </w:p>
    <w:p>
      <w:pPr>
        <w:pStyle w:val="Heading2"/>
      </w:pPr>
      <w:r>
        <w:t>Cyber Insurance Module</w:t>
      </w:r>
    </w:p>
    <w:p>
      <w:pPr>
        <w:pStyle w:val="ListBullet"/>
      </w:pPr>
      <w:r>
        <w:t>• Daily posture snapshots (PostureRegistry)</w:t>
        <w:br/>
        <w:t>• Policy rules (PolicyEngine)</w:t>
        <w:br/>
        <w:t>• Automated claims (ClaimsProcessor)</w:t>
      </w:r>
    </w:p>
    <w:p>
      <w:pPr>
        <w:pStyle w:val="Heading2"/>
      </w:pPr>
      <w:r>
        <w:t>INTEGRATION POINT</w:t>
      </w:r>
    </w:p>
    <w:p>
      <w:r>
        <w:t>ClaimsProcessor queries AuditRegistry to verify AI defensive actions.</w:t>
      </w:r>
    </w:p>
    <w:p>
      <w:r>
        <w:br w:type="page"/>
      </w:r>
    </w:p>
    <w:p>
      <w:pPr>
        <w:pStyle w:val="Heading1"/>
      </w:pPr>
      <w:r>
        <w:t>4. SMART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Functions</w:t>
            </w:r>
          </w:p>
        </w:tc>
      </w:tr>
      <w:tr>
        <w:tc>
          <w:tcPr>
            <w:tcW w:type="dxa" w:w="2880"/>
          </w:tcPr>
          <w:p>
            <w:r>
              <w:t>AuditRegistry</w:t>
            </w:r>
          </w:p>
        </w:tc>
        <w:tc>
          <w:tcPr>
            <w:tcW w:type="dxa" w:w="2880"/>
          </w:tcPr>
          <w:p>
            <w:r>
              <w:t>AI action logging</w:t>
            </w:r>
          </w:p>
        </w:tc>
        <w:tc>
          <w:tcPr>
            <w:tcW w:type="dxa" w:w="2880"/>
          </w:tcPr>
          <w:p>
            <w:r>
              <w:t>logAction(), getActionCountByTimeRange()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Multi-sig approval</w:t>
            </w:r>
          </w:p>
        </w:tc>
        <w:tc>
          <w:tcPr>
            <w:tcW w:type="dxa" w:w="2880"/>
          </w:tcPr>
          <w:p>
            <w:r>
              <w:t>approveAction()</w:t>
            </w:r>
          </w:p>
        </w:tc>
      </w:tr>
      <w:tr>
        <w:tc>
          <w:tcPr>
            <w:tcW w:type="dxa" w:w="2880"/>
          </w:tcPr>
          <w:p>
            <w:r>
              <w:t>PostureRegistry</w:t>
            </w:r>
          </w:p>
        </w:tc>
        <w:tc>
          <w:tcPr>
            <w:tcW w:type="dxa" w:w="2880"/>
          </w:tcPr>
          <w:p>
            <w:r>
              <w:t>Daily security snapshots</w:t>
            </w:r>
          </w:p>
        </w:tc>
        <w:tc>
          <w:tcPr>
            <w:tcW w:type="dxa" w:w="2880"/>
          </w:tcPr>
          <w:p>
            <w:r>
              <w:t>recordPosture()</w:t>
            </w:r>
          </w:p>
        </w:tc>
      </w:tr>
      <w:tr>
        <w:tc>
          <w:tcPr>
            <w:tcW w:type="dxa" w:w="2880"/>
          </w:tcPr>
          <w:p>
            <w:r>
              <w:t>PolicyEngine</w:t>
            </w:r>
          </w:p>
        </w:tc>
        <w:tc>
          <w:tcPr>
            <w:tcW w:type="dxa" w:w="2880"/>
          </w:tcPr>
          <w:p>
            <w:r>
              <w:t>Coverage rules</w:t>
            </w:r>
          </w:p>
        </w:tc>
        <w:tc>
          <w:tcPr>
            <w:tcW w:type="dxa" w:w="2880"/>
          </w:tcPr>
          <w:p>
            <w:r>
              <w:t>checkCompliance()</w:t>
            </w:r>
          </w:p>
        </w:tc>
      </w:tr>
      <w:tr>
        <w:tc>
          <w:tcPr>
            <w:tcW w:type="dxa" w:w="2880"/>
          </w:tcPr>
          <w:p>
            <w:r>
              <w:t>ClaimsProcessor</w:t>
            </w:r>
          </w:p>
        </w:tc>
        <w:tc>
          <w:tcPr>
            <w:tcW w:type="dxa" w:w="2880"/>
          </w:tcPr>
          <w:p>
            <w:r>
              <w:t>Automated payout</w:t>
            </w:r>
          </w:p>
        </w:tc>
        <w:tc>
          <w:tcPr>
            <w:tcW w:type="dxa" w:w="2880"/>
          </w:tcPr>
          <w:p>
            <w:r>
              <w:t>processClaim()</w:t>
            </w:r>
          </w:p>
        </w:tc>
      </w:tr>
      <w:tr>
        <w:tc>
          <w:tcPr>
            <w:tcW w:type="dxa" w:w="2880"/>
          </w:tcPr>
          <w:p>
            <w:r>
              <w:t>CyberToken (ERC20)</w:t>
            </w:r>
          </w:p>
        </w:tc>
        <w:tc>
          <w:tcPr>
            <w:tcW w:type="dxa" w:w="2880"/>
          </w:tcPr>
          <w:p>
            <w:r>
              <w:t>Claim payments</w:t>
            </w:r>
          </w:p>
        </w:tc>
        <w:tc>
          <w:tcPr>
            <w:tcW w:type="dxa" w:w="2880"/>
          </w:tcPr>
          <w:p>
            <w:r>
              <w:t>transfer(), balanceOf()</w:t>
            </w:r>
          </w:p>
        </w:tc>
      </w:tr>
      <w:tr>
        <w:tc>
          <w:tcPr>
            <w:tcW w:type="dxa" w:w="2880"/>
          </w:tcPr>
          <w:p>
            <w:r>
              <w:t>DailyReportRegistry</w:t>
            </w:r>
          </w:p>
        </w:tc>
        <w:tc>
          <w:tcPr>
            <w:tcW w:type="dxa" w:w="2880"/>
          </w:tcPr>
          <w:p>
            <w:r>
              <w:t>Daily summaries</w:t>
            </w:r>
          </w:p>
        </w:tc>
        <w:tc>
          <w:tcPr>
            <w:tcW w:type="dxa" w:w="2880"/>
          </w:tcPr>
          <w:p>
            <w:r>
              <w:t>submitDailyReport()</w:t>
            </w:r>
          </w:p>
        </w:tc>
      </w:tr>
    </w:tbl>
    <w:p>
      <w:r>
        <w:br w:type="page"/>
      </w:r>
    </w:p>
    <w:p>
      <w:pPr>
        <w:pStyle w:val="Heading1"/>
      </w:pPr>
      <w:r>
        <w:t>5. TECHNICAL IMPLEMENTATION</w:t>
      </w:r>
    </w:p>
    <w:p>
      <w:pPr>
        <w:pStyle w:val="ListBullet"/>
      </w:pPr>
      <w:r>
        <w:t>• Tech Stack: Hardhat, Solidity 0.8.x, Python FastAPI, React.js, Gemini AI</w:t>
      </w:r>
    </w:p>
    <w:p>
      <w:pPr>
        <w:pStyle w:val="ListBullet"/>
      </w:pPr>
      <w:r>
        <w:t>• Security Measures: ReentrancyGuard, CEI pattern, access control modifiers</w:t>
      </w:r>
    </w:p>
    <w:p>
      <w:pPr>
        <w:pStyle w:val="ListBullet"/>
      </w:pPr>
      <w:r>
        <w:t>• Testing: 4 unit tests covering happy path, edge cases, and security</w:t>
      </w:r>
    </w:p>
    <w:p>
      <w:r>
        <w:br w:type="page"/>
      </w:r>
    </w:p>
    <w:p>
      <w:pPr>
        <w:pStyle w:val="Heading1"/>
      </w:pPr>
      <w:r>
        <w:t>6. INTEGRATION LOGIC</w:t>
      </w:r>
    </w:p>
    <w:p>
      <w:r>
        <w:t>When a breach occurs and a claim is filed, ClaimsProcessor:</w:t>
      </w:r>
    </w:p>
    <w:p>
      <w:pPr>
        <w:pStyle w:val="ListNumber"/>
      </w:pPr>
      <w:r>
        <w:t>1. Checks PostureRegistry for pre-breach security compliance</w:t>
        <w:br/>
        <w:t>2. Queries AuditRegistry for AI defensive actions in the 7 days before breach</w:t>
        <w:br/>
        <w:t>3. If AI took ≥5 HIGH-risk defensive actions, compliance score increases 10%</w:t>
        <w:br/>
        <w:t>4. Final payout = baseAmount × (complianceScore / 100)</w:t>
      </w:r>
    </w:p>
    <w:p>
      <w:r>
        <w:br w:type="page"/>
      </w:r>
    </w:p>
    <w:p>
      <w:pPr>
        <w:pStyle w:val="Heading1"/>
      </w:pPr>
      <w:r>
        <w:t>7. FUTURE WORK</w:t>
      </w:r>
    </w:p>
    <w:p>
      <w:pPr>
        <w:pStyle w:val="ListBullet"/>
      </w:pPr>
      <w:r>
        <w:t>• Deploy to Sepolia testnet</w:t>
        <w:br/>
        <w:t>• Integrate with real SOC alert systems</w:t>
        <w:br/>
        <w:t>• Add machine learning for fraud detection</w:t>
      </w:r>
    </w:p>
    <w:p>
      <w:r>
        <w:br w:type="page"/>
      </w:r>
    </w:p>
    <w:p>
      <w:pPr>
        <w:pStyle w:val="Heading1"/>
      </w:pPr>
      <w:r>
        <w:t>8. CONCLUSION</w:t>
      </w:r>
    </w:p>
    <w:p>
      <w:pPr>
        <w:pStyle w:val="ListBullet"/>
      </w:pPr>
      <w:r>
        <w:t>• Summary of deliverables: End-to-end integration of AI accountability and automated blockchain insurance.</w:t>
        <w:br/>
        <w:t>• Regulatory compliance: Aligned with EU AI Act Article 12.</w:t>
        <w:br/>
        <w:t>• Market impact: Targeting the $16B cyber insurance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