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5B5" w:rsidRPr="00E10132" w:rsidRDefault="002135B5" w:rsidP="002135B5">
      <w:pPr>
        <w:pStyle w:val="Heading2"/>
      </w:pPr>
      <w:r>
        <w:t>Installation of Agilent 415X LabVIEW software</w:t>
      </w:r>
    </w:p>
    <w:p w:rsidR="002135B5" w:rsidRDefault="002135B5" w:rsidP="002135B5">
      <w:pPr>
        <w:pStyle w:val="ListParagraph"/>
        <w:numPr>
          <w:ilvl w:val="0"/>
          <w:numId w:val="1"/>
        </w:numPr>
      </w:pPr>
      <w:r w:rsidRPr="00DF0965">
        <w:rPr>
          <w:color w:val="FF0000"/>
        </w:rPr>
        <w:t>NOTE</w:t>
      </w:r>
      <w:r>
        <w:t xml:space="preserve">: This procedure is used when installing the LabVIEW software in a new PC. The process was found </w:t>
      </w:r>
      <w:hyperlink r:id="rId5" w:history="1">
        <w:r w:rsidRPr="00201610">
          <w:rPr>
            <w:rStyle w:val="Hyperlink"/>
          </w:rPr>
          <w:t>here</w:t>
        </w:r>
      </w:hyperlink>
      <w:r>
        <w:t>.</w:t>
      </w:r>
    </w:p>
    <w:p w:rsidR="002135B5" w:rsidRDefault="002135B5" w:rsidP="002135B5">
      <w:pPr>
        <w:pStyle w:val="ListParagraph"/>
        <w:numPr>
          <w:ilvl w:val="0"/>
          <w:numId w:val="1"/>
        </w:numPr>
      </w:pPr>
      <w:r>
        <w:t>Install LabVIEW (it does not have to be a 32-bit version).</w:t>
      </w:r>
    </w:p>
    <w:p w:rsidR="00E93D09" w:rsidRPr="006E64A2" w:rsidRDefault="00E93D09" w:rsidP="00E93D09">
      <w:pPr>
        <w:pStyle w:val="ListParagraph"/>
        <w:numPr>
          <w:ilvl w:val="1"/>
          <w:numId w:val="1"/>
        </w:numPr>
        <w:rPr>
          <w:highlight w:val="yellow"/>
        </w:rPr>
      </w:pPr>
      <w:r w:rsidRPr="006E64A2">
        <w:rPr>
          <w:color w:val="FF0000"/>
          <w:highlight w:val="yellow"/>
        </w:rPr>
        <w:t>NOTE</w:t>
      </w:r>
      <w:r w:rsidRPr="006E64A2">
        <w:rPr>
          <w:highlight w:val="yellow"/>
        </w:rPr>
        <w:t>: LabVIEW needs to be installed BEFORE the Keysight Connection Expert.</w:t>
      </w:r>
      <w:r w:rsidR="00DD639D">
        <w:rPr>
          <w:highlight w:val="yellow"/>
        </w:rPr>
        <w:t xml:space="preserve"> If you install them the other way around, Keysight Connection Expert will prevent the proper installation of the NI VISA drivers!</w:t>
      </w:r>
      <w:bookmarkStart w:id="0" w:name="_GoBack"/>
      <w:bookmarkEnd w:id="0"/>
    </w:p>
    <w:p w:rsidR="002135B5" w:rsidRDefault="002135B5" w:rsidP="002135B5">
      <w:pPr>
        <w:pStyle w:val="ListParagraph"/>
        <w:numPr>
          <w:ilvl w:val="0"/>
          <w:numId w:val="1"/>
        </w:numPr>
      </w:pPr>
      <w:r>
        <w:t>Copy the 415X LabVIEW vi files into a directory of your choice.</w:t>
      </w:r>
    </w:p>
    <w:p w:rsidR="002135B5" w:rsidRDefault="002135B5" w:rsidP="002135B5">
      <w:pPr>
        <w:pStyle w:val="ListParagraph"/>
        <w:numPr>
          <w:ilvl w:val="1"/>
          <w:numId w:val="1"/>
        </w:numPr>
      </w:pPr>
      <w:r w:rsidRPr="00E91975">
        <w:rPr>
          <w:color w:val="FF0000"/>
        </w:rPr>
        <w:t>NOTE</w:t>
      </w:r>
      <w:r>
        <w:t>: There is no need to install a driver for the SPA.</w:t>
      </w:r>
    </w:p>
    <w:p w:rsidR="002135B5" w:rsidRDefault="002135B5" w:rsidP="002135B5">
      <w:pPr>
        <w:pStyle w:val="ListParagraph"/>
        <w:numPr>
          <w:ilvl w:val="0"/>
          <w:numId w:val="1"/>
        </w:numPr>
      </w:pPr>
      <w:r>
        <w:t>Run NI MAX.</w:t>
      </w:r>
    </w:p>
    <w:p w:rsidR="002135B5" w:rsidRDefault="002135B5" w:rsidP="002135B5">
      <w:pPr>
        <w:pStyle w:val="ListParagraph"/>
        <w:numPr>
          <w:ilvl w:val="0"/>
          <w:numId w:val="1"/>
        </w:numPr>
      </w:pPr>
      <w:r>
        <w:t xml:space="preserve">Go to “Tools” </w:t>
      </w:r>
      <w:r>
        <w:sym w:font="Wingdings" w:char="F0E0"/>
      </w:r>
      <w:r>
        <w:t xml:space="preserve"> “NI-VISA” </w:t>
      </w:r>
      <w:r>
        <w:sym w:font="Wingdings" w:char="F0E0"/>
      </w:r>
      <w:r>
        <w:t xml:space="preserve"> “VISA Options” </w:t>
      </w:r>
      <w:r>
        <w:sym w:font="Wingdings" w:char="F0E0"/>
      </w:r>
      <w:r>
        <w:t xml:space="preserve"> “My system” </w:t>
      </w:r>
      <w:r>
        <w:sym w:font="Wingdings" w:char="F0E0"/>
      </w:r>
      <w:r>
        <w:t xml:space="preserve"> “Passports” </w:t>
      </w:r>
      <w:r>
        <w:sym w:font="Wingdings" w:char="F0E0"/>
      </w:r>
      <w:r>
        <w:t xml:space="preserve"> “List of passports” and enable “NiVisaTulip.dll”. Then click “Save” and close the program.</w:t>
      </w:r>
    </w:p>
    <w:p w:rsidR="002135B5" w:rsidRDefault="002135B5" w:rsidP="002135B5">
      <w:pPr>
        <w:jc w:val="center"/>
      </w:pPr>
      <w:r w:rsidRPr="00733718">
        <w:rPr>
          <w:noProof/>
        </w:rPr>
        <w:drawing>
          <wp:inline distT="0" distB="0" distL="0" distR="0" wp14:anchorId="46617E2C" wp14:editId="2532417E">
            <wp:extent cx="5943600" cy="4265971"/>
            <wp:effectExtent l="0" t="0" r="0" b="1270"/>
            <wp:docPr id="1009" name="Picture 1009" descr="C:\Users\Administrator\Downloads\Projects\OFE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wnloads\Projects\OFET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5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4A2" w:rsidRDefault="002135B5" w:rsidP="002135B5">
      <w:pPr>
        <w:pStyle w:val="ListParagraph"/>
        <w:numPr>
          <w:ilvl w:val="0"/>
          <w:numId w:val="1"/>
        </w:numPr>
      </w:pPr>
      <w:r>
        <w:t>Download and instal</w:t>
      </w:r>
      <w:r w:rsidR="006E64A2">
        <w:t>l “Keysight Connection Expert”.</w:t>
      </w:r>
    </w:p>
    <w:p w:rsidR="006E64A2" w:rsidRPr="00F84F0C" w:rsidRDefault="006E64A2" w:rsidP="006E64A2">
      <w:pPr>
        <w:pStyle w:val="ListParagraph"/>
        <w:numPr>
          <w:ilvl w:val="1"/>
          <w:numId w:val="1"/>
        </w:numPr>
        <w:rPr>
          <w:highlight w:val="yellow"/>
        </w:rPr>
      </w:pPr>
      <w:r w:rsidRPr="00F84F0C">
        <w:rPr>
          <w:color w:val="FF0000"/>
          <w:highlight w:val="yellow"/>
        </w:rPr>
        <w:t>NOTE</w:t>
      </w:r>
      <w:r w:rsidRPr="00F84F0C">
        <w:rPr>
          <w:highlight w:val="yellow"/>
        </w:rPr>
        <w:t>: When prompted about the Keysight VISA drivers, assign them to “secondary, side by side” and not “primary”.</w:t>
      </w:r>
    </w:p>
    <w:p w:rsidR="002135B5" w:rsidRDefault="002135B5" w:rsidP="002135B5">
      <w:pPr>
        <w:pStyle w:val="ListParagraph"/>
        <w:numPr>
          <w:ilvl w:val="0"/>
          <w:numId w:val="1"/>
        </w:numPr>
      </w:pPr>
      <w:r>
        <w:t>Run it and it should immediately recognize the SPA.</w:t>
      </w:r>
    </w:p>
    <w:p w:rsidR="002135B5" w:rsidRDefault="002135B5" w:rsidP="002135B5">
      <w:pPr>
        <w:pStyle w:val="ListParagraph"/>
        <w:numPr>
          <w:ilvl w:val="1"/>
          <w:numId w:val="1"/>
        </w:numPr>
      </w:pPr>
      <w:r>
        <w:t>Note down the GPIB address of the SPA (e.g. GPIB0::14::INSTR).</w:t>
      </w:r>
    </w:p>
    <w:p w:rsidR="002135B5" w:rsidRDefault="002135B5" w:rsidP="002135B5">
      <w:pPr>
        <w:pStyle w:val="ListParagraph"/>
        <w:numPr>
          <w:ilvl w:val="0"/>
          <w:numId w:val="1"/>
        </w:numPr>
      </w:pPr>
      <w:r>
        <w:t xml:space="preserve">Click the “Gear” icon </w:t>
      </w:r>
      <w:r>
        <w:sym w:font="Wingdings" w:char="F0E0"/>
      </w:r>
      <w:r>
        <w:t xml:space="preserve"> “Settings” </w:t>
      </w:r>
      <w:r>
        <w:sym w:font="Wingdings" w:char="F0E0"/>
      </w:r>
      <w:r>
        <w:t xml:space="preserve"> “Keysight 488 GPIB Options” </w:t>
      </w:r>
      <w:r>
        <w:sym w:font="Wingdings" w:char="F0E0"/>
      </w:r>
      <w:r>
        <w:t xml:space="preserve"> Tick “Enable Keysight GPIB Cards for 488 Programs”.</w:t>
      </w:r>
    </w:p>
    <w:p w:rsidR="002135B5" w:rsidRDefault="002135B5" w:rsidP="002135B5">
      <w:pPr>
        <w:jc w:val="center"/>
      </w:pPr>
      <w:r>
        <w:rPr>
          <w:noProof/>
        </w:rPr>
        <w:lastRenderedPageBreak/>
        <w:drawing>
          <wp:inline distT="0" distB="0" distL="0" distR="0" wp14:anchorId="14073AA5" wp14:editId="7461846F">
            <wp:extent cx="5943600" cy="2776785"/>
            <wp:effectExtent l="0" t="0" r="0" b="5080"/>
            <wp:docPr id="1007" name="Picture 1007" descr="Keysight-4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eysight-48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5B5" w:rsidRDefault="002135B5" w:rsidP="002135B5">
      <w:pPr>
        <w:pStyle w:val="ListParagraph"/>
        <w:numPr>
          <w:ilvl w:val="0"/>
          <w:numId w:val="1"/>
        </w:numPr>
      </w:pPr>
      <w:r>
        <w:t>Restart the PC.</w:t>
      </w:r>
    </w:p>
    <w:p w:rsidR="002135B5" w:rsidRDefault="002135B5" w:rsidP="002135B5">
      <w:pPr>
        <w:pStyle w:val="ListParagraph"/>
        <w:numPr>
          <w:ilvl w:val="0"/>
          <w:numId w:val="1"/>
        </w:numPr>
      </w:pPr>
      <w:r>
        <w:t xml:space="preserve">Run LabVIEW and go to “Help” </w:t>
      </w:r>
      <w:r>
        <w:sym w:font="Wingdings" w:char="F0E0"/>
      </w:r>
      <w:r>
        <w:t xml:space="preserve"> “Find examples” </w:t>
      </w:r>
      <w:r>
        <w:sym w:font="Wingdings" w:char="F0E0"/>
      </w:r>
      <w:r>
        <w:t xml:space="preserve"> “Search for GPIB” </w:t>
      </w:r>
      <w:r>
        <w:sym w:font="Wingdings" w:char="F0E0"/>
      </w:r>
      <w:r>
        <w:t xml:space="preserve"> "Simple GPIB.vi". If you enter the number of the GPIB address (14, not the whole GPIB0::14::INSTR), it queries it with *IDN? and it should returns the instrument's info.</w:t>
      </w:r>
    </w:p>
    <w:p w:rsidR="00F84F0C" w:rsidRDefault="00F84F0C" w:rsidP="00F84F0C">
      <w:pPr>
        <w:pStyle w:val="ListParagraph"/>
        <w:numPr>
          <w:ilvl w:val="0"/>
          <w:numId w:val="1"/>
        </w:numPr>
      </w:pPr>
      <w:r>
        <w:t>Restart the PC.</w:t>
      </w:r>
    </w:p>
    <w:p w:rsidR="00EA372B" w:rsidRDefault="002135B5" w:rsidP="002135B5">
      <w:pPr>
        <w:pStyle w:val="ListParagraph"/>
        <w:numPr>
          <w:ilvl w:val="0"/>
          <w:numId w:val="1"/>
        </w:numPr>
      </w:pPr>
      <w:r>
        <w:t>The LabVIEW programs should run now, provided that they are configured to the correct GPIB address. Look inside the block diagram (Ctrl+E) of the vi program you intend to run (e.g. of Frontend.vi) to verify this.</w:t>
      </w:r>
    </w:p>
    <w:sectPr w:rsidR="00EA3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831D1"/>
    <w:multiLevelType w:val="hybridMultilevel"/>
    <w:tmpl w:val="C2EC6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5B5"/>
    <w:rsid w:val="002135B5"/>
    <w:rsid w:val="006E64A2"/>
    <w:rsid w:val="00DD639D"/>
    <w:rsid w:val="00E93D09"/>
    <w:rsid w:val="00EA372B"/>
    <w:rsid w:val="00F8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1881F"/>
  <w15:chartTrackingRefBased/>
  <w15:docId w15:val="{7CBE0ABD-026F-47FC-8B6B-305FA77F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5B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5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35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2135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35B5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13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orums.ni.com/t5/Instrument-Control-GPIB-Serial/Old-visa-open-error-code-1073807343-using-VISA-with-a-GPIB/td-p/3103032?profile.language=e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Simatos</dc:creator>
  <cp:keywords/>
  <dc:description/>
  <cp:lastModifiedBy>Dimitrios Simatos</cp:lastModifiedBy>
  <cp:revision>5</cp:revision>
  <dcterms:created xsi:type="dcterms:W3CDTF">2019-12-14T15:17:00Z</dcterms:created>
  <dcterms:modified xsi:type="dcterms:W3CDTF">2020-01-15T19:15:00Z</dcterms:modified>
</cp:coreProperties>
</file>